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FF" w:rsidRPr="00E32F72" w:rsidRDefault="00AC69FF">
      <w:pP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Latn-CS"/>
        </w:rPr>
      </w:pPr>
    </w:p>
    <w:p w:rsidR="00AC69FF" w:rsidRPr="00E32F72" w:rsidRDefault="00AC69FF" w:rsidP="00AC69F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  <w:lang w:val="sr-Latn-CS"/>
        </w:rPr>
      </w:pPr>
    </w:p>
    <w:p w:rsidR="00D2622F" w:rsidRPr="00E32F72" w:rsidRDefault="00D2622F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36/09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10/13)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55/05, 71/05 -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ispravka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, 101/07, 65/08, 16/11, 68/12 -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US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, 72/12, 7/14 -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US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44/14),</w:t>
      </w:r>
    </w:p>
    <w:p w:rsidR="00D2622F" w:rsidRPr="00E32F72" w:rsidRDefault="00D2622F" w:rsidP="00D26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</w:p>
    <w:p w:rsidR="00D2622F" w:rsidRPr="00E32F72" w:rsidRDefault="00D2622F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</w:p>
    <w:p w:rsidR="00D2622F" w:rsidRPr="00E32F72" w:rsidRDefault="00E32F72" w:rsidP="00D262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D2622F" w:rsidRPr="00E32F72" w:rsidRDefault="00E32F72" w:rsidP="00D262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</w:p>
    <w:p w:rsidR="00D2622F" w:rsidRPr="00E32F72" w:rsidRDefault="00D2622F" w:rsidP="00D262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numPr>
          <w:ilvl w:val="0"/>
          <w:numId w:val="1"/>
        </w:numPr>
        <w:tabs>
          <w:tab w:val="left" w:pos="180"/>
          <w:tab w:val="left" w:pos="4130"/>
        </w:tabs>
        <w:spacing w:after="0" w:line="240" w:lineRule="auto"/>
        <w:ind w:left="3410" w:hanging="3410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UVODNE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</w:p>
    <w:p w:rsidR="00D2622F" w:rsidRPr="00E32F72" w:rsidRDefault="00D2622F" w:rsidP="00D262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uređivanja</w:t>
      </w:r>
    </w:p>
    <w:p w:rsidR="00D2622F" w:rsidRPr="00E32F72" w:rsidRDefault="00D2622F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E32F72" w:rsidP="006963FF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F53E9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1170" w:hanging="45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F53E9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1170" w:hanging="45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izračunavanjem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emisionih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parametara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rezultata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metoda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stacionarnih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izraza</w:t>
      </w:r>
    </w:p>
    <w:p w:rsidR="00D2622F" w:rsidRPr="00E32F72" w:rsidRDefault="00D2622F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</w:p>
    <w:p w:rsidR="00D2622F" w:rsidRPr="00E32F72" w:rsidRDefault="00E32F72" w:rsidP="00D262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Pojedini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izrazi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upotrebljeni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E32F72" w:rsidP="00156EE9">
      <w:pPr>
        <w:numPr>
          <w:ilvl w:val="0"/>
          <w:numId w:val="3"/>
        </w:numPr>
        <w:tabs>
          <w:tab w:val="left" w:pos="0"/>
          <w:tab w:val="left" w:pos="36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ispuštanje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2622F" w:rsidRPr="00E32F72" w:rsidRDefault="00E32F72" w:rsidP="00156EE9">
      <w:pPr>
        <w:numPr>
          <w:ilvl w:val="0"/>
          <w:numId w:val="3"/>
        </w:numPr>
        <w:tabs>
          <w:tab w:val="left" w:pos="0"/>
          <w:tab w:val="left" w:pos="36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ispušteni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Zapreminski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protok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/h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normalnim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temperaturi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273,15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pritisku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101,3 kPa),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nakon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korekcije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0%,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normalni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/h);</w:t>
      </w:r>
    </w:p>
    <w:p w:rsidR="00D2622F" w:rsidRPr="00E32F72" w:rsidRDefault="00E32F72" w:rsidP="00156EE9">
      <w:pPr>
        <w:numPr>
          <w:ilvl w:val="0"/>
          <w:numId w:val="3"/>
        </w:numPr>
        <w:tabs>
          <w:tab w:val="left" w:pos="0"/>
          <w:tab w:val="left" w:pos="36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najveć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dozvoljena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količina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emitovana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koncentracija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 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normalnim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temperaturi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273,15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pritisku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101,3 kPa)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normalni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zapreminski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udeo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kiseonika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 xml:space="preserve">6%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turbina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zapreminski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udeo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kiseonika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46770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46770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odštampani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9A528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156EE9">
      <w:pPr>
        <w:numPr>
          <w:ilvl w:val="0"/>
          <w:numId w:val="3"/>
        </w:numPr>
        <w:tabs>
          <w:tab w:val="left" w:pos="0"/>
          <w:tab w:val="left" w:pos="36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odsumporavanja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količine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emituje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količine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posmatranom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156EE9">
      <w:pPr>
        <w:numPr>
          <w:ilvl w:val="0"/>
          <w:numId w:val="3"/>
        </w:numPr>
        <w:tabs>
          <w:tab w:val="left" w:pos="0"/>
          <w:tab w:val="left" w:pos="36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materijal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isključujući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156EE9">
      <w:pPr>
        <w:numPr>
          <w:ilvl w:val="0"/>
          <w:numId w:val="3"/>
        </w:numPr>
        <w:tabs>
          <w:tab w:val="left" w:pos="0"/>
          <w:tab w:val="left" w:pos="36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proizvedene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podrazumevaju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direktno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produkte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procesima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F51C51" w:rsidP="00F51C51">
      <w:pPr>
        <w:tabs>
          <w:tab w:val="left" w:pos="360"/>
          <w:tab w:val="left" w:pos="900"/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trike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podrazumevaju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D2622F" w:rsidRPr="00E32F72" w:rsidRDefault="00D2622F" w:rsidP="00D2622F">
      <w:pPr>
        <w:tabs>
          <w:tab w:val="left" w:pos="0"/>
          <w:tab w:val="left" w:pos="360"/>
          <w:tab w:val="left" w:pos="540"/>
          <w:tab w:val="left" w:pos="99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produkti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direktno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grejanje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sušenje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neki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obrade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materijala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primer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peći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ponovno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peći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termičku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obradu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);</w:t>
      </w:r>
    </w:p>
    <w:p w:rsidR="00D2622F" w:rsidRPr="00E32F72" w:rsidRDefault="00D2622F" w:rsidP="00D2622F">
      <w:pPr>
        <w:tabs>
          <w:tab w:val="left" w:pos="0"/>
          <w:tab w:val="left" w:pos="360"/>
          <w:tab w:val="left" w:pos="567"/>
          <w:tab w:val="left" w:pos="709"/>
          <w:tab w:val="left" w:pos="9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namenjen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prečišćavanje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D2622F">
      <w:pPr>
        <w:tabs>
          <w:tab w:val="left" w:pos="0"/>
          <w:tab w:val="left" w:pos="360"/>
          <w:tab w:val="left" w:pos="540"/>
          <w:tab w:val="left" w:pos="9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3)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regeneraciju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katalizatora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procesa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katalitičkog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krekinga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D2622F">
      <w:pPr>
        <w:tabs>
          <w:tab w:val="left" w:pos="360"/>
          <w:tab w:val="left" w:pos="709"/>
          <w:tab w:val="left" w:pos="990"/>
        </w:tabs>
        <w:spacing w:after="0" w:line="240" w:lineRule="auto"/>
        <w:ind w:left="540" w:firstLine="2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4)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konverziju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vodonik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sulfida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D2622F">
      <w:pPr>
        <w:tabs>
          <w:tab w:val="left" w:pos="360"/>
          <w:tab w:val="left" w:pos="709"/>
          <w:tab w:val="left" w:pos="990"/>
        </w:tabs>
        <w:spacing w:after="0" w:line="240" w:lineRule="auto"/>
        <w:ind w:left="540" w:firstLine="2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5)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reaktore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hemijskoj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industriji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D2622F">
      <w:pPr>
        <w:tabs>
          <w:tab w:val="left" w:pos="360"/>
          <w:tab w:val="left" w:pos="709"/>
          <w:tab w:val="left" w:pos="990"/>
        </w:tabs>
        <w:spacing w:after="0" w:line="240" w:lineRule="auto"/>
        <w:ind w:left="540" w:firstLine="2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6)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baterije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koksnih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peći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D2622F">
      <w:pPr>
        <w:tabs>
          <w:tab w:val="left" w:pos="360"/>
          <w:tab w:val="left" w:pos="709"/>
          <w:tab w:val="left" w:pos="990"/>
        </w:tabs>
        <w:spacing w:after="0" w:line="240" w:lineRule="auto"/>
        <w:ind w:left="540" w:firstLine="2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7)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kaupere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D2622F">
      <w:pPr>
        <w:tabs>
          <w:tab w:val="left" w:pos="360"/>
          <w:tab w:val="left" w:pos="709"/>
          <w:tab w:val="left" w:pos="990"/>
        </w:tabs>
        <w:spacing w:after="0" w:line="240" w:lineRule="auto"/>
        <w:ind w:left="540" w:firstLine="2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8)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pogon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vozila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aviona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D2622F">
      <w:pPr>
        <w:tabs>
          <w:tab w:val="left" w:pos="360"/>
          <w:tab w:val="left" w:pos="709"/>
          <w:tab w:val="left" w:pos="9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9)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turbine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poseduju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izdatu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1992.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nedostatku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puštene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1992.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obzira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12.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13.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</w:t>
      </w:r>
      <w:r w:rsidR="0083120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A) -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Utvrđivanje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ukupnih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godišnjih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postojećih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B32C9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3A75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stacionarnih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tabs>
          <w:tab w:val="left" w:pos="360"/>
          <w:tab w:val="left" w:pos="709"/>
        </w:tabs>
        <w:spacing w:after="0" w:line="240" w:lineRule="auto"/>
        <w:ind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odvojenih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izgrađena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mišljenju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uzimajući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obzir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ekonomske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faktore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ispuštati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dimnjak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odvojenih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izgrađena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ispuštaju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dimnjak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jednim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smislu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izračunavanja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ukupne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toplotne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snage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velikog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postrojenja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sagorevanje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ne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razmatraju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pojedinačna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postrojenja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toplotne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snage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manje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od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15 MWth. </w:t>
      </w:r>
    </w:p>
    <w:p w:rsidR="00D2622F" w:rsidRPr="00E32F72" w:rsidRDefault="00E32F72" w:rsidP="00D26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smislu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izračunavanja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ukupne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toplotne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snage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srednjeg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malog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postrojenja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sagorevanje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uzimaju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obzir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pojedinačna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postrojenja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svih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toplotnih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snaga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.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istovremeno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alternativno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staro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poseduje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1992.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pušteno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1992.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poseduje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1992.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pušteno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1992.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poseduje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pušteno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poseduje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pušteno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poseduje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pušteno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poseduje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pušteno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poseduje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pušteno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među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ostatke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procesa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destilacije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procesa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prerade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sirove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nafte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sopstvenu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potrošnju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samostalno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smeši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drugim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gorivima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ima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najveću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1.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nekoliko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najveću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među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biomasa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delimično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biljne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šumarstva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D2622F" w:rsidP="00AF612F">
      <w:pPr>
        <w:tabs>
          <w:tab w:val="left" w:pos="0"/>
          <w:tab w:val="left" w:pos="567"/>
          <w:tab w:val="left" w:pos="900"/>
        </w:tabs>
        <w:spacing w:after="0" w:line="240" w:lineRule="auto"/>
        <w:ind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(1)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biljni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šumarstva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6D1795">
      <w:pPr>
        <w:tabs>
          <w:tab w:val="left" w:pos="0"/>
          <w:tab w:val="left" w:pos="567"/>
          <w:tab w:val="left" w:pos="900"/>
          <w:tab w:val="left" w:pos="1080"/>
        </w:tabs>
        <w:spacing w:after="0" w:line="240" w:lineRule="auto"/>
        <w:ind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(2)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biljni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prehrambene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industrije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6D1795">
      <w:pPr>
        <w:tabs>
          <w:tab w:val="left" w:pos="0"/>
          <w:tab w:val="left" w:pos="426"/>
          <w:tab w:val="left" w:pos="540"/>
          <w:tab w:val="left" w:pos="900"/>
          <w:tab w:val="left" w:pos="1080"/>
        </w:tabs>
        <w:spacing w:after="0" w:line="240" w:lineRule="auto"/>
        <w:ind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(3)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vlaknasti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biljni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celuloze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papira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celuloze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insineracija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6D1795">
      <w:pPr>
        <w:tabs>
          <w:tab w:val="left" w:pos="0"/>
          <w:tab w:val="left" w:pos="567"/>
          <w:tab w:val="left" w:pos="900"/>
          <w:tab w:val="left" w:pos="1080"/>
        </w:tabs>
        <w:spacing w:after="0" w:line="240" w:lineRule="auto"/>
        <w:ind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(4)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plute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6D1795">
      <w:pPr>
        <w:tabs>
          <w:tab w:val="left" w:pos="0"/>
          <w:tab w:val="left" w:pos="540"/>
          <w:tab w:val="left" w:pos="900"/>
          <w:tab w:val="left" w:pos="1080"/>
        </w:tabs>
        <w:spacing w:after="0" w:line="240" w:lineRule="auto"/>
        <w:ind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(5)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halogenovana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organska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teške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metale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drveta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potiče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obrade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pločastih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materijala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nastalog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rušenjem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turbina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rotaciona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mašina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pretvara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mehanički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sastavljena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uglavnom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kompresora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fluida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turbine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dimnjak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strukturu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neposredno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ispuštanja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prolaze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razdvojenih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dimovodnih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motor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motor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unutrašnjim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ciklusu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paljenje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iskru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varnicu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motora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dvojno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kompresiju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ispušta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pokretanja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zaustavljanja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pokretanje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zaustavljanje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dovodi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mirovanja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MWth)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količina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donjoj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moći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temperaturi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0°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(273,15 K)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pritisku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101,3 kPa;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dimni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zatamnjenja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filter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papira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izazivaju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Dimni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skale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deset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različitog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intenziteta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zatamnjenja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Baharahova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čemu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skale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zatamnjenje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najbliže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zatamnjenje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dimnih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skale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šest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različite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crnine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Ringelmanova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čemu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crnji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skale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vizuelno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ocenjuje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zatamnjenje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dimnih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F612F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emisioni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parametri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koncentracija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maseni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protok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emisioni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faktor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D2622F" w:rsidP="00D2622F">
      <w:pPr>
        <w:tabs>
          <w:tab w:val="left" w:pos="0"/>
          <w:tab w:val="left" w:pos="630"/>
          <w:tab w:val="left" w:pos="990"/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(1)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koncentracija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mg/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normalni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sr-Latn-CS"/>
        </w:rPr>
        <w:t>3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emitovanih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zapremine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suvom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temperaturi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0°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(273,15 K)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pritisku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101,3 kPa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zapreminskim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udelom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kiseonika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D2622F">
      <w:pPr>
        <w:tabs>
          <w:tab w:val="left" w:pos="0"/>
          <w:tab w:val="left" w:pos="540"/>
          <w:tab w:val="left" w:pos="63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(2)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maseni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protok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kg/h)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ispuštena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D2622F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(3)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emisioni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faktor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kg/t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kg/MWh)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ispuštenih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proizvedenog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produkta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proizvedene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emitovane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iskazane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količinom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vrednošću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proizvedene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količinom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potrošenog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energenta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sirovine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veličinom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obavljenog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);</w:t>
      </w:r>
    </w:p>
    <w:p w:rsidR="00D2622F" w:rsidRPr="00E32F72" w:rsidRDefault="00E32F72" w:rsidP="00DA3E88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63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naftnog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porekla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definisana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naftnog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porekla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energetska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stavljaju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tržište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9A6433" w:rsidRPr="00E32F72" w:rsidRDefault="00E32F72" w:rsidP="009A6433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63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okviru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autonomne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pokrajine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).</w:t>
      </w:r>
    </w:p>
    <w:p w:rsidR="00D2622F" w:rsidRPr="00E32F72" w:rsidRDefault="00D2622F" w:rsidP="00D2622F">
      <w:pPr>
        <w:tabs>
          <w:tab w:val="left" w:pos="993"/>
          <w:tab w:val="left" w:pos="1134"/>
        </w:tabs>
        <w:spacing w:after="0" w:line="240" w:lineRule="auto"/>
        <w:ind w:left="567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instalisana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MWth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nezavisno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Wth,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instalisanoj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snazi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F07E0E">
      <w:pPr>
        <w:tabs>
          <w:tab w:val="left" w:pos="0"/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sanitarne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D2622F" w:rsidP="00F07E0E">
      <w:pPr>
        <w:numPr>
          <w:ilvl w:val="0"/>
          <w:numId w:val="5"/>
        </w:numPr>
        <w:tabs>
          <w:tab w:val="clear" w:pos="1080"/>
          <w:tab w:val="left" w:pos="0"/>
          <w:tab w:val="left" w:pos="9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 MWth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2622F" w:rsidRPr="00E32F72" w:rsidRDefault="00D2622F" w:rsidP="00F07E0E">
      <w:pPr>
        <w:numPr>
          <w:ilvl w:val="0"/>
          <w:numId w:val="5"/>
        </w:numPr>
        <w:tabs>
          <w:tab w:val="clear" w:pos="1080"/>
          <w:tab w:val="left" w:pos="0"/>
          <w:tab w:val="left" w:pos="9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5 MWth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D2622F" w:rsidP="00F07E0E">
      <w:pPr>
        <w:numPr>
          <w:ilvl w:val="0"/>
          <w:numId w:val="5"/>
        </w:numPr>
        <w:tabs>
          <w:tab w:val="clear" w:pos="1080"/>
          <w:tab w:val="left" w:pos="0"/>
          <w:tab w:val="left" w:pos="9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10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Wth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0C4DD6" w:rsidP="00F07E0E">
      <w:pPr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podrazumevaju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E32F72" w:rsidP="00AD3F3F">
      <w:pPr>
        <w:numPr>
          <w:ilvl w:val="0"/>
          <w:numId w:val="6"/>
        </w:numPr>
        <w:tabs>
          <w:tab w:val="left" w:pos="9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kombinovanu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čemu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tehnoloških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posredno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sušenje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prerade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 MWth;</w:t>
      </w:r>
    </w:p>
    <w:p w:rsidR="00D2622F" w:rsidRPr="00E32F72" w:rsidRDefault="00E32F72" w:rsidP="00AD3F3F">
      <w:pPr>
        <w:numPr>
          <w:ilvl w:val="0"/>
          <w:numId w:val="6"/>
        </w:numPr>
        <w:tabs>
          <w:tab w:val="left" w:pos="90"/>
          <w:tab w:val="left" w:pos="1080"/>
        </w:tabs>
        <w:spacing w:after="0" w:line="240" w:lineRule="auto"/>
        <w:ind w:left="90" w:firstLine="63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kombinovanu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čemu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sanitarne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prelazi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A0315E" w:rsidP="00F07E0E">
      <w:pPr>
        <w:tabs>
          <w:tab w:val="left" w:pos="9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navedena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E32F72" w:rsidP="00A0315E">
      <w:pPr>
        <w:numPr>
          <w:ilvl w:val="0"/>
          <w:numId w:val="7"/>
        </w:numPr>
        <w:spacing w:after="0" w:line="240" w:lineRule="auto"/>
        <w:ind w:left="90" w:firstLine="99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mehaničkom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tretmanu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drvetu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vlažnog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20%,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upotrebljava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naveden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proizvođača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pogodna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briketi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peleti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ugalj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koks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briketi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uglja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0315E">
      <w:pPr>
        <w:pStyle w:val="ListParagraph"/>
        <w:numPr>
          <w:ilvl w:val="0"/>
          <w:numId w:val="7"/>
        </w:numPr>
        <w:spacing w:after="0" w:line="240" w:lineRule="auto"/>
        <w:ind w:left="90" w:firstLine="99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gasno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ulje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ekstra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lako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EVRO EL,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tehnički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naftnog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energetska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stavljaju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namenjeno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grejanje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tečnih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metanol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etanol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ulja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metilestar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ulja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potrošnji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gasnog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ulja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ekstra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lako</w:t>
      </w:r>
      <w:r w:rsidR="00D2622F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EVRO EL;</w:t>
      </w:r>
    </w:p>
    <w:p w:rsidR="00D2622F" w:rsidRPr="00E32F72" w:rsidRDefault="00D2622F" w:rsidP="00F07E0E">
      <w:pPr>
        <w:numPr>
          <w:ilvl w:val="0"/>
          <w:numId w:val="7"/>
        </w:numPr>
        <w:tabs>
          <w:tab w:val="left" w:pos="0"/>
          <w:tab w:val="left" w:pos="9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naftni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66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prirodnog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naftnog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66F" w:rsidP="00D262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:rsidR="00D2622F" w:rsidRPr="00E32F72" w:rsidRDefault="00E32F72" w:rsidP="006F7565">
      <w:pPr>
        <w:numPr>
          <w:ilvl w:val="0"/>
          <w:numId w:val="8"/>
        </w:numPr>
        <w:tabs>
          <w:tab w:val="clear" w:pos="1080"/>
          <w:tab w:val="num" w:pos="0"/>
          <w:tab w:val="left" w:pos="990"/>
        </w:tabs>
        <w:spacing w:after="0" w:line="240" w:lineRule="auto"/>
        <w:ind w:left="0" w:firstLine="108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 MWth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Wth; </w:t>
      </w:r>
    </w:p>
    <w:p w:rsidR="00D2622F" w:rsidRPr="00E32F72" w:rsidRDefault="00E32F72" w:rsidP="006F7565">
      <w:pPr>
        <w:numPr>
          <w:ilvl w:val="0"/>
          <w:numId w:val="8"/>
        </w:numPr>
        <w:tabs>
          <w:tab w:val="clear" w:pos="1080"/>
          <w:tab w:val="num" w:pos="0"/>
          <w:tab w:val="left" w:pos="990"/>
        </w:tabs>
        <w:spacing w:after="0" w:line="240" w:lineRule="auto"/>
        <w:ind w:left="0" w:firstLine="108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 MWth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Wth; </w:t>
      </w:r>
    </w:p>
    <w:p w:rsidR="00D2622F" w:rsidRPr="00E32F72" w:rsidRDefault="00E32F72" w:rsidP="006F7565">
      <w:pPr>
        <w:numPr>
          <w:ilvl w:val="0"/>
          <w:numId w:val="8"/>
        </w:numPr>
        <w:tabs>
          <w:tab w:val="clear" w:pos="1080"/>
          <w:tab w:val="num" w:pos="0"/>
          <w:tab w:val="left" w:pos="990"/>
        </w:tabs>
        <w:spacing w:after="0" w:line="240" w:lineRule="auto"/>
        <w:ind w:left="0" w:firstLine="117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 MWth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Wth;</w:t>
      </w:r>
    </w:p>
    <w:p w:rsidR="00D2622F" w:rsidRPr="00E32F72" w:rsidRDefault="00E32F72" w:rsidP="006F7565">
      <w:pPr>
        <w:numPr>
          <w:ilvl w:val="0"/>
          <w:numId w:val="8"/>
        </w:numPr>
        <w:tabs>
          <w:tab w:val="clear" w:pos="1080"/>
          <w:tab w:val="num" w:pos="0"/>
          <w:tab w:val="left" w:pos="990"/>
        </w:tabs>
        <w:spacing w:after="0" w:line="240" w:lineRule="auto"/>
        <w:ind w:left="0" w:firstLine="117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tehnoloških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posredno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sušenje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prerade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 kWth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Wth.</w:t>
      </w:r>
    </w:p>
    <w:p w:rsidR="00D2622F" w:rsidRPr="00E32F72" w:rsidRDefault="00566E6D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Wth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navedena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E32F72" w:rsidP="009D03F0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117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naftni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koks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ugalj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koks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briketi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uglja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biomasa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mehaničkom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tretmanu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drvetu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vlažnog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drveta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upotrebljavaju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proizvođač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pogodna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9D03F0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117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loženje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EVRO S,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loženje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S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loženje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specijalno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NSG-S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naftnog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porekla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energetska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stavljaju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tržište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biogorivo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biološke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prerade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prehrambene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industrije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9D03F0">
      <w:pPr>
        <w:numPr>
          <w:ilvl w:val="0"/>
          <w:numId w:val="9"/>
        </w:numPr>
        <w:tabs>
          <w:tab w:val="left" w:pos="0"/>
          <w:tab w:val="left" w:pos="720"/>
          <w:tab w:val="left" w:pos="990"/>
        </w:tabs>
        <w:spacing w:after="0" w:line="240" w:lineRule="auto"/>
        <w:ind w:left="0" w:firstLine="117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koksni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sintetski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rafinerijski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visokih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peći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biogas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deponijski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tretmana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kaptažni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probnog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pojedinačna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 kWth,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kWth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D2622F" w:rsidP="00D2622F">
      <w:pPr>
        <w:tabs>
          <w:tab w:val="left" w:pos="993"/>
          <w:tab w:val="left" w:pos="1134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D2622F" w:rsidP="00D2622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II.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</w:p>
    <w:p w:rsidR="00D2622F" w:rsidRPr="00E32F72" w:rsidRDefault="00D2622F" w:rsidP="00D2622F">
      <w:pPr>
        <w:tabs>
          <w:tab w:val="left" w:pos="720"/>
          <w:tab w:val="left" w:pos="2552"/>
          <w:tab w:val="left" w:pos="340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</w:p>
    <w:p w:rsidR="00D2622F" w:rsidRPr="00E32F72" w:rsidRDefault="00D2622F" w:rsidP="00D2622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 </w:t>
      </w:r>
    </w:p>
    <w:p w:rsidR="00D2622F" w:rsidRPr="00E32F72" w:rsidRDefault="00D2622F" w:rsidP="00D2622F">
      <w:pPr>
        <w:tabs>
          <w:tab w:val="left" w:pos="0"/>
          <w:tab w:val="left" w:pos="720"/>
          <w:tab w:val="left" w:pos="1080"/>
          <w:tab w:val="left" w:pos="340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5873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-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(SO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azota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x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praškaste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ugljen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monoksid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0"/>
          <w:tab w:val="left" w:pos="720"/>
          <w:tab w:val="left" w:pos="1080"/>
          <w:tab w:val="left" w:pos="340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usaglašavaju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pojedinačnim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počev</w:t>
      </w:r>
      <w:r w:rsidR="001574E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574E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1574E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1574E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574E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1574E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1574E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obuhvaćena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preliminarnom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0"/>
          <w:tab w:val="left" w:pos="720"/>
          <w:tab w:val="left" w:pos="1080"/>
          <w:tab w:val="left" w:pos="340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5873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-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(SO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azota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x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praškaste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ugljen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monoksid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520F3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520F3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20F3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520F3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58731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(SO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azota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x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praškaste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ugljen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monoksid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E22A3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E22A3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22A3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E22A3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D2622F" w:rsidRPr="00E32F72" w:rsidRDefault="00D2622F" w:rsidP="00D2622F">
      <w:pPr>
        <w:tabs>
          <w:tab w:val="left" w:pos="0"/>
          <w:tab w:val="left" w:pos="720"/>
          <w:tab w:val="left" w:pos="1080"/>
          <w:tab w:val="left" w:pos="340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kriterijume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definisanje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pokretanja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zaustavljanja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0"/>
          <w:tab w:val="left" w:pos="720"/>
          <w:tab w:val="left" w:pos="1080"/>
          <w:tab w:val="left" w:pos="340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100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CB33E1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ograničenog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D2622F" w:rsidRPr="00E32F72" w:rsidRDefault="00D2622F" w:rsidP="00D2622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6.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E32F72" w:rsidP="00307F98">
      <w:pPr>
        <w:numPr>
          <w:ilvl w:val="0"/>
          <w:numId w:val="10"/>
        </w:numPr>
        <w:tabs>
          <w:tab w:val="left" w:pos="540"/>
          <w:tab w:val="left" w:pos="90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preliminarnu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decembra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20 000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konačnu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listom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prijavljena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preliminarnoj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2622F" w:rsidRPr="00E32F72" w:rsidRDefault="00E32F72" w:rsidP="00307F98">
      <w:pPr>
        <w:numPr>
          <w:ilvl w:val="0"/>
          <w:numId w:val="10"/>
        </w:numPr>
        <w:tabs>
          <w:tab w:val="left" w:pos="540"/>
          <w:tab w:val="left" w:pos="90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utrošenom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neutrošenom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namenjen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preostali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2271B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71B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2271B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A2B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EA2B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2271B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EA2B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2E061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decembra</w:t>
      </w:r>
      <w:r w:rsidR="002E061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2023</w:t>
      </w:r>
      <w:r w:rsidR="00EA2B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EA2B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utroši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20 000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A329E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A329E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nastavi</w:t>
      </w:r>
      <w:r w:rsidR="00EA2B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A2B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radom</w:t>
      </w:r>
      <w:r w:rsidR="00A329E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A329E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A329E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460BD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</w:t>
      </w:r>
      <w:r w:rsidR="004460BD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4460BD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FD5A8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FD5A8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D5A8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FD5A8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D5A8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propisanim</w:t>
      </w:r>
      <w:r w:rsidR="008464D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BA75CC" w:rsidRPr="00E32F72" w:rsidRDefault="00BA75CC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A75CC" w:rsidRPr="00E32F72" w:rsidRDefault="00BA75CC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D2622F" w:rsidP="00D2622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sr-Latn-CS"/>
        </w:rPr>
      </w:pPr>
    </w:p>
    <w:p w:rsidR="003B44A2" w:rsidRPr="00E32F72" w:rsidRDefault="003B44A2" w:rsidP="00D2622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sr-Latn-CS"/>
        </w:rPr>
      </w:pPr>
    </w:p>
    <w:p w:rsidR="003B44A2" w:rsidRPr="00E32F72" w:rsidRDefault="003B44A2" w:rsidP="00D2622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sr-Latn-CS"/>
        </w:rPr>
      </w:pPr>
    </w:p>
    <w:p w:rsidR="00D2622F" w:rsidRPr="00E32F72" w:rsidRDefault="00E32F72" w:rsidP="00D2622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integrisanoj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strožije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postizanje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Integrisanom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postizanje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</w:p>
    <w:p w:rsidR="00D2622F" w:rsidRPr="00E32F72" w:rsidRDefault="00D2622F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8. </w:t>
      </w:r>
    </w:p>
    <w:p w:rsidR="00D2622F" w:rsidRPr="00E32F72" w:rsidRDefault="00E32F72" w:rsidP="00D2622F">
      <w:pPr>
        <w:tabs>
          <w:tab w:val="left" w:pos="0"/>
          <w:tab w:val="left" w:pos="990"/>
          <w:tab w:val="left" w:pos="1080"/>
          <w:tab w:val="left" w:pos="3402"/>
          <w:tab w:val="left" w:pos="354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pripremiti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poštuju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E200D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53B4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94552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(SO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azota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x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izražene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praškaste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referentnu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procenat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postizanje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procenata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umanjiće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azota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praškastih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postigli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primenile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2539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Umanjenje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godišnjih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planova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korišćenog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toplotne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snage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uprosečenih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poslednjih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obavezama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preuzetim</w:t>
      </w:r>
      <w:r w:rsidR="00F4425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44250" w:rsidRPr="00E32F72">
        <w:rPr>
          <w:rFonts w:ascii="Arial" w:hAnsi="Arial" w:cs="Arial"/>
          <w:b/>
          <w:bCs/>
          <w:noProof/>
          <w:kern w:val="36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Zakona</w:t>
      </w:r>
      <w:r w:rsidR="004E2539" w:rsidRPr="00E32F72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o</w:t>
      </w:r>
      <w:r w:rsidR="004E2539" w:rsidRPr="00E32F72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ratifikaciji</w:t>
      </w:r>
      <w:r w:rsidR="004E2539" w:rsidRPr="00E32F72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Ugovora</w:t>
      </w:r>
      <w:r w:rsidR="004E2539" w:rsidRPr="00E32F72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o</w:t>
      </w:r>
      <w:r w:rsidR="004E2539" w:rsidRPr="00E32F72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osnivanju</w:t>
      </w:r>
      <w:r w:rsidR="004E2539" w:rsidRPr="00E32F72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Energetske</w:t>
      </w:r>
      <w:r w:rsidR="00F44250" w:rsidRPr="00E32F72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zajednice</w:t>
      </w:r>
      <w:r w:rsidR="00F44250" w:rsidRPr="00E32F72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između</w:t>
      </w:r>
      <w:r w:rsidR="004E2539" w:rsidRPr="00E32F72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Albanije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Bugarske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Bosne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Hercegovine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Hrvatske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Bivše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Jugoslovenske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Makedonije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Crne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Rumunije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Misije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Ujedinjenih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nacija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Kosovu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Rezolucijom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1244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Ujedinjenih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nacija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E2539" w:rsidRPr="00E32F7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62/06).</w:t>
      </w:r>
    </w:p>
    <w:p w:rsidR="00D2622F" w:rsidRPr="00E32F72" w:rsidRDefault="004E2539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azota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praškastih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</w:t>
      </w:r>
      <w:r w:rsidR="0056126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Zatvaranje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uključenog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dovesti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povećanja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preostalih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obuhvaćenih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pojedina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integrisanom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sprečavanju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kontroli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B44A2" w:rsidRPr="00E32F72" w:rsidRDefault="003B44A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990"/>
          <w:tab w:val="left" w:pos="144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Nacionalni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primenjuje</w:t>
      </w:r>
      <w:r w:rsidR="004A098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A098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</w:t>
      </w:r>
      <w:r w:rsidR="004A098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decembra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tabs>
          <w:tab w:val="left" w:pos="990"/>
          <w:tab w:val="left" w:pos="144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Konačnu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konačnu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listu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obuhvaćena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prijavljena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preliminarnoj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tabs>
          <w:tab w:val="left" w:pos="990"/>
          <w:tab w:val="left" w:pos="144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ocene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realnih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ostvarenih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projekcije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uzimajući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obzir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finansijska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definisan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realizacije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tabs>
          <w:tab w:val="left" w:pos="990"/>
          <w:tab w:val="left" w:pos="144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mehanizam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990"/>
          <w:tab w:val="left" w:pos="423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990"/>
          <w:tab w:val="left" w:pos="423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9.</w:t>
      </w:r>
    </w:p>
    <w:p w:rsidR="00D2622F" w:rsidRPr="00E32F72" w:rsidRDefault="00D2622F" w:rsidP="00D2622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I</w:t>
      </w:r>
      <w:r w:rsidR="00CB0D6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1, 2.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II</w:t>
      </w:r>
      <w:r w:rsidR="00CB0D6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III</w:t>
      </w:r>
      <w:r w:rsidR="00CB0D6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gde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SO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odsumporavanja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I</w:t>
      </w:r>
      <w:r w:rsidR="005756B5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turbina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azota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2023.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primenjivih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I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1, 2.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II</w:t>
      </w:r>
      <w:r w:rsidR="005756B5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III</w:t>
      </w:r>
      <w:r w:rsidR="005756B5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gde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SO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odsumporavanja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I</w:t>
      </w:r>
      <w:r w:rsidR="005756B5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turbina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azota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3236A6" w:rsidP="00D2622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2019-2022.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prateći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linearan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trend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2023.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D2622F" w:rsidP="00D2622F">
      <w:pPr>
        <w:tabs>
          <w:tab w:val="left" w:pos="0"/>
          <w:tab w:val="left" w:pos="720"/>
          <w:tab w:val="left" w:pos="1080"/>
          <w:tab w:val="left" w:pos="340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2026.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2027.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primenjivih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gde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SO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odsumporavanja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3A762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odsumporavanja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</w:p>
    <w:p w:rsidR="00D2622F" w:rsidRPr="00E32F72" w:rsidRDefault="00D2622F" w:rsidP="00D2622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2024.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2025.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prateći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linearno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2023.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2026.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D2622F" w:rsidP="00D2622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Izuzetno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deo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I</w:t>
      </w:r>
      <w:r w:rsidR="008B02BB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.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tačka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stara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jednake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40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0 MWth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navedenog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operativni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prosek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petogodišnjem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):</w:t>
      </w:r>
    </w:p>
    <w:p w:rsidR="00D2622F" w:rsidRPr="00E32F72" w:rsidRDefault="00D2622F" w:rsidP="00D2622F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2000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časova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31.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decembra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2023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godine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;</w:t>
      </w:r>
    </w:p>
    <w:p w:rsidR="00D2622F" w:rsidRPr="00E32F72" w:rsidRDefault="00D2622F" w:rsidP="00D2622F">
      <w:pPr>
        <w:numPr>
          <w:ilvl w:val="0"/>
          <w:numId w:val="11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1500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časova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2024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godine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; 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primenjuje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800 mg/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normalni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vertAlign w:val="superscript"/>
          <w:lang w:val="sr-Latn-CS"/>
        </w:rPr>
        <w:t>3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uslovom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ovakvog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pisanu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izjavu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potpisanu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overenu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strane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odgovornog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će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radi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uslovima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propisanim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ovim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stavom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. </w:t>
      </w:r>
    </w:p>
    <w:p w:rsidR="00D2622F" w:rsidRPr="00E32F72" w:rsidRDefault="00D2622F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540"/>
          <w:tab w:val="left" w:pos="1800"/>
          <w:tab w:val="left" w:pos="1980"/>
          <w:tab w:val="left" w:pos="2160"/>
          <w:tab w:val="left" w:pos="2410"/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540"/>
          <w:tab w:val="left" w:pos="1800"/>
          <w:tab w:val="left" w:pos="1980"/>
          <w:tab w:val="left" w:pos="2160"/>
          <w:tab w:val="left" w:pos="2410"/>
          <w:tab w:val="left" w:pos="255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Kvar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</w:p>
    <w:p w:rsidR="00D2622F" w:rsidRPr="00E32F72" w:rsidRDefault="00D2622F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11.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vraćanje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normalan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postigne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zaustavi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48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trenutka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120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4C234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1,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C234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4C234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4C234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4C234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4C234E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pokretanja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12.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1</w:t>
      </w:r>
      <w:r w:rsidR="00877E1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odstupanje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E32F72" w:rsidP="00A27042">
      <w:pPr>
        <w:numPr>
          <w:ilvl w:val="0"/>
          <w:numId w:val="12"/>
        </w:numPr>
        <w:tabs>
          <w:tab w:val="left" w:pos="540"/>
          <w:tab w:val="left" w:pos="990"/>
        </w:tabs>
        <w:spacing w:after="0" w:line="240" w:lineRule="auto"/>
        <w:ind w:hanging="927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prioritetna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A27042">
      <w:pPr>
        <w:numPr>
          <w:ilvl w:val="0"/>
          <w:numId w:val="12"/>
        </w:numPr>
        <w:tabs>
          <w:tab w:val="clear" w:pos="1647"/>
          <w:tab w:val="num" w:pos="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ograničenom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zamenjeno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izazvalo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povećanje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A27042">
      <w:pPr>
        <w:tabs>
          <w:tab w:val="num" w:pos="0"/>
          <w:tab w:val="left" w:pos="9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13. </w:t>
      </w:r>
    </w:p>
    <w:p w:rsidR="00D2622F" w:rsidRPr="00E32F72" w:rsidRDefault="00E32F72" w:rsidP="00D262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7364C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7364C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7364C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7364C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šest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obično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zadovolji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usled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nestašice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tržištu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prioritetna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električnom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445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445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445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445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445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niskosumpornim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rezultatima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potrošnji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niskosumpornog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iznenadnog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gasom</w:t>
      </w:r>
      <w:r w:rsidR="00672DE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672DE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672DE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672DE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72DE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odobri</w:t>
      </w:r>
      <w:r w:rsidR="00672DE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trebalo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opremljeno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prečišćavanje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iznenadnog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deset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prioritetna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otkloni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uspostavi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normalno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1440"/>
          <w:tab w:val="left" w:pos="1985"/>
          <w:tab w:val="left" w:pos="2268"/>
          <w:tab w:val="left" w:pos="241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1440"/>
          <w:tab w:val="left" w:pos="1985"/>
          <w:tab w:val="left" w:pos="2268"/>
          <w:tab w:val="left" w:pos="24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</w:p>
    <w:p w:rsidR="00D2622F" w:rsidRPr="00E32F72" w:rsidRDefault="00D2622F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starih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postojećih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istovremeno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povećanja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kapaciteta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19.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postupku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izdavanja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integrisane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dozvole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utvrđuje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226FD4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226FD4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4D06E2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prema</w:t>
      </w:r>
      <w:r w:rsidR="004D06E2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sledećem</w:t>
      </w:r>
      <w:r w:rsidR="004D06E2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redosledu</w:t>
      </w:r>
      <w:r w:rsidR="00226FD4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="00226FD4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:</w:t>
      </w:r>
    </w:p>
    <w:p w:rsidR="00D2622F" w:rsidRPr="00E32F72" w:rsidRDefault="00D2622F" w:rsidP="006F5789">
      <w:pPr>
        <w:numPr>
          <w:ilvl w:val="0"/>
          <w:numId w:val="13"/>
        </w:numPr>
        <w:tabs>
          <w:tab w:val="clear" w:pos="360"/>
          <w:tab w:val="left" w:pos="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uzimanjem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posebno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svako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svaku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zagađujuću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materiju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odgovaraju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određenoj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toplotnoj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snazi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starosti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velikog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skladu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1.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;</w:t>
      </w:r>
    </w:p>
    <w:p w:rsidR="00D2622F" w:rsidRPr="00E32F72" w:rsidRDefault="00E32F72" w:rsidP="006F5789">
      <w:pPr>
        <w:numPr>
          <w:ilvl w:val="0"/>
          <w:numId w:val="13"/>
        </w:numPr>
        <w:tabs>
          <w:tab w:val="clear" w:pos="360"/>
          <w:tab w:val="left" w:pos="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određivanjem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osnovu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udela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dobijaju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množenjem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pojedinačne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tačke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proizvodi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tako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dobijeni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rezultat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podeli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zbirom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proizvode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;</w:t>
      </w:r>
    </w:p>
    <w:p w:rsidR="00D2622F" w:rsidRPr="00E32F72" w:rsidRDefault="00E32F72" w:rsidP="006F5789">
      <w:pPr>
        <w:numPr>
          <w:ilvl w:val="0"/>
          <w:numId w:val="13"/>
        </w:numPr>
        <w:tabs>
          <w:tab w:val="clear" w:pos="360"/>
          <w:tab w:val="left" w:pos="0"/>
          <w:tab w:val="left" w:pos="1080"/>
          <w:tab w:val="left" w:pos="153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sabiranjem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dobijenih</w:t>
      </w:r>
      <w:r w:rsidR="00A855E3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</w:t>
      </w:r>
      <w:r w:rsidR="00A855E3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način</w:t>
      </w:r>
      <w:r w:rsidR="00A855E3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utvrđen</w:t>
      </w:r>
      <w:r w:rsidR="00A855E3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A855E3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tački</w:t>
      </w:r>
      <w:r w:rsidR="00A855E3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2)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ovog</w:t>
      </w:r>
      <w:r w:rsidR="00A855E3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izdavanja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integrisane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dozvole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izračunava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propisan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stavu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svaki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konkretan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slučaj</w:t>
      </w:r>
      <w:r w:rsidR="00D2622F"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starih</w:t>
      </w:r>
      <w:r w:rsidR="002C0F28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2C0F28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="002C0F28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postojećih</w:t>
      </w:r>
      <w:r w:rsidR="002C0F28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velikih</w:t>
      </w:r>
      <w:r w:rsidR="002C0F28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kojima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sopstvenu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potrošnju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rafineriji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istovremeno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neka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ostaci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procesa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destilacije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procesa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prerade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sirove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nafte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samostalno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smeši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drugim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gorivima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najvećim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određujuće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nezavisno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14.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stav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toku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rada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udeo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određujućeg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zbiru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dobijenih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iznosi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najmanje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50%.</w:t>
      </w:r>
    </w:p>
    <w:p w:rsidR="00D2622F" w:rsidRPr="00E32F72" w:rsidRDefault="00E32F72" w:rsidP="000C6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udeo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određujućeg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manji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50%,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izračunava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osnovu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doprinosa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toplotnoj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snazi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pojedinačnih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odnosu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zbir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snaga</w:t>
      </w:r>
      <w:r w:rsidR="003F48DD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koje</w:t>
      </w:r>
      <w:r w:rsidR="003F48DD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proizvode</w:t>
      </w:r>
      <w:r w:rsidR="003F48DD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</w:t>
      </w:r>
      <w:r w:rsidR="003F48DD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3F48DD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prema</w:t>
      </w:r>
      <w:r w:rsidR="003F48DD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sledećem</w:t>
      </w:r>
      <w:r w:rsidR="003F48DD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redosledu</w:t>
      </w:r>
      <w:r w:rsidR="003F48DD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="003F48DD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:</w:t>
      </w:r>
    </w:p>
    <w:p w:rsidR="00D2622F" w:rsidRPr="00E32F72" w:rsidRDefault="00E32F72" w:rsidP="000C666A">
      <w:pPr>
        <w:numPr>
          <w:ilvl w:val="0"/>
          <w:numId w:val="14"/>
        </w:numPr>
        <w:tabs>
          <w:tab w:val="clear" w:pos="360"/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uzimanjem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posebno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svaku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zagađujuću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materiju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odgovaraju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određenoj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toplotnoj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snazi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1.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;</w:t>
      </w:r>
    </w:p>
    <w:p w:rsidR="00D2622F" w:rsidRPr="00E32F72" w:rsidRDefault="00E32F72" w:rsidP="000C666A">
      <w:pPr>
        <w:numPr>
          <w:ilvl w:val="0"/>
          <w:numId w:val="14"/>
        </w:numPr>
        <w:tabs>
          <w:tab w:val="clear" w:pos="360"/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izračunavanjem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određujuće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najvećom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vrednošću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imaju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iste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ima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veću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).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dobija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množenjem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navedene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Prilogu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faktorom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2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umanjivanjem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dobijenog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rezultata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najnižom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vrednošću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;</w:t>
      </w:r>
    </w:p>
    <w:p w:rsidR="00D2622F" w:rsidRPr="00E32F72" w:rsidRDefault="00E32F72" w:rsidP="000C666A">
      <w:pPr>
        <w:numPr>
          <w:ilvl w:val="0"/>
          <w:numId w:val="14"/>
        </w:numPr>
        <w:tabs>
          <w:tab w:val="clear" w:pos="360"/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određivanjem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osnovu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udela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dobijaju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množenjem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izračunate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određujuće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ostalih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daje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pojedinačno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tako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dobijeni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rezultat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podeli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zbirom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toplotnih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proizvode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;</w:t>
      </w:r>
    </w:p>
    <w:p w:rsidR="00D2622F" w:rsidRPr="00E32F72" w:rsidRDefault="00D2622F" w:rsidP="000C666A">
      <w:pPr>
        <w:numPr>
          <w:ilvl w:val="0"/>
          <w:numId w:val="14"/>
        </w:numPr>
        <w:tabs>
          <w:tab w:val="clear" w:pos="360"/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sabiranjem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svih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graničnih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dobijenih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način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utvrđen</w:t>
      </w:r>
      <w:r w:rsidR="005F419A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5F419A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tački</w:t>
      </w:r>
      <w:r w:rsidR="005F419A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3)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ovog</w:t>
      </w:r>
      <w:r w:rsidR="005F419A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stava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izdavanja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integrisane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dozvole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veliko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stava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ovog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člana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izračunava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način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propisan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stavu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2.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ovog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člana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svaki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konkretan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slučaj</w:t>
      </w:r>
      <w:r w:rsidRPr="00E32F72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16.</w:t>
      </w:r>
    </w:p>
    <w:p w:rsidR="00D2622F" w:rsidRPr="00E32F72" w:rsidRDefault="00E32F72" w:rsidP="002F4A3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lastRenderedPageBreak/>
        <w:t>Stara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velika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postojeća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velika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osim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graničnih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člana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15.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C47B7C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mogu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primenjivati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sledeće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prosečne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nezavisno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kombinacije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):</w:t>
      </w:r>
    </w:p>
    <w:p w:rsidR="00D2622F" w:rsidRPr="00E32F72" w:rsidRDefault="00E32F72" w:rsidP="002F4A32">
      <w:pPr>
        <w:numPr>
          <w:ilvl w:val="0"/>
          <w:numId w:val="15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stara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: 1000 mg/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normalni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vertAlign w:val="superscript"/>
          <w:lang w:val="sr-Latn-CS"/>
        </w:rPr>
        <w:t>3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takva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okviru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rafinerije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;</w:t>
      </w:r>
    </w:p>
    <w:p w:rsidR="00D2622F" w:rsidRPr="00E32F72" w:rsidRDefault="00E32F72" w:rsidP="002F4A32">
      <w:pPr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postojeća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: 600 mg/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normalni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vertAlign w:val="superscript"/>
          <w:lang w:val="sr-Latn-CS"/>
        </w:rPr>
        <w:t>3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takva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okviru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rafinerije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osim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gasnih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turbina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Uprosečene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mogu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primeniti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samo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time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dovede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povećanja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postojećih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288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starih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postojećih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alternativno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povećanja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kapaciteta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19.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pojedinačno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18.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ispuštaju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kontrolisan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dimnjaka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izračunava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zdravlje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ljudi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80C7B" w:rsidRPr="00E32F72" w:rsidRDefault="00D80C7B" w:rsidP="00D2622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80C7B" w:rsidRPr="00E32F72" w:rsidRDefault="00D80C7B" w:rsidP="00D2622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Član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19.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povećava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MWth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tehnološke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</w:t>
      </w:r>
      <w:r w:rsidR="007812E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tehnološku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snazi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integrisanom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sprečavanju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kontroli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slučaju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iz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stava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ovog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člana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granične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vrednosti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emisija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sumpor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dioksid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okside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azota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praškaste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materije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ugljen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monoksid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date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Prilogu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1.</w:t>
      </w:r>
      <w:r w:rsidR="007812E4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pod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V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primenjuju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na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deo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postrojenja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koji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izmenjen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odnosu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na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ukupnu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toplotnu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snagu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celog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postrojenja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>sagorevanje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x-none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uvećan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MWth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tehnološke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</w:t>
      </w:r>
      <w:r w:rsidR="007812E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snazi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uvećan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 MWth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tehnološke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8D618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snazi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D2622F" w:rsidP="00D2622F">
      <w:pPr>
        <w:spacing w:after="0" w:line="240" w:lineRule="auto"/>
        <w:ind w:firstLine="550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III.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</w:p>
    <w:p w:rsidR="00D2622F" w:rsidRPr="00E32F72" w:rsidRDefault="00D2622F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268"/>
          <w:tab w:val="left" w:pos="2835"/>
          <w:tab w:val="left" w:pos="3402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D2622F" w:rsidRPr="00E32F72" w:rsidRDefault="00D2622F" w:rsidP="00D2622F">
      <w:pPr>
        <w:tabs>
          <w:tab w:val="left" w:pos="2860"/>
          <w:tab w:val="left" w:pos="3410"/>
          <w:tab w:val="left" w:pos="3630"/>
          <w:tab w:val="left" w:pos="3960"/>
        </w:tabs>
        <w:spacing w:after="0" w:line="240" w:lineRule="auto"/>
        <w:ind w:left="108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9D2BE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7978B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rade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manje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100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godišnje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288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ograničenog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</w:p>
    <w:p w:rsidR="00D2622F" w:rsidRPr="00E32F72" w:rsidRDefault="00D2622F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21.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E32F72" w:rsidP="003B197B">
      <w:pPr>
        <w:numPr>
          <w:ilvl w:val="0"/>
          <w:numId w:val="16"/>
        </w:numPr>
        <w:tabs>
          <w:tab w:val="left" w:pos="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20 000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3B197B">
      <w:pPr>
        <w:numPr>
          <w:ilvl w:val="0"/>
          <w:numId w:val="16"/>
        </w:numPr>
        <w:tabs>
          <w:tab w:val="left" w:pos="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utrošenom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neutrošenom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namenjen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preostali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FD0228" w:rsidRPr="00E32F72" w:rsidRDefault="00E32F72" w:rsidP="00FD022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postrojenje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utroši</w:t>
      </w:r>
      <w:r w:rsidR="007D56F1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20 000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D56F1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D56F1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postrojenje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nastavi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CB1AAC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B1AAC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CB1AAC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404317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8464D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8464D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8464D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8464D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8464D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propisanim</w:t>
      </w:r>
      <w:r w:rsidR="008464D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FD02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2E55CB" w:rsidRPr="00E32F72" w:rsidRDefault="002E55CB" w:rsidP="00FD022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22.</w:t>
      </w:r>
    </w:p>
    <w:p w:rsidR="00D2622F" w:rsidRPr="00E32F72" w:rsidRDefault="0045775C" w:rsidP="00D262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šest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obično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zadovolji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usled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nestašice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prioritetna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električnom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niskosumpornim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rezultatima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potrošnji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niskosumpornog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D2622F" w:rsidP="00D262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iznenadnog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gasom</w:t>
      </w:r>
      <w:r w:rsidR="0045775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F809F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trebalo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opremljeno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uređajima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prečišćavanje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iznenadnog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najviše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deste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prioritetna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otkloni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uspostavi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normalno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gasovitim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2880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23.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ugrađene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120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neprekidno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45775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5775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45775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5775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="0045775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48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trenutka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prestanka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5E7CE4" w:rsidRPr="00E32F72" w:rsidRDefault="005E7CE4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srednjih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istovremeno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sagoreva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izračunava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merenje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srednjim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postrojenjima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alternativno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5C0903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8E75A6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,</w:t>
      </w:r>
      <w:r w:rsidR="005C0903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pojedinačno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prelazu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čvrstog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tečno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gasovito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čvrsto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deo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I.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još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naredna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četiri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časa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trenutka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zamene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korišćenog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Tokom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pokretanja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zaustavljanja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uklanjanje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projektovan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fluidizovanom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sloju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</w:t>
      </w:r>
      <w:r w:rsidR="00F5190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F5190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alternativno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istovremeno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D2622F" w:rsidP="00D2622F">
      <w:pPr>
        <w:spacing w:after="0" w:line="240" w:lineRule="auto"/>
        <w:ind w:firstLine="550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IV.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</w:p>
    <w:p w:rsidR="00D2622F" w:rsidRPr="00E32F72" w:rsidRDefault="00D2622F" w:rsidP="00D2622F">
      <w:pPr>
        <w:tabs>
          <w:tab w:val="left" w:pos="2268"/>
          <w:tab w:val="left" w:pos="2835"/>
          <w:tab w:val="left" w:pos="3402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268"/>
          <w:tab w:val="left" w:pos="2835"/>
          <w:tab w:val="left" w:pos="3410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D2622F" w:rsidRPr="00E32F72" w:rsidRDefault="00D2622F" w:rsidP="00D2622F">
      <w:pPr>
        <w:tabs>
          <w:tab w:val="left" w:pos="2268"/>
          <w:tab w:val="left" w:pos="2835"/>
          <w:tab w:val="left" w:pos="3410"/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25.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43EC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C43EC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 w:rsidR="002B08F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3575EB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rade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manje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100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godišnje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ograničenog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</w:p>
    <w:p w:rsidR="00D2622F" w:rsidRPr="00E32F72" w:rsidRDefault="00D2622F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26.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Postojeća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usklađivanja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E32F72" w:rsidP="00137C38">
      <w:pPr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20 000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D2622F" w:rsidRPr="00E32F72" w:rsidRDefault="00E32F72" w:rsidP="00137C38">
      <w:pPr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utrošenom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neutrošenom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namenjen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preostali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1C002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juna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utroši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20 000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F9789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nastavi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radom</w:t>
      </w:r>
      <w:r w:rsidR="00572EC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0431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="0040431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1C002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4E2A1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4E2A1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E2A1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4E2A1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4E2A1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propisanim</w:t>
      </w:r>
      <w:r w:rsidR="004E2A1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418B4" w:rsidRPr="00E32F72" w:rsidRDefault="00D418B4" w:rsidP="00D2622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27.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ugrađene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120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neprekidno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48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trenutka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prestanka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28.</w:t>
      </w:r>
    </w:p>
    <w:p w:rsidR="00D2622F" w:rsidRPr="00E32F72" w:rsidRDefault="00E32F72" w:rsidP="00D262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šest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obično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zadovolji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usled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nestašice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prioritetna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toplotnom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toplom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sanitarnom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električnom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8648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B8648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B8648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B8648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8648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niskosumpornim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rezultatima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potrošnji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niskosumpornog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prekoračenje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iznenadnog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733F6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gasom</w:t>
      </w:r>
      <w:r w:rsidR="00733F6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odstupanje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trebalo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opremljeno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prečišćavanje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iznenadnog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deset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prioritetna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energijom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otkloni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uspostavi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normalno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gasovitim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418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poremećaj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snabdevanju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niskim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29.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malih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istovremeno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sagoreva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>izračunava</w:t>
      </w:r>
      <w:r w:rsidR="00D2622F" w:rsidRPr="00E32F72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merenje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način</w:t>
      </w:r>
      <w:r w:rsidR="00D2622F" w:rsidRPr="00E32F7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malim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postrojenjima</w:t>
      </w:r>
      <w:r w:rsidR="003F38FA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koja</w:t>
      </w:r>
      <w:r w:rsidR="003F38FA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alternativno</w:t>
      </w:r>
      <w:r w:rsidR="003F38FA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koriste</w:t>
      </w:r>
      <w:r w:rsidR="003F38FA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dve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AE7E41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485565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,</w:t>
      </w:r>
      <w:r w:rsidR="00AE7E41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svako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pojedinačno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koje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prelazu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čvrstog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tečno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gasovito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čvrsto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deo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I.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ove</w:t>
      </w:r>
      <w:r w:rsidR="00AE7E41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uredbe</w:t>
      </w:r>
      <w:r w:rsidR="00485565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,</w:t>
      </w:r>
      <w:r w:rsidR="00AE7E41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još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naredna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četiri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sata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trenutka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zamene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korišćenog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>Tokom</w:t>
      </w:r>
      <w:r w:rsidRPr="00E32F72">
        <w:rPr>
          <w:rFonts w:ascii="Times New Roman" w:eastAsia="Calibri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pokretanja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zaustavljanja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razloga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uklanjanje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projektovan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čvrsta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fluidizovanom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sloju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najveće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čvrsta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47FCB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alternativno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istovremeno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goriva</w:t>
      </w:r>
      <w:r w:rsidR="00D2622F"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D2622F" w:rsidP="00D2622F">
      <w:pPr>
        <w:tabs>
          <w:tab w:val="left" w:pos="0"/>
          <w:tab w:val="left" w:pos="720"/>
          <w:tab w:val="left" w:pos="1080"/>
          <w:tab w:val="left" w:pos="340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D2622F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V.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</w:p>
    <w:p w:rsidR="00D2622F" w:rsidRPr="00E32F72" w:rsidRDefault="00D2622F" w:rsidP="00D262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30.</w:t>
      </w:r>
    </w:p>
    <w:p w:rsidR="00D2622F" w:rsidRPr="00E32F72" w:rsidRDefault="00E32F72" w:rsidP="00D26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uspostavlja</w:t>
      </w:r>
      <w:r w:rsidR="00A41D1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Agencija</w:t>
      </w:r>
      <w:r w:rsidR="007D730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metodologija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metodologija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prikupljanja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količine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emitovanih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sumpor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dioksida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oksida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azota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praškastih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bilansu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</w:p>
    <w:p w:rsidR="00D2622F" w:rsidRPr="00E32F72" w:rsidRDefault="00D2622F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31.</w:t>
      </w:r>
    </w:p>
    <w:p w:rsidR="00D2622F" w:rsidRPr="00E32F72" w:rsidRDefault="00D2622F" w:rsidP="00D2622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bilansu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tabeli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datoj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</w:t>
      </w:r>
      <w:r w:rsidR="008D618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08776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-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bilansu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obrazac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rezultati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kontinualnog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sprovedeni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rezultati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kontinualnog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obrazac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dobijeni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proračunom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rezultata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perodičnih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izvršenih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kalendarskoj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vazduha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100A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količine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rezultati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kontinualnog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povremenog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sprovedenih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stacionarnih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B3B19" w:rsidRPr="00E32F72" w:rsidRDefault="00CB3B19" w:rsidP="00D262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ograničenim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</w:p>
    <w:p w:rsidR="00D2622F" w:rsidRPr="00E32F72" w:rsidRDefault="00D2622F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32.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ograničen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proračun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preostalog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tabeli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100A1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uredbu</w:t>
      </w:r>
      <w:r w:rsidR="00100A1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00A1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100A1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</w:t>
      </w:r>
      <w:r w:rsidR="00100A1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100A1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100A1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kompleta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obrazaca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odštampanih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papirnoj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ograničen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proračun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preostalog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tabeli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6B5A3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kompleta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obrazaca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papirnoj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overen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tabs>
          <w:tab w:val="left" w:pos="4050"/>
          <w:tab w:val="left" w:pos="4140"/>
        </w:tabs>
        <w:spacing w:after="0" w:line="240" w:lineRule="auto"/>
        <w:ind w:left="3600" w:firstLine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33.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ograničenim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započinje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A550D0" w:rsidRPr="00E32F72" w:rsidRDefault="00A550D0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A550D0" w:rsidRPr="00E32F72" w:rsidRDefault="00A550D0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A550D0" w:rsidRPr="00E32F72" w:rsidRDefault="00A550D0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A550D0" w:rsidRPr="00E32F72" w:rsidRDefault="00A550D0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D2622F" w:rsidP="00D2622F">
      <w:pPr>
        <w:spacing w:after="0" w:line="240" w:lineRule="auto"/>
        <w:ind w:left="2160" w:firstLine="534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04798" w:rsidRPr="00E32F72" w:rsidRDefault="00B04798" w:rsidP="00D2622F">
      <w:pPr>
        <w:spacing w:after="0" w:line="240" w:lineRule="auto"/>
        <w:ind w:left="2160" w:firstLine="534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04798" w:rsidRPr="00E32F72" w:rsidRDefault="00B04798" w:rsidP="00D2622F">
      <w:pPr>
        <w:spacing w:after="0" w:line="240" w:lineRule="auto"/>
        <w:ind w:left="2160" w:firstLine="534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D2622F" w:rsidP="00D2622F">
      <w:pPr>
        <w:spacing w:after="0" w:line="240" w:lineRule="auto"/>
        <w:ind w:left="2160" w:firstLine="534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VI.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PRELAZNE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ZAVRŠNE</w:t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</w:p>
    <w:p w:rsidR="00D2622F" w:rsidRPr="00E32F72" w:rsidRDefault="00D2622F" w:rsidP="00D2622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34.</w:t>
      </w:r>
    </w:p>
    <w:p w:rsidR="00D2622F" w:rsidRPr="00E32F72" w:rsidRDefault="00D2622F" w:rsidP="00D2622F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ab/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nova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velika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postrojenja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sagorevanje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primenjuju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se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granične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vrednosti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emisija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zagađujućih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materija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propisane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ovom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uredbom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Prilogu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1.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pod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V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),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počev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od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1.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januara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2018. </w:t>
      </w:r>
      <w:r w:rsid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godine</w:t>
      </w:r>
      <w:r w:rsidRPr="00E32F72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),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uredbom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Prilogu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),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35.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1C5A4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4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usklade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1C5A4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1C5A40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A66FC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usklađene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</w:t>
      </w:r>
      <w:r w:rsidR="00DB526C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3F3F11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4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977087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F147F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C5740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7A087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srednjeg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F7AC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7A0879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garantovanoj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poslednjoj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rekonstrukciji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smanjivanje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izgradnji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ovakvog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rekonstrukcija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20 000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2022.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97708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ograničenog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veka</w:t>
      </w:r>
      <w:r w:rsidR="000269B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0269B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0269B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0269B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269B7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15456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C5740F" w:rsidRPr="00E32F72" w:rsidRDefault="00E32F72" w:rsidP="00C574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27D16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043E98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4798" w:rsidRPr="00E32F72" w:rsidRDefault="00B04798" w:rsidP="00C5740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04798" w:rsidRPr="00E32F72" w:rsidRDefault="00B04798" w:rsidP="00C5740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C5740F" w:rsidRPr="00E32F72" w:rsidRDefault="00E32F72" w:rsidP="00C5740F">
      <w:pPr>
        <w:tabs>
          <w:tab w:val="left" w:pos="2268"/>
          <w:tab w:val="left" w:pos="2552"/>
          <w:tab w:val="left" w:pos="3402"/>
          <w:tab w:val="left" w:pos="354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malog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7B767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7B767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7B767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7B767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7B767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7B767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garantovanoj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poslednjoj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rekonstrukciji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smanjivanje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izgradnji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ovakvog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rekonstrukcija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20 000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jula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C5740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B047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ograničenog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veka</w:t>
      </w:r>
      <w:r w:rsidR="00005F6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005F6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005F6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005F6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05F6A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Priloga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36.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pokretanja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zaustavljanja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D2622F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37. </w:t>
      </w:r>
    </w:p>
    <w:p w:rsidR="00D2622F" w:rsidRPr="00E32F72" w:rsidRDefault="00E32F72" w:rsidP="00B0479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obuhvaćena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operater</w:t>
      </w:r>
      <w:r w:rsidR="00F30A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30A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30A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obavezi</w:t>
      </w:r>
      <w:r w:rsidR="00F30A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F30A62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nesmetan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smanjivanje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postrojenja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sagorevanje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garantovanoj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poslednjoj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rekonstrukciji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postojećeg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smanjivanje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ovakvog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rekonstrukcija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38. </w:t>
      </w:r>
    </w:p>
    <w:p w:rsidR="00D2622F" w:rsidRPr="00E32F72" w:rsidRDefault="00E32F72" w:rsidP="00D2622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Danom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zagađujućih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vazduh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71/10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6/11</w:t>
      </w:r>
      <w:r w:rsidR="0043366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 w:rsidR="0043366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Pravilnik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graničnim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emisije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rokovima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evidentiranja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30/97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35/97 -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).</w:t>
      </w:r>
    </w:p>
    <w:p w:rsidR="00B04798" w:rsidRPr="00E32F72" w:rsidRDefault="00B04798" w:rsidP="00B04798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04798" w:rsidRPr="00E32F72" w:rsidRDefault="00E32F72" w:rsidP="00B04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39.</w:t>
      </w:r>
    </w:p>
    <w:p w:rsidR="00D2622F" w:rsidRPr="00E32F72" w:rsidRDefault="00E32F72" w:rsidP="00B0479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osmog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Službenom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”.</w:t>
      </w:r>
    </w:p>
    <w:p w:rsidR="00D2622F" w:rsidRPr="00E32F72" w:rsidRDefault="00D2622F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E32F72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:rsidR="00D2622F" w:rsidRPr="00E32F72" w:rsidRDefault="00E32F72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Beogradu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726EC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januara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</w:p>
    <w:p w:rsidR="00D2622F" w:rsidRPr="00E32F72" w:rsidRDefault="00E32F72" w:rsidP="00D262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</w:t>
      </w:r>
      <w:r w:rsidR="00D2622F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</w:p>
    <w:p w:rsidR="00D2622F" w:rsidRPr="00E32F72" w:rsidRDefault="00D2622F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D2622F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D2622F" w:rsidP="00D2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</w:t>
      </w:r>
    </w:p>
    <w:p w:rsidR="00D2622F" w:rsidRPr="00E32F72" w:rsidRDefault="00D2622F" w:rsidP="00D2622F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2622F" w:rsidRPr="00E32F72" w:rsidRDefault="00D2622F" w:rsidP="00D2622F">
      <w:pPr>
        <w:spacing w:after="0" w:line="240" w:lineRule="auto"/>
        <w:ind w:left="576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</w:t>
      </w:r>
      <w:r w:rsidR="00726EC3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D285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Aleksandar</w:t>
      </w:r>
      <w:r w:rsidR="009D2854"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Vučić</w:t>
      </w:r>
    </w:p>
    <w:p w:rsidR="00F62289" w:rsidRPr="00E32F72" w:rsidRDefault="00F62289">
      <w:pP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E32F72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br w:type="page"/>
      </w:r>
    </w:p>
    <w:p w:rsidR="007C3485" w:rsidRPr="00E32F72" w:rsidRDefault="00E32F72" w:rsidP="007C3485">
      <w:pPr>
        <w:pStyle w:val="Pasussalistom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PRILOG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(SO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OKSIDE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(SO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),</w:t>
      </w:r>
      <w:r w:rsidR="007C3485" w:rsidRPr="00E32F7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okside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(SO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)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tabs>
          <w:tab w:val="left" w:pos="54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>1.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goriva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6%)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grafikonu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drawing>
          <wp:inline distT="0" distB="0" distL="0" distR="0">
            <wp:extent cx="5029200" cy="352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85" w:rsidRPr="00E32F72" w:rsidRDefault="00E32F72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100 - 500 MWth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izračunavaju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jednačini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position w:val="-10"/>
          <w:sz w:val="24"/>
          <w:szCs w:val="24"/>
          <w:lang w:val="sr-Latn-CS"/>
        </w:rPr>
        <w:drawing>
          <wp:inline distT="0" distB="0" distL="0" distR="0">
            <wp:extent cx="99060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85" w:rsidRPr="00E32F72" w:rsidRDefault="00E32F72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i/>
          <w:noProof/>
          <w:sz w:val="24"/>
          <w:szCs w:val="24"/>
          <w:lang w:val="sr-Latn-CS"/>
        </w:rPr>
        <w:t>x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toplotna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snaga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(MWth) </w:t>
      </w: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i/>
          <w:noProof/>
          <w:sz w:val="24"/>
          <w:szCs w:val="24"/>
          <w:lang w:val="sr-Latn-CS"/>
        </w:rPr>
        <w:t>y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SO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(mg SO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</w:p>
    <w:p w:rsidR="007C3485" w:rsidRPr="00E32F72" w:rsidRDefault="00E32F72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Napomena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karakteristika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odsumporavanja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60%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postrojenjima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100 MWth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75%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100 MWth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300 MWth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90%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snagom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300 MWth.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500 MWth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odsumporavanja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94%.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tabs>
          <w:tab w:val="left" w:pos="54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>2.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goriva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3%)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grafikonu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drawing>
          <wp:inline distT="0" distB="0" distL="0" distR="0">
            <wp:extent cx="5372100" cy="356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85" w:rsidRPr="00E32F72" w:rsidRDefault="00E32F72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300 - 500 MWth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izračunavaju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jednačini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position w:val="-10"/>
          <w:sz w:val="24"/>
          <w:szCs w:val="24"/>
          <w:lang w:val="sr-Latn-CS"/>
        </w:rPr>
        <w:drawing>
          <wp:inline distT="0" distB="0" distL="0" distR="0">
            <wp:extent cx="112395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85" w:rsidRPr="00E32F72" w:rsidRDefault="00E32F72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x 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toplotna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snaga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(MWth) </w:t>
      </w: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i/>
          <w:noProof/>
          <w:sz w:val="24"/>
          <w:szCs w:val="24"/>
          <w:lang w:val="sr-Latn-CS"/>
        </w:rPr>
        <w:t>y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SO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(mg SO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tabs>
          <w:tab w:val="left" w:pos="63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>3.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goriva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 xml:space="preserve">2 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3%)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410"/>
      </w:tblGrid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Granična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vrednost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emisije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generalno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35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tečni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naftni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niske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toplotne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moći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procesa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gasifikacije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rafinerijskih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ostataka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koksnih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peći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visokih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peći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800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procesa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gasifikacije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uglja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(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</w:tr>
    </w:tbl>
    <w:p w:rsidR="007C3485" w:rsidRPr="00E32F72" w:rsidRDefault="007C3485" w:rsidP="007C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>(</w:t>
      </w:r>
      <w:r w:rsidRPr="00E32F72">
        <w:rPr>
          <w:rFonts w:ascii="Times New Roman" w:hAnsi="Times New Roman"/>
          <w:bCs/>
          <w:noProof/>
          <w:sz w:val="24"/>
          <w:szCs w:val="24"/>
          <w:vertAlign w:val="superscript"/>
          <w:lang w:val="sr-Latn-CS"/>
        </w:rPr>
        <w:t>1</w:t>
      </w:r>
      <w:r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hAnsi="Times New Roman"/>
          <w:bCs/>
          <w:noProof/>
          <w:sz w:val="24"/>
          <w:szCs w:val="24"/>
          <w:lang w:val="sr-Latn-CS"/>
        </w:rPr>
        <w:t>vrednost</w:t>
      </w:r>
      <w:r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bCs/>
          <w:noProof/>
          <w:sz w:val="24"/>
          <w:szCs w:val="24"/>
          <w:lang w:val="sr-Latn-CS"/>
        </w:rPr>
        <w:t>biti</w:t>
      </w:r>
      <w:r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bCs/>
          <w:noProof/>
          <w:sz w:val="24"/>
          <w:szCs w:val="24"/>
          <w:lang w:val="sr-Latn-CS"/>
        </w:rPr>
        <w:t>naknadno</w:t>
      </w:r>
      <w:r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bCs/>
          <w:noProof/>
          <w:sz w:val="24"/>
          <w:szCs w:val="24"/>
          <w:lang w:val="sr-Latn-CS"/>
        </w:rPr>
        <w:t>utvrđena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OKSIDE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)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okside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3%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431"/>
      </w:tblGrid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Granična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vrednost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emisije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50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500 MWth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600</w:t>
            </w:r>
          </w:p>
        </w:tc>
      </w:tr>
      <w:tr w:rsidR="007C3485" w:rsidRPr="00E32F72" w:rsidTr="007C3485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500 MWth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500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januara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2018.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50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500 MWth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600</w:t>
            </w:r>
          </w:p>
        </w:tc>
      </w:tr>
      <w:tr w:rsidR="007C3485" w:rsidRPr="00E32F72" w:rsidTr="007C3485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500 MWth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50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500 MWth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450</w:t>
            </w:r>
          </w:p>
        </w:tc>
      </w:tr>
      <w:tr w:rsidR="007C3485" w:rsidRPr="00E32F72" w:rsidTr="007C3485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500 MWth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400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50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500 MWth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</w:tc>
      </w:tr>
      <w:tr w:rsidR="007C3485" w:rsidRPr="00E32F72" w:rsidTr="007C3485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500 MWth</w:t>
            </w:r>
          </w:p>
        </w:tc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</w:tbl>
    <w:p w:rsidR="007C3485" w:rsidRPr="00E32F72" w:rsidRDefault="00E32F72" w:rsidP="007C3485">
      <w:pPr>
        <w:pStyle w:val="Pasussalistom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1500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450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III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MATERIJE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3%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3006"/>
        <w:gridCol w:w="3060"/>
      </w:tblGrid>
      <w:tr w:rsidR="007C3485" w:rsidRPr="00E32F72" w:rsidTr="007C3485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(MWth)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Granična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vrednost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Symbol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NewRomanSymbol" w:hAnsi="Times New Roman"/>
                <w:noProof/>
                <w:sz w:val="24"/>
                <w:szCs w:val="24"/>
                <w:lang w:val="sr-Latn-CS"/>
              </w:rPr>
              <w:t>≥ 500</w:t>
            </w: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NewRomanSymbol" w:hAnsi="Times New Roman"/>
                <w:noProof/>
                <w:sz w:val="24"/>
                <w:szCs w:val="24"/>
                <w:lang w:val="sr-Latn-CS"/>
              </w:rPr>
              <w:t>&lt;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 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2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7C3485" w:rsidRPr="00E32F72" w:rsidTr="007C3485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Gasovito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 (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pravilu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  <w:p w:rsidR="007C3485" w:rsidRPr="00E32F72" w:rsidRDefault="007C34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 (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visoke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peći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 (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nastao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industriji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čelika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može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koristiti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mestu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</w:tbl>
    <w:p w:rsidR="007C3485" w:rsidRPr="00E32F72" w:rsidRDefault="007C3485" w:rsidP="007C348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1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100 mg/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primeniti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ulazne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toplotne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snage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500 MWth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tečno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udelom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pepela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većim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0,06%.</w:t>
      </w:r>
    </w:p>
    <w:p w:rsidR="007C3485" w:rsidRPr="00E32F72" w:rsidRDefault="007C3485" w:rsidP="007C348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2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100 mg/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primeniti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ulazne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toplotne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snage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jednake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500 MWth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sagorevaju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čvrsto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čija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toplotna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moć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manja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5800 kJ/kg (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kalorijska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vlage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45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masenih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%,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ukupni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maseni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vlage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pepela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60%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kalcijum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oksida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(CaO)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10%.</w:t>
      </w: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IV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)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biomase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250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175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100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(SO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OKSIDE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izračunavaju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temperaturi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273,15 K, </w:t>
      </w:r>
      <w:r>
        <w:rPr>
          <w:rFonts w:ascii="Times New Roman" w:hAnsi="Times New Roman"/>
          <w:noProof/>
          <w:sz w:val="24"/>
          <w:szCs w:val="24"/>
          <w:lang w:val="sr-Latn-CS"/>
        </w:rPr>
        <w:t>pritisku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101,3 kPa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korekcije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udelu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3%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691"/>
        <w:gridCol w:w="1819"/>
        <w:gridCol w:w="1710"/>
      </w:tblGrid>
      <w:tr w:rsidR="007C3485" w:rsidRPr="00E32F72" w:rsidTr="007C348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(MWth)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lignit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Biomasa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Treset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</w:tr>
      <w:tr w:rsidR="007C3485" w:rsidRPr="00E32F72" w:rsidTr="007C348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50-100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350</w:t>
            </w:r>
          </w:p>
        </w:tc>
      </w:tr>
      <w:tr w:rsidR="007C3485" w:rsidRPr="00E32F72" w:rsidTr="007C348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100-300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250</w:t>
            </w:r>
          </w:p>
        </w:tc>
      </w:tr>
      <w:tr w:rsidR="007C3485" w:rsidRPr="00E32F72" w:rsidTr="007C348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SO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800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SO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850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300 MWth,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SO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400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300 MWth.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ispušta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odvojenih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dimovodnih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dimnjaka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primenjivati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dimovodnih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odvojeno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preračunavaju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dimovodne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dimnjaku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C3485" w:rsidRPr="00E32F72" w:rsidRDefault="00E32F72" w:rsidP="007C3485">
      <w:pPr>
        <w:pStyle w:val="Pasussalistom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250"/>
      </w:tblGrid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Granična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vrednost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emisije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generalno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35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tečni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naftni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niskokalorični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koksne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peći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400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niskokalorični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visoke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peći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200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niske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gasifikacije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rafinerijskih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ostataka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SO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800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okside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izuzetkom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7C3485" w:rsidP="007C3485">
      <w:pPr>
        <w:pStyle w:val="Pasussalistom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2160"/>
        <w:gridCol w:w="2250"/>
      </w:tblGrid>
      <w:tr w:rsidR="007C3485" w:rsidRPr="00E32F72" w:rsidTr="007C34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(MWth)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lignit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Biomasa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treset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</w:tr>
      <w:tr w:rsidR="007C3485" w:rsidRPr="00E32F72" w:rsidTr="007C34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50-100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450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slučaju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sprašenog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lignita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450</w:t>
            </w:r>
          </w:p>
        </w:tc>
      </w:tr>
      <w:tr w:rsidR="007C3485" w:rsidRPr="00E32F72" w:rsidTr="007C34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100-300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 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150 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</w:tr>
      <w:tr w:rsidR="007C3485" w:rsidRPr="00E32F72" w:rsidTr="007C3485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Napomena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čija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ulazna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500 MWth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sopstvenu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potrošnju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vrši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ostataka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procesa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destilacije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procesa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sirove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nafte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primenjuje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granična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vrednost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450 mg/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C3485" w:rsidRPr="00E32F72" w:rsidRDefault="007C3485" w:rsidP="007C3485">
      <w:pPr>
        <w:pStyle w:val="Pasussalistom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hemijskim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postrojenjima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tečne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ostatke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nekomercijalno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sopstvenu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potrošnju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ukupna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ulazna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toplotna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snaga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manja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500 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MWth,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450 mg/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3.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ukupna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ulazna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toplotna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snaga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manja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500 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MWth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1500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petogodišnjem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450 mg/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3.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ukupna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ulazna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toplotna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snaga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veća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500 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MWth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1500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petogodišnjem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450 mg/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3.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ukupna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ulazna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toplotna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snaga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veća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iCs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500 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MWth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1500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petogodišnjem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400 mg/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3.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ispušta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odvojenih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dimovodnih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dimnjaka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primenjivati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dimovodnih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odvojeno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preračunavaju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dimovodne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dimnjaku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C3485" w:rsidRPr="00E32F72" w:rsidRDefault="00E32F72" w:rsidP="007C3485">
      <w:pPr>
        <w:pStyle w:val="Pasussalistom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kombinovanim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ciklusom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lake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destilate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90 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>mg/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bCs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SO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100 mg/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bCs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500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Operater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utrošenim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časovima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okside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970"/>
        <w:gridCol w:w="2880"/>
      </w:tblGrid>
      <w:tr w:rsidR="007C3485" w:rsidRPr="00E32F72" w:rsidTr="007C348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postrojenja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SO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C3485" w:rsidRPr="00E32F72" w:rsidTr="007C348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sagorevanje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prirodni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osim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turbina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motora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sagorevanje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visoke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peći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koksne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peći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niskokalorične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procesa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gasifikacije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rafinerijskih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ostataka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osim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turbina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motora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200 (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4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7C3485" w:rsidRPr="00E32F72" w:rsidTr="007C348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sagorevanje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druge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osim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turbina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motora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200 (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4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7C3485" w:rsidRPr="00E32F72" w:rsidTr="007C348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turbine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uključujući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turbine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kombinovanim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ciklusom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prirodni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vertAlign w:val="superscript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50 (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2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 (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turbine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uključujući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turbine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kombinovanim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ciklusom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</w:p>
        </w:tc>
      </w:tr>
      <w:tr w:rsidR="007C3485" w:rsidRPr="00E32F72" w:rsidTr="007C348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motori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Napomena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  <w:p w:rsidR="007C3485" w:rsidRPr="00E32F72" w:rsidRDefault="007C348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Prirodni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smeša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gasovitih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ugljovodonika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najzastupljeniji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metan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sadrži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najviše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20% (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zapreminskih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inertnih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drugih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sastojaka</w:t>
            </w: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2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Granična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vrednost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75 mg/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slučajevima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kada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efikasnost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utvrđena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uslovima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opterećenja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utvrđenom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odgovarajućem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srpskom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standardu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  <w:p w:rsidR="007C3485" w:rsidRPr="00E32F72" w:rsidRDefault="007C34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gasnih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turbina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kombinovanim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sistemima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grejanje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proizvodnju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električne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energije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čija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efikasnost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75%;</w:t>
            </w:r>
          </w:p>
          <w:p w:rsidR="007C3485" w:rsidRPr="00E32F72" w:rsidRDefault="007C34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lastRenderedPageBreak/>
              <w:t xml:space="preserve">2)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gasnih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turbina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postrojenjima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kombinovanim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ciklusom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proizvodnje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prosečna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godišnja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efikasnost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proizvodnji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električne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energije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55%;</w:t>
            </w:r>
          </w:p>
          <w:p w:rsidR="007C3485" w:rsidRPr="00E32F72" w:rsidRDefault="007C34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gasnih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turbina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mehaničke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pogone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:rsidR="007C3485" w:rsidRPr="00E32F72" w:rsidRDefault="007C34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Kod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gasnih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turbina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jednim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ciklusom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koje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nisu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obuhvaćene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nijednom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od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kategorija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navedenih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okviru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napomene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(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2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),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ali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koje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imaju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efikasnost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veću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35% -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utvrđenu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uslovima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opterećenja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utvrđenom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odgovarajućem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srpskom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standardu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granična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vrednost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izražene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računa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32F72">
              <w:rPr>
                <w:rFonts w:ascii="Times New Roman" w:eastAsia="Calibri" w:hAnsi="Times New Roman" w:cs="Times New Roman"/>
                <w:noProof/>
                <w:position w:val="-24"/>
                <w:sz w:val="24"/>
                <w:szCs w:val="24"/>
                <w:lang w:val="sr-Latn-CS"/>
              </w:rPr>
              <w:object w:dxaOrig="6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;mso-position-horizontal-relative:page;mso-position-vertical-relative:page" o:ole="">
                  <v:imagedata r:id="rId11" o:title=""/>
                </v:shape>
                <o:OLEObject Type="Embed" ProgID="Equation.3" ShapeID="_x0000_i1025" DrawAspect="Content" ObjectID="_1515249856" r:id="rId12"/>
              </w:objec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gde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η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efikasnost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gasne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turbine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uslovima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opterećenja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utvrđenom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odgovarajućem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srpskom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standardu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izražena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procentima</w:t>
            </w:r>
          </w:p>
          <w:p w:rsidR="007C3485" w:rsidRPr="00E32F72" w:rsidRDefault="007C34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4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Granična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vrednost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300 mg/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postojeća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čija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500 MWth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kombinovanim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ciklusom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>NO</w:t>
      </w:r>
      <w:r w:rsidR="007C3485" w:rsidRPr="00E32F72">
        <w:rPr>
          <w:rFonts w:ascii="Times New Roman" w:hAnsi="Times New Roman"/>
          <w:bCs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SO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tabele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ovoj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tački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opterećenja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iznad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70%.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kombinovanim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ciklusom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 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>mg/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bCs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ako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koristi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prirodni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gas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200 mg/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bCs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ako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gasovi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ispušta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odvojenih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dimovodnih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dimnjaka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1500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primenjivati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dimovodnih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odvojeno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preračunavaju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dimovodne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dimnjaku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500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Operater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utrošene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430"/>
        <w:gridCol w:w="2250"/>
        <w:gridCol w:w="2250"/>
      </w:tblGrid>
      <w:tr w:rsidR="007C3485" w:rsidRPr="00E32F72" w:rsidTr="007C348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(MWth)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lignit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Biomasa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treset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50-100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7C3485" w:rsidRPr="00E32F72" w:rsidTr="007C348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100-300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</w:t>
            </w:r>
          </w:p>
        </w:tc>
      </w:tr>
      <w:tr w:rsidR="007C3485" w:rsidRPr="00E32F72" w:rsidTr="007C348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</w:tr>
      <w:tr w:rsidR="007C3485" w:rsidRPr="00E32F72" w:rsidTr="007C3485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 w:rsidP="007C348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kojima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sopstvenu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potrošnju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vrši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ostataka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procesa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destilacije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procesa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sirove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nafte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primenjuje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granična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vrednost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50 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mg/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250"/>
      </w:tblGrid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Vrsta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Granična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vrednost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emisije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generalno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visoke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peći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nastali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industriji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čelika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mogu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koristiti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mestu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30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(SO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OKSIDE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izračunavaju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temperaturi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273,15 K, </w:t>
      </w:r>
      <w:r>
        <w:rPr>
          <w:rFonts w:ascii="Times New Roman" w:hAnsi="Times New Roman"/>
          <w:noProof/>
          <w:sz w:val="24"/>
          <w:szCs w:val="24"/>
          <w:lang w:val="sr-Latn-CS"/>
        </w:rPr>
        <w:t>pritisku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101,3 kPa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korekcije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udelu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3%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15%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kombinovanim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ciklusom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plamenikom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vodeći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karakteristikama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81"/>
        <w:gridCol w:w="1826"/>
        <w:gridCol w:w="1812"/>
      </w:tblGrid>
      <w:tr w:rsidR="007C3485" w:rsidRPr="00E32F72" w:rsidTr="007C34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(MWth)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lignit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Biomasa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Treset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</w:tr>
      <w:tr w:rsidR="007C3485" w:rsidRPr="00E32F72" w:rsidTr="007C34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50-100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350</w:t>
            </w:r>
          </w:p>
        </w:tc>
      </w:tr>
      <w:tr w:rsidR="007C3485" w:rsidRPr="00E32F72" w:rsidTr="007C34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100-300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250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slučaju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fluidizovanom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sloju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  <w:tr w:rsidR="007C3485" w:rsidRPr="00E32F72" w:rsidTr="007C34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200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slučaju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cirkulacionom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fluidizovanom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sloju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fluidizovanom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sloju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pritiskom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200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slučaju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fluidizovanom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sloju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250"/>
      </w:tblGrid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Granična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vrednost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emisije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generalno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35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tečni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naftni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niskokalorični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koksne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peći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400</w:t>
            </w:r>
          </w:p>
        </w:tc>
      </w:tr>
      <w:tr w:rsidR="007C3485" w:rsidRPr="00E32F72" w:rsidTr="007C3485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niskokalorični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visoke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peći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200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okside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430"/>
        <w:gridCol w:w="2250"/>
        <w:gridCol w:w="2250"/>
      </w:tblGrid>
      <w:tr w:rsidR="007C3485" w:rsidRPr="00E32F72" w:rsidTr="007C348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(MWth)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lignit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Biomasa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treset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</w:tr>
      <w:tr w:rsidR="007C3485" w:rsidRPr="00E32F72" w:rsidTr="007C348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50-100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400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slučaju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sprašenog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lignita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</w:tc>
      </w:tr>
      <w:tr w:rsidR="007C3485" w:rsidRPr="00E32F72" w:rsidTr="007C348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100-300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7C3485" w:rsidRPr="00E32F72" w:rsidTr="007C348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200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slučaju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sprašenog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lignita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kombinovanim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ciklusom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lake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destilate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50 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>mg/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bCs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granična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SO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100 mg/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bCs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hitne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slučajeve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500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Operater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takvih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utrošenim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časovima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pStyle w:val="Pasussalisto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okside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monoksid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970"/>
        <w:gridCol w:w="2970"/>
      </w:tblGrid>
      <w:tr w:rsidR="007C3485" w:rsidRPr="00E32F72" w:rsidTr="007C34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postrojenja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SO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C3485" w:rsidRPr="00E32F72" w:rsidTr="007C34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sagorevanje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osim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turbina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gasnih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motora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turbine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uključujući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turbine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kombinovanim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ciklusom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vertAlign w:val="superscript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50 (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motori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Napomena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  <w:p w:rsidR="007C3485" w:rsidRPr="00E32F72" w:rsidRDefault="007C348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(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)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Kod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gasnih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turbina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jednim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ciklusom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koje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imaju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efikasnost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veću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35% -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utvrđenu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uslovima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opterećenja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utvrđenom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odgovarajućem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srpskom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standardu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granična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vrednost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izražene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računa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32F72">
              <w:rPr>
                <w:rFonts w:ascii="Times New Roman" w:eastAsia="Calibri" w:hAnsi="Times New Roman" w:cs="Times New Roman"/>
                <w:noProof/>
                <w:position w:val="-24"/>
                <w:sz w:val="24"/>
                <w:szCs w:val="24"/>
                <w:lang w:val="sr-Latn-CS"/>
              </w:rPr>
              <w:object w:dxaOrig="615" w:dyaOrig="615">
                <v:shape id="_x0000_i1026" type="#_x0000_t75" style="width:30.75pt;height:30.75pt;mso-position-horizontal-relative:page;mso-position-vertical-relative:page" o:ole="">
                  <v:imagedata r:id="rId11" o:title=""/>
                </v:shape>
                <o:OLEObject Type="Embed" ProgID="Equation.3" ShapeID="_x0000_i1026" DrawAspect="Content" ObjectID="_1515249857" r:id="rId13"/>
              </w:objec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gde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η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efikasnost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gasne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turbine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uslovima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opterećenja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prema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utvrđenom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odgovarajućem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srpskom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standardu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izražena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procentima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kombinovanim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ciklusom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>NO</w:t>
      </w:r>
      <w:r w:rsidR="007C3485" w:rsidRPr="00E32F72">
        <w:rPr>
          <w:rFonts w:ascii="Times New Roman" w:hAnsi="Times New Roman"/>
          <w:bCs/>
          <w:noProof/>
          <w:sz w:val="24"/>
          <w:szCs w:val="24"/>
          <w:vertAlign w:val="subscript"/>
          <w:lang w:val="sr-Latn-CS"/>
        </w:rPr>
        <w:t>x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NO</w:t>
      </w:r>
      <w:r w:rsidR="007C3485" w:rsidRPr="00E32F72">
        <w:rPr>
          <w:rFonts w:ascii="Times New Roman" w:hAnsi="Times New Roman"/>
          <w:noProof/>
          <w:sz w:val="24"/>
          <w:szCs w:val="24"/>
          <w:vertAlign w:val="subscript"/>
          <w:lang w:val="sr-Latn-CS"/>
        </w:rPr>
        <w:t>2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SO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tačke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opterećenja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iznad</w:t>
      </w:r>
      <w:r w:rsidR="007C3485" w:rsidRPr="00E32F7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70%.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gasne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turbine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hitne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slučajeve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500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Operater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takvih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utrošenim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časovima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20"/>
      </w:tblGrid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(MWth)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Granična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vrednost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emisije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50-300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20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300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</w:t>
            </w:r>
          </w:p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20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biomasu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treset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mg/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m</w:t>
      </w:r>
      <w:r w:rsidR="007C3485" w:rsidRPr="00E32F72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turbina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15.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20"/>
      </w:tblGrid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(MWth)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Granična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vrednost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emisije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generalno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visoke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peći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7C3485" w:rsidRPr="00E32F72" w:rsidTr="007C348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nastale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industriji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čelika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mogu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koristiti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mestu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30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ODSUMPORAVANJA</w:t>
      </w:r>
    </w:p>
    <w:p w:rsidR="007C3485" w:rsidRPr="00E32F72" w:rsidRDefault="007C3485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Najmanji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odsumporavanja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16.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150"/>
        <w:gridCol w:w="2880"/>
      </w:tblGrid>
      <w:tr w:rsidR="007C3485" w:rsidRPr="00E32F72" w:rsidTr="007C3485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ulazna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(MWth)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Najmanji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stepen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odsumporavanja</w:t>
            </w:r>
          </w:p>
        </w:tc>
      </w:tr>
      <w:tr w:rsidR="007C3485" w:rsidRPr="00E32F72" w:rsidTr="007C3485"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Postojeća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velika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Ostala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postrojenja</w:t>
            </w:r>
          </w:p>
        </w:tc>
      </w:tr>
      <w:tr w:rsidR="007C3485" w:rsidRPr="00E32F72" w:rsidTr="007C348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50-100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80%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92%</w:t>
            </w:r>
          </w:p>
        </w:tc>
      </w:tr>
      <w:tr w:rsidR="007C3485" w:rsidRPr="00E32F72" w:rsidTr="007C348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100-300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vertAlign w:val="superscript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90%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92%</w:t>
            </w:r>
          </w:p>
        </w:tc>
      </w:tr>
      <w:tr w:rsidR="007C3485" w:rsidRPr="00E32F72" w:rsidTr="007C348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&gt; 300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   96% (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96%</w:t>
            </w:r>
          </w:p>
        </w:tc>
      </w:tr>
      <w:tr w:rsidR="007C3485" w:rsidRPr="00E32F72" w:rsidTr="007C3485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Napomena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  <w:p w:rsidR="007C3485" w:rsidRPr="00E32F72" w:rsidRDefault="007C348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1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naftne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škriljce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najmanji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stepen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odsumporavanja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95%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Najmanji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odsumporavanja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17.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90"/>
      </w:tblGrid>
      <w:tr w:rsidR="007C3485" w:rsidRPr="00E32F72" w:rsidTr="007C34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ulazna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(MWth)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Najmanji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stepen</w:t>
            </w:r>
            <w:r w:rsidR="007C3485"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odsumporavanja</w:t>
            </w:r>
          </w:p>
        </w:tc>
      </w:tr>
      <w:tr w:rsidR="007C3485" w:rsidRPr="00E32F72" w:rsidTr="007C34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50-100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93%</w:t>
            </w:r>
          </w:p>
        </w:tc>
      </w:tr>
      <w:tr w:rsidR="007C3485" w:rsidRPr="00E32F72" w:rsidTr="007C34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100-300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93%</w:t>
            </w:r>
          </w:p>
        </w:tc>
      </w:tr>
      <w:tr w:rsidR="007C3485" w:rsidRPr="00E32F72" w:rsidTr="007C34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lastRenderedPageBreak/>
              <w:t>&gt; 300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97%</w:t>
            </w:r>
          </w:p>
        </w:tc>
      </w:tr>
    </w:tbl>
    <w:p w:rsidR="007C3485" w:rsidRPr="00E32F72" w:rsidRDefault="007C3485" w:rsidP="007C3485">
      <w:pPr>
        <w:pStyle w:val="Pasussalistom"/>
        <w:tabs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tabs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  <w:sectPr w:rsidR="007C3485" w:rsidRPr="00E32F7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/>
          <w:pgMar w:top="1440" w:right="1440" w:bottom="1440" w:left="1440" w:header="706" w:footer="706" w:gutter="0"/>
          <w:pgNumType w:start="1"/>
          <w:cols w:space="720"/>
        </w:sectPr>
      </w:pPr>
    </w:p>
    <w:p w:rsidR="007C3485" w:rsidRPr="00E32F72" w:rsidRDefault="00E32F72" w:rsidP="007C3485">
      <w:pPr>
        <w:pStyle w:val="PlainText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PRILOG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7C3485" w:rsidRPr="00E32F72" w:rsidRDefault="007C3485" w:rsidP="007C3485">
      <w:pPr>
        <w:pStyle w:val="PlainText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tabs>
          <w:tab w:val="left" w:pos="279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7C3485" w:rsidRPr="00E32F72" w:rsidRDefault="00E32F72" w:rsidP="007C3485">
      <w:pPr>
        <w:pStyle w:val="Pasussalistom"/>
        <w:tabs>
          <w:tab w:val="left" w:pos="279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430"/>
        <w:gridCol w:w="2160"/>
        <w:gridCol w:w="2207"/>
      </w:tblGrid>
      <w:tr w:rsidR="007C3485" w:rsidRPr="00E32F72" w:rsidTr="007C348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snaga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Wth)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(mg/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</w:tc>
      </w:tr>
      <w:tr w:rsidR="007C3485" w:rsidRPr="00E32F72" w:rsidTr="007C348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650</w:t>
            </w:r>
          </w:p>
        </w:tc>
      </w:tr>
      <w:tr w:rsidR="007C3485" w:rsidRPr="00E32F72" w:rsidTr="007C348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sumpora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SO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1700</w:t>
            </w:r>
          </w:p>
        </w:tc>
      </w:tr>
      <w:tr w:rsidR="007C3485" w:rsidRPr="00E32F72" w:rsidTr="007C348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praškaste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&lt; 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7C3485" w:rsidRPr="00E32F72" w:rsidTr="007C3485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≥ 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7C3485" w:rsidRPr="00E32F72" w:rsidTr="007C348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– 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fluidizovanim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slojem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ugalj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7C3485" w:rsidRPr="00E32F72" w:rsidTr="007C348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ukupni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organski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ugljenik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drvo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briketi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peleti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</w:tbl>
    <w:p w:rsidR="007C3485" w:rsidRPr="00E32F72" w:rsidRDefault="007C3485" w:rsidP="007C3485">
      <w:pPr>
        <w:pStyle w:val="Pasussalistom"/>
        <w:tabs>
          <w:tab w:val="left" w:pos="279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ugalj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briket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koks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7%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11%.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tabs>
          <w:tab w:val="left" w:pos="279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tabs>
          <w:tab w:val="left" w:pos="279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150"/>
        <w:gridCol w:w="3017"/>
      </w:tblGrid>
      <w:tr w:rsidR="007C3485" w:rsidRPr="00E32F72" w:rsidTr="007C34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170</w:t>
            </w:r>
          </w:p>
        </w:tc>
      </w:tr>
      <w:tr w:rsidR="007C3485" w:rsidRPr="00E32F72" w:rsidTr="007C3485">
        <w:trPr>
          <w:trHeight w:val="30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EVRO S,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nisko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lastRenderedPageBreak/>
              <w:t>sumporno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specijalno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NSG-S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250</w:t>
            </w:r>
          </w:p>
        </w:tc>
      </w:tr>
      <w:tr w:rsidR="007C3485" w:rsidRPr="00E32F72" w:rsidTr="007C3485">
        <w:trPr>
          <w:trHeight w:val="30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</w:t>
            </w:r>
          </w:p>
        </w:tc>
      </w:tr>
      <w:tr w:rsidR="007C3485" w:rsidRPr="00E32F72" w:rsidTr="007C34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sumpora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SO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1700</w:t>
            </w:r>
          </w:p>
        </w:tc>
      </w:tr>
      <w:tr w:rsidR="007C3485" w:rsidRPr="00E32F72" w:rsidTr="007C34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praškaste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 (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EVRO S,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nisko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sumporno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specijalno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NSG-S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S,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metanol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etanol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sirova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biljna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ulja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metilestar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biljnih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ulja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određuje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emisija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praškastih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Dimni</w:t>
      </w:r>
      <w:r w:rsidR="007C3485" w:rsidRPr="00E32F72">
        <w:rPr>
          <w:noProof/>
        </w:rPr>
        <w:t xml:space="preserve"> </w:t>
      </w:r>
      <w:r>
        <w:rPr>
          <w:noProof/>
        </w:rPr>
        <w:t>broj</w:t>
      </w:r>
      <w:r w:rsidR="007C3485" w:rsidRPr="00E32F72">
        <w:rPr>
          <w:noProof/>
        </w:rPr>
        <w:t xml:space="preserve"> </w:t>
      </w:r>
      <w:r>
        <w:rPr>
          <w:noProof/>
        </w:rPr>
        <w:t>iznosi</w:t>
      </w:r>
      <w:r w:rsidR="007C3485" w:rsidRPr="00E32F72">
        <w:rPr>
          <w:noProof/>
        </w:rPr>
        <w:t xml:space="preserve"> 1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postojeća</w:t>
      </w:r>
      <w:r w:rsidR="007C3485" w:rsidRPr="00E32F72">
        <w:rPr>
          <w:noProof/>
        </w:rPr>
        <w:t xml:space="preserve"> </w:t>
      </w:r>
      <w:r>
        <w:rPr>
          <w:noProof/>
        </w:rPr>
        <w:t>srednja</w:t>
      </w:r>
      <w:r w:rsidR="007C3485" w:rsidRPr="00E32F72">
        <w:rPr>
          <w:noProof/>
        </w:rPr>
        <w:t xml:space="preserve"> </w:t>
      </w:r>
      <w:r>
        <w:rPr>
          <w:noProof/>
        </w:rPr>
        <w:t>postrojenja</w:t>
      </w:r>
      <w:r w:rsidR="007C3485" w:rsidRPr="00E32F72">
        <w:rPr>
          <w:noProof/>
        </w:rPr>
        <w:t xml:space="preserve">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sagorevanje</w:t>
      </w:r>
      <w:r w:rsidR="007C3485" w:rsidRPr="00E32F72">
        <w:rPr>
          <w:noProof/>
        </w:rPr>
        <w:t xml:space="preserve"> </w:t>
      </w:r>
      <w:r>
        <w:rPr>
          <w:noProof/>
        </w:rPr>
        <w:t>koja</w:t>
      </w:r>
      <w:r w:rsidR="007C3485" w:rsidRPr="00E32F72">
        <w:rPr>
          <w:noProof/>
        </w:rPr>
        <w:t xml:space="preserve"> </w:t>
      </w:r>
      <w:r>
        <w:rPr>
          <w:noProof/>
        </w:rPr>
        <w:t>kao</w:t>
      </w:r>
      <w:r w:rsidR="007C3485" w:rsidRPr="00E32F72">
        <w:rPr>
          <w:noProof/>
        </w:rPr>
        <w:t xml:space="preserve"> </w:t>
      </w:r>
      <w:r>
        <w:rPr>
          <w:noProof/>
        </w:rPr>
        <w:t>gorivo</w:t>
      </w:r>
      <w:r w:rsidR="007C3485" w:rsidRPr="00E32F72">
        <w:rPr>
          <w:noProof/>
        </w:rPr>
        <w:t xml:space="preserve"> </w:t>
      </w:r>
      <w:r>
        <w:rPr>
          <w:noProof/>
        </w:rPr>
        <w:t>koriste</w:t>
      </w:r>
      <w:r w:rsidR="007C3485" w:rsidRPr="00E32F72">
        <w:rPr>
          <w:noProof/>
        </w:rPr>
        <w:t xml:space="preserve"> </w:t>
      </w:r>
      <w:r>
        <w:rPr>
          <w:noProof/>
        </w:rPr>
        <w:t>ulje</w:t>
      </w:r>
      <w:r w:rsidR="007C3485" w:rsidRPr="00E32F72">
        <w:rPr>
          <w:noProof/>
        </w:rPr>
        <w:t xml:space="preserve">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loženje</w:t>
      </w:r>
      <w:r w:rsidR="007C3485" w:rsidRPr="00E32F72">
        <w:rPr>
          <w:noProof/>
        </w:rPr>
        <w:t xml:space="preserve"> </w:t>
      </w:r>
      <w:r>
        <w:rPr>
          <w:noProof/>
        </w:rPr>
        <w:t>srednje</w:t>
      </w:r>
      <w:r w:rsidR="007C3485" w:rsidRPr="00E32F72">
        <w:rPr>
          <w:noProof/>
        </w:rPr>
        <w:t xml:space="preserve"> EVRO S </w:t>
      </w:r>
      <w:r>
        <w:rPr>
          <w:noProof/>
        </w:rPr>
        <w:t>i</w:t>
      </w:r>
      <w:r w:rsidR="007C3485" w:rsidRPr="00E32F72">
        <w:rPr>
          <w:noProof/>
        </w:rPr>
        <w:t xml:space="preserve"> </w:t>
      </w:r>
      <w:r>
        <w:rPr>
          <w:noProof/>
        </w:rPr>
        <w:t>ulje</w:t>
      </w:r>
      <w:r w:rsidR="007C3485" w:rsidRPr="00E32F72">
        <w:rPr>
          <w:noProof/>
        </w:rPr>
        <w:t xml:space="preserve">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loženje</w:t>
      </w:r>
      <w:r w:rsidR="007C3485" w:rsidRPr="00E32F72">
        <w:rPr>
          <w:noProof/>
        </w:rPr>
        <w:t xml:space="preserve"> </w:t>
      </w:r>
      <w:r>
        <w:rPr>
          <w:noProof/>
        </w:rPr>
        <w:t>nisko</w:t>
      </w:r>
      <w:r w:rsidR="007C3485" w:rsidRPr="00E32F72">
        <w:rPr>
          <w:noProof/>
        </w:rPr>
        <w:t xml:space="preserve"> </w:t>
      </w:r>
      <w:r>
        <w:rPr>
          <w:noProof/>
        </w:rPr>
        <w:t>sumporno</w:t>
      </w:r>
      <w:r w:rsidR="007C3485" w:rsidRPr="00E32F72">
        <w:rPr>
          <w:noProof/>
        </w:rPr>
        <w:t xml:space="preserve"> </w:t>
      </w:r>
      <w:r>
        <w:rPr>
          <w:noProof/>
        </w:rPr>
        <w:t>gorivo</w:t>
      </w:r>
      <w:r w:rsidR="007C3485" w:rsidRPr="00E32F72">
        <w:rPr>
          <w:noProof/>
        </w:rPr>
        <w:t>-</w:t>
      </w:r>
      <w:r>
        <w:rPr>
          <w:noProof/>
        </w:rPr>
        <w:t>specijalno</w:t>
      </w:r>
      <w:r w:rsidR="007C3485" w:rsidRPr="00E32F72">
        <w:rPr>
          <w:noProof/>
        </w:rPr>
        <w:t xml:space="preserve"> NSG-S </w:t>
      </w:r>
      <w:r>
        <w:rPr>
          <w:noProof/>
        </w:rPr>
        <w:t>u</w:t>
      </w:r>
      <w:r w:rsidR="007C3485" w:rsidRPr="00E32F72">
        <w:rPr>
          <w:noProof/>
        </w:rPr>
        <w:t xml:space="preserve"> </w:t>
      </w:r>
      <w:r>
        <w:rPr>
          <w:noProof/>
        </w:rPr>
        <w:t>skladu</w:t>
      </w:r>
      <w:r w:rsidR="007C3485" w:rsidRPr="00E32F72">
        <w:rPr>
          <w:noProof/>
        </w:rPr>
        <w:t xml:space="preserve"> </w:t>
      </w:r>
      <w:r>
        <w:rPr>
          <w:noProof/>
        </w:rPr>
        <w:t>sa</w:t>
      </w:r>
      <w:r w:rsidR="007C3485" w:rsidRPr="00E32F72">
        <w:rPr>
          <w:noProof/>
        </w:rPr>
        <w:t xml:space="preserve"> </w:t>
      </w:r>
      <w:r>
        <w:rPr>
          <w:noProof/>
        </w:rPr>
        <w:t>propisom</w:t>
      </w:r>
      <w:r w:rsidR="007C3485" w:rsidRPr="00E32F72">
        <w:rPr>
          <w:noProof/>
        </w:rPr>
        <w:t xml:space="preserve"> </w:t>
      </w:r>
      <w:r>
        <w:rPr>
          <w:noProof/>
        </w:rPr>
        <w:t>kojim</w:t>
      </w:r>
      <w:r w:rsidR="007C3485" w:rsidRPr="00E32F72">
        <w:rPr>
          <w:noProof/>
        </w:rPr>
        <w:t xml:space="preserve"> </w:t>
      </w:r>
      <w:r>
        <w:rPr>
          <w:noProof/>
        </w:rPr>
        <w:t>se</w:t>
      </w:r>
      <w:r w:rsidR="007C3485" w:rsidRPr="00E32F72">
        <w:rPr>
          <w:noProof/>
        </w:rPr>
        <w:t xml:space="preserve"> </w:t>
      </w:r>
      <w:r>
        <w:rPr>
          <w:noProof/>
        </w:rPr>
        <w:t>uređuju</w:t>
      </w:r>
      <w:r w:rsidR="007C3485" w:rsidRPr="00E32F72">
        <w:rPr>
          <w:noProof/>
        </w:rPr>
        <w:t xml:space="preserve"> </w:t>
      </w:r>
      <w:r>
        <w:rPr>
          <w:rStyle w:val="rvts3"/>
          <w:noProof/>
        </w:rPr>
        <w:t>tehnički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i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drugi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zahtevi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koje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moraju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da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ispunjavaju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tečna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goriva</w:t>
      </w:r>
      <w:r w:rsidR="007C3485" w:rsidRPr="00E32F72">
        <w:rPr>
          <w:rStyle w:val="rvts3"/>
          <w:noProof/>
        </w:rPr>
        <w:t xml:space="preserve"> </w:t>
      </w:r>
      <w:r>
        <w:rPr>
          <w:noProof/>
        </w:rPr>
        <w:t>naftnog</w:t>
      </w:r>
      <w:r w:rsidR="007C3485" w:rsidRPr="00E32F72">
        <w:rPr>
          <w:noProof/>
        </w:rPr>
        <w:t xml:space="preserve"> </w:t>
      </w:r>
      <w:r>
        <w:rPr>
          <w:noProof/>
        </w:rPr>
        <w:t>porekla</w:t>
      </w:r>
      <w:r w:rsidR="007C3485" w:rsidRPr="00E32F72">
        <w:rPr>
          <w:noProof/>
        </w:rPr>
        <w:t xml:space="preserve"> </w:t>
      </w:r>
      <w:r>
        <w:rPr>
          <w:rStyle w:val="rvts3"/>
          <w:noProof/>
        </w:rPr>
        <w:t>koja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se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koriste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kao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energetska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goriva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koja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se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stavljaju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u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promet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na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tržište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Republike</w:t>
      </w:r>
      <w:r w:rsidR="007C3485" w:rsidRPr="00E32F72">
        <w:rPr>
          <w:rStyle w:val="rvts3"/>
          <w:noProof/>
        </w:rPr>
        <w:t xml:space="preserve"> </w:t>
      </w:r>
      <w:r>
        <w:rPr>
          <w:rStyle w:val="rvts3"/>
          <w:noProof/>
        </w:rPr>
        <w:t>Srbije</w:t>
      </w:r>
      <w:r w:rsidR="007C3485" w:rsidRPr="00E32F72">
        <w:rPr>
          <w:noProof/>
        </w:rPr>
        <w:t xml:space="preserve">, </w:t>
      </w:r>
      <w:r>
        <w:rPr>
          <w:noProof/>
        </w:rPr>
        <w:t>zatim</w:t>
      </w:r>
      <w:r w:rsidR="007C3485" w:rsidRPr="00E32F72">
        <w:rPr>
          <w:noProof/>
        </w:rPr>
        <w:t xml:space="preserve"> </w:t>
      </w:r>
      <w:r>
        <w:rPr>
          <w:noProof/>
        </w:rPr>
        <w:t>metanol</w:t>
      </w:r>
      <w:r w:rsidR="007C3485" w:rsidRPr="00E32F72">
        <w:rPr>
          <w:noProof/>
        </w:rPr>
        <w:t xml:space="preserve">, </w:t>
      </w:r>
      <w:r>
        <w:rPr>
          <w:noProof/>
        </w:rPr>
        <w:t>etanol</w:t>
      </w:r>
      <w:r w:rsidR="007C3485" w:rsidRPr="00E32F72">
        <w:rPr>
          <w:noProof/>
        </w:rPr>
        <w:t xml:space="preserve">, </w:t>
      </w:r>
      <w:r>
        <w:rPr>
          <w:noProof/>
        </w:rPr>
        <w:t>sirova</w:t>
      </w:r>
      <w:r w:rsidR="007C3485" w:rsidRPr="00E32F72">
        <w:rPr>
          <w:noProof/>
        </w:rPr>
        <w:t xml:space="preserve"> </w:t>
      </w:r>
      <w:r>
        <w:rPr>
          <w:noProof/>
        </w:rPr>
        <w:t>biljna</w:t>
      </w:r>
      <w:r w:rsidR="007C3485" w:rsidRPr="00E32F72">
        <w:rPr>
          <w:noProof/>
        </w:rPr>
        <w:t xml:space="preserve"> </w:t>
      </w:r>
      <w:r>
        <w:rPr>
          <w:noProof/>
        </w:rPr>
        <w:t>ulja</w:t>
      </w:r>
      <w:r w:rsidR="007C3485" w:rsidRPr="00E32F72">
        <w:rPr>
          <w:noProof/>
        </w:rPr>
        <w:t xml:space="preserve">, </w:t>
      </w:r>
      <w:r>
        <w:rPr>
          <w:noProof/>
        </w:rPr>
        <w:t>metilestar</w:t>
      </w:r>
      <w:r w:rsidR="007C3485" w:rsidRPr="00E32F72">
        <w:rPr>
          <w:noProof/>
        </w:rPr>
        <w:t xml:space="preserve"> </w:t>
      </w:r>
      <w:r>
        <w:rPr>
          <w:noProof/>
        </w:rPr>
        <w:t>iz</w:t>
      </w:r>
      <w:r w:rsidR="007C3485" w:rsidRPr="00E32F72">
        <w:rPr>
          <w:noProof/>
        </w:rPr>
        <w:t xml:space="preserve"> </w:t>
      </w:r>
      <w:r>
        <w:rPr>
          <w:noProof/>
        </w:rPr>
        <w:t>biljnih</w:t>
      </w:r>
      <w:r w:rsidR="007C3485" w:rsidRPr="00E32F72">
        <w:rPr>
          <w:noProof/>
        </w:rPr>
        <w:t xml:space="preserve"> </w:t>
      </w:r>
      <w:r>
        <w:rPr>
          <w:noProof/>
        </w:rPr>
        <w:t>ulja</w:t>
      </w:r>
      <w:r w:rsidR="007C3485" w:rsidRPr="00E32F72">
        <w:rPr>
          <w:noProof/>
        </w:rPr>
        <w:t>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lužinu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celuloze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6%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lužine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celuloze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3%.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III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tabs>
          <w:tab w:val="left" w:pos="279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tabs>
          <w:tab w:val="left" w:pos="279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540"/>
        <w:gridCol w:w="1960"/>
        <w:gridCol w:w="2117"/>
      </w:tblGrid>
      <w:tr w:rsidR="007C3485" w:rsidRPr="00E32F72" w:rsidTr="007C348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snaga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Wth)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(mg/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  <w:tr w:rsidR="007C3485" w:rsidRPr="00E32F72" w:rsidTr="007C3485">
        <w:trPr>
          <w:trHeight w:val="268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sumpora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SO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naftni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</w:t>
            </w:r>
          </w:p>
        </w:tc>
      </w:tr>
      <w:tr w:rsidR="007C3485" w:rsidRPr="00E32F72" w:rsidTr="007C3485">
        <w:trPr>
          <w:trHeight w:val="28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</w:t>
            </w:r>
          </w:p>
        </w:tc>
      </w:tr>
      <w:tr w:rsidR="007C3485" w:rsidRPr="00E32F72" w:rsidTr="007C3485">
        <w:trPr>
          <w:trHeight w:val="301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praškaste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naftni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rafinerijski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tretmana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otpadnih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voda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biogas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≥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7C3485" w:rsidRPr="00E32F72" w:rsidTr="007C3485">
        <w:trPr>
          <w:trHeight w:val="234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osim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tečnog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naftnog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rafinerijskog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tretmana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otpadnih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voda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biogasa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≥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3%.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</w:p>
    <w:p w:rsidR="007C3485" w:rsidRPr="00E32F72" w:rsidRDefault="00E32F72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7C3485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1890"/>
        <w:gridCol w:w="2124"/>
      </w:tblGrid>
      <w:tr w:rsidR="007C3485" w:rsidRPr="00E32F72" w:rsidTr="007C3485">
        <w:trPr>
          <w:trHeight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snaga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Wth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(mg/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praškaste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</w:tr>
      <w:tr w:rsidR="007C3485" w:rsidRPr="00E32F72" w:rsidTr="007C3485">
        <w:trPr>
          <w:trHeight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7C3485" w:rsidRPr="00E32F72" w:rsidTr="007C3485">
        <w:trPr>
          <w:trHeight w:val="5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tabs>
                <w:tab w:val="left" w:pos="7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drvo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briketi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peleti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</w:t>
            </w:r>
          </w:p>
        </w:tc>
      </w:tr>
      <w:tr w:rsidR="007C3485" w:rsidRPr="00E32F72" w:rsidTr="007C3485">
        <w:trPr>
          <w:trHeight w:val="14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fluidizovanim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slojem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upotrebi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osim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drveta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briketa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peleta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</w:t>
            </w:r>
          </w:p>
        </w:tc>
      </w:tr>
      <w:tr w:rsidR="007C3485" w:rsidRPr="00E32F72" w:rsidTr="007C3485">
        <w:trPr>
          <w:trHeight w:val="2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≥ 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</w:t>
            </w:r>
          </w:p>
        </w:tc>
      </w:tr>
      <w:tr w:rsidR="007C3485" w:rsidRPr="00E32F72" w:rsidTr="007C348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&lt;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</w:t>
            </w:r>
          </w:p>
        </w:tc>
      </w:tr>
      <w:tr w:rsidR="007C3485" w:rsidRPr="00E32F72" w:rsidTr="007C3485">
        <w:trPr>
          <w:trHeight w:val="3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fluidizovanim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slojem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ugalj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7C3485" w:rsidRPr="00E32F72" w:rsidTr="007C3485">
        <w:trPr>
          <w:trHeight w:val="22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sumpora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SO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fluidizovanim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slojem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uz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uslov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emisioni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faktor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izražen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odnos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količine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sumpora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otpadnim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gasovima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količine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sumpora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manji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25%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</w:t>
            </w:r>
          </w:p>
        </w:tc>
      </w:tr>
      <w:tr w:rsidR="007C3485" w:rsidRPr="00E32F72" w:rsidTr="007C3485">
        <w:trPr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ostala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korišćenju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kamenog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uglja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1300</w:t>
            </w:r>
          </w:p>
        </w:tc>
      </w:tr>
      <w:tr w:rsidR="007C3485" w:rsidRPr="00E32F72" w:rsidTr="007C3485">
        <w:trPr>
          <w:trHeight w:val="3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1000</w:t>
            </w:r>
          </w:p>
        </w:tc>
      </w:tr>
      <w:tr w:rsidR="007C3485" w:rsidRPr="00E32F72" w:rsidTr="007C3485">
        <w:trPr>
          <w:trHeight w:val="25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organske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ukupni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ugljenik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drvo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briketi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peleti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7C3485" w:rsidRPr="00E32F72" w:rsidTr="007C3485">
        <w:trPr>
          <w:trHeight w:val="2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poljoprivredna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biomasa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žitarice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slama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suncokretova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ljuspa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mikantus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</w:tr>
    </w:tbl>
    <w:p w:rsidR="007C3485" w:rsidRPr="00E32F72" w:rsidRDefault="007C3485" w:rsidP="007C348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ugalj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briket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koks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7%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11%.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7C3485" w:rsidP="007C348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tbl>
      <w:tblPr>
        <w:tblpPr w:leftFromText="180" w:rightFromText="180" w:vertAnchor="text" w:horzAnchor="page" w:tblpX="1784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2880"/>
      </w:tblGrid>
      <w:tr w:rsidR="007C3485" w:rsidRPr="00E32F72" w:rsidTr="007C3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(mg/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praškaste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 (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gorivo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            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EVRO S,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nisko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sumporno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specijalno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NSG-S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S,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metanol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etanol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sirova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biljna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ulja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metilestar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biljnih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ulja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određuje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emisija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praškastih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rPr>
          <w:trHeight w:val="36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</w:t>
            </w:r>
          </w:p>
        </w:tc>
      </w:tr>
      <w:tr w:rsidR="007C3485" w:rsidRPr="00E32F72" w:rsidTr="007C3485">
        <w:trPr>
          <w:trHeight w:val="115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EVRO S,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nisko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sumporno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specijalno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NSG-S,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S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temperatura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vode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kotlu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niža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110°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180</w:t>
            </w:r>
          </w:p>
        </w:tc>
      </w:tr>
      <w:tr w:rsidR="007C3485" w:rsidRPr="00E32F72" w:rsidTr="007C3485">
        <w:trPr>
          <w:trHeight w:val="13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EVRO S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nisko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sumporno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specijalno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NSG-S,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S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temperatura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vode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kotlu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viša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110°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niža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210°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  <w:tr w:rsidR="007C3485" w:rsidRPr="00E32F72" w:rsidTr="007C3485">
        <w:trPr>
          <w:trHeight w:val="2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EVRO S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nisko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sumporno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specijalno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NSG-S,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S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temperatura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vode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kotlu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viša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210°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rPr>
          <w:trHeight w:val="11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ako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medijum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prenos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kotlu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</w:t>
            </w:r>
          </w:p>
        </w:tc>
      </w:tr>
      <w:tr w:rsidR="007C3485" w:rsidRPr="00E32F72" w:rsidTr="007C3485">
        <w:trPr>
          <w:trHeight w:val="67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sumpora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SO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loženje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1300</w:t>
            </w:r>
          </w:p>
        </w:tc>
      </w:tr>
      <w:tr w:rsidR="007C3485" w:rsidRPr="00E32F72" w:rsidTr="007C3485">
        <w:trPr>
          <w:trHeight w:val="69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850</w:t>
            </w:r>
          </w:p>
        </w:tc>
      </w:tr>
    </w:tbl>
    <w:p w:rsidR="007C3485" w:rsidRPr="00E32F72" w:rsidRDefault="007C3485" w:rsidP="007C348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Dimni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loženje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EVRO S, </w:t>
      </w:r>
      <w:r>
        <w:rPr>
          <w:rFonts w:ascii="Times New Roman" w:hAnsi="Times New Roman"/>
          <w:noProof/>
          <w:sz w:val="24"/>
          <w:szCs w:val="24"/>
          <w:lang w:val="sr-Latn-CS"/>
        </w:rPr>
        <w:t>ulje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loženje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nisko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NSG-S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temperatura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tehnički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drugi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zahtevi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moraju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da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naftnog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energetska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stavljaju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promet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tržište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C3485" w:rsidRPr="00E32F72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Srbije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zatim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metanol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etanol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sirova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biljna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ulja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metilestar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biljnih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ulja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otpadnu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lužinu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celuloze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6%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tečnih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3%.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III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60"/>
        <w:gridCol w:w="2156"/>
        <w:gridCol w:w="2161"/>
      </w:tblGrid>
      <w:tr w:rsidR="007C3485" w:rsidRPr="00E32F72" w:rsidTr="007C34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snaga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Wth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(mg/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rPr>
          <w:trHeight w:val="3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praškaste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naftni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rafinerijski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tretmana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otpadnih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voda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biogas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≥ 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7C3485" w:rsidRPr="00E32F72" w:rsidTr="007C3485">
        <w:trPr>
          <w:trHeight w:val="3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≥ 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7C3485" w:rsidRPr="00E32F72" w:rsidTr="007C3485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</w:t>
            </w:r>
          </w:p>
        </w:tc>
      </w:tr>
      <w:tr w:rsidR="007C3485" w:rsidRPr="00E32F72" w:rsidTr="007C3485">
        <w:trPr>
          <w:trHeight w:val="1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prirodni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temperatura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vode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kotlu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niža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110°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rPr>
          <w:trHeight w:val="14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prirodni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temperatura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vode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kotlu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viša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110°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niža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210°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110</w:t>
            </w:r>
          </w:p>
        </w:tc>
      </w:tr>
      <w:tr w:rsidR="007C3485" w:rsidRPr="00E32F72" w:rsidTr="007C3485">
        <w:trPr>
          <w:trHeight w:val="10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prirodni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temperatura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vode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kotlu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viša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210°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7C3485" w:rsidRPr="00E32F72" w:rsidTr="007C3485">
        <w:trPr>
          <w:trHeight w:val="5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ako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medijum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prenos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toplote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kotlu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voda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  <w:tr w:rsidR="007C3485" w:rsidRPr="00E32F72" w:rsidTr="007C3485">
        <w:trPr>
          <w:trHeight w:val="3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oksidi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sumpora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SO</w:t>
            </w:r>
            <w:r w:rsidR="007C3485"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naftni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7C3485" w:rsidRPr="00E32F72" w:rsidTr="007C3485">
        <w:trPr>
          <w:trHeight w:val="3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prirodni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7C3485" w:rsidRPr="00E32F72" w:rsidTr="007C3485">
        <w:trPr>
          <w:trHeight w:val="3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rafinerijski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7C3485" w:rsidRPr="00E32F72" w:rsidTr="007C3485">
        <w:trPr>
          <w:trHeight w:val="28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val="sr-Latn-CS"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druga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</w:t>
            </w:r>
          </w:p>
        </w:tc>
      </w:tr>
    </w:tbl>
    <w:p w:rsidR="007C3485" w:rsidRPr="00E32F72" w:rsidRDefault="007C3485" w:rsidP="007C34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3%.</w:t>
      </w:r>
    </w:p>
    <w:p w:rsidR="007C3485" w:rsidRPr="00E32F72" w:rsidRDefault="007C3485" w:rsidP="007C3485">
      <w:pPr>
        <w:spacing w:after="0" w:line="240" w:lineRule="auto"/>
        <w:rPr>
          <w:rFonts w:ascii="Times New Roman" w:eastAsia="Times New Roman" w:hAnsi="Times New Roman" w:cs="Courier New"/>
          <w:noProof/>
          <w:sz w:val="24"/>
          <w:szCs w:val="24"/>
          <w:lang w:val="sr-Latn-CS"/>
        </w:rPr>
        <w:sectPr w:rsidR="007C3485" w:rsidRPr="00E32F72">
          <w:pgSz w:w="11909" w:h="16834"/>
          <w:pgMar w:top="1440" w:right="1440" w:bottom="1440" w:left="1440" w:header="706" w:footer="706" w:gutter="0"/>
          <w:pgNumType w:start="1"/>
          <w:cols w:space="720"/>
        </w:sectPr>
      </w:pPr>
    </w:p>
    <w:p w:rsidR="007C3485" w:rsidRPr="00E32F72" w:rsidRDefault="00E32F72" w:rsidP="007C3485">
      <w:pPr>
        <w:pStyle w:val="PlainText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PRILOG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7C3485" w:rsidRPr="00E32F72" w:rsidRDefault="007C3485" w:rsidP="007C3485">
      <w:pPr>
        <w:pStyle w:val="PlainText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</w:p>
    <w:p w:rsidR="007C3485" w:rsidRPr="00E32F72" w:rsidRDefault="00E32F72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</w:p>
    <w:p w:rsidR="007C3485" w:rsidRPr="00E32F72" w:rsidRDefault="007C3485" w:rsidP="007C3485">
      <w:pPr>
        <w:pStyle w:val="Pasussalistom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7C3485" w:rsidP="007C3485">
      <w:pPr>
        <w:pStyle w:val="Pasussalistom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Granične</w:t>
      </w:r>
      <w:r w:rsidR="007C3485" w:rsidRPr="00E32F72">
        <w:rPr>
          <w:noProof/>
        </w:rPr>
        <w:t xml:space="preserve"> </w:t>
      </w:r>
      <w:r>
        <w:rPr>
          <w:noProof/>
        </w:rPr>
        <w:t>vrednosti</w:t>
      </w:r>
      <w:r w:rsidR="007C3485" w:rsidRPr="00E32F72">
        <w:rPr>
          <w:noProof/>
        </w:rPr>
        <w:t xml:space="preserve"> </w:t>
      </w:r>
      <w:r>
        <w:rPr>
          <w:noProof/>
        </w:rPr>
        <w:t>emisija</w:t>
      </w:r>
      <w:r w:rsidR="007C3485" w:rsidRPr="00E32F72">
        <w:rPr>
          <w:noProof/>
        </w:rPr>
        <w:t xml:space="preserve">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postojeća</w:t>
      </w:r>
      <w:r w:rsidR="007C3485" w:rsidRPr="00E32F72">
        <w:rPr>
          <w:noProof/>
        </w:rPr>
        <w:t xml:space="preserve"> </w:t>
      </w:r>
      <w:r>
        <w:rPr>
          <w:noProof/>
        </w:rPr>
        <w:t>mala</w:t>
      </w:r>
      <w:r w:rsidR="007C3485" w:rsidRPr="00E32F72">
        <w:rPr>
          <w:noProof/>
        </w:rPr>
        <w:t xml:space="preserve"> </w:t>
      </w:r>
      <w:r>
        <w:rPr>
          <w:noProof/>
        </w:rPr>
        <w:t>postrojenja</w:t>
      </w:r>
      <w:r w:rsidR="007C3485" w:rsidRPr="00E32F72">
        <w:rPr>
          <w:noProof/>
        </w:rPr>
        <w:t xml:space="preserve">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sagorevanje</w:t>
      </w:r>
      <w:r w:rsidR="007C3485" w:rsidRPr="00E32F72">
        <w:rPr>
          <w:noProof/>
        </w:rPr>
        <w:t xml:space="preserve"> </w:t>
      </w:r>
      <w:r>
        <w:rPr>
          <w:noProof/>
        </w:rPr>
        <w:t>koja</w:t>
      </w:r>
      <w:r w:rsidR="007C3485" w:rsidRPr="00E32F72">
        <w:rPr>
          <w:noProof/>
        </w:rPr>
        <w:t xml:space="preserve"> </w:t>
      </w:r>
      <w:r>
        <w:rPr>
          <w:noProof/>
        </w:rPr>
        <w:t>koriste</w:t>
      </w:r>
      <w:r w:rsidR="007C3485" w:rsidRPr="00E32F72">
        <w:rPr>
          <w:noProof/>
        </w:rPr>
        <w:t xml:space="preserve"> </w:t>
      </w:r>
      <w:r>
        <w:rPr>
          <w:noProof/>
        </w:rPr>
        <w:t>čvrsta</w:t>
      </w:r>
      <w:r w:rsidR="007C3485" w:rsidRPr="00E32F72">
        <w:rPr>
          <w:noProof/>
        </w:rPr>
        <w:t xml:space="preserve"> </w:t>
      </w:r>
      <w:r>
        <w:rPr>
          <w:noProof/>
        </w:rPr>
        <w:t>goriva</w:t>
      </w:r>
      <w:r w:rsidR="007C3485" w:rsidRPr="00E32F72">
        <w:rPr>
          <w:noProof/>
        </w:rPr>
        <w:t xml:space="preserve">, </w:t>
      </w:r>
      <w:r>
        <w:rPr>
          <w:noProof/>
        </w:rPr>
        <w:t>date</w:t>
      </w:r>
      <w:r w:rsidR="007C3485" w:rsidRPr="00E32F72">
        <w:rPr>
          <w:noProof/>
        </w:rPr>
        <w:t xml:space="preserve"> </w:t>
      </w:r>
      <w:r>
        <w:rPr>
          <w:noProof/>
        </w:rPr>
        <w:t>su</w:t>
      </w:r>
      <w:r w:rsidR="007C3485" w:rsidRPr="00E32F72">
        <w:rPr>
          <w:noProof/>
        </w:rPr>
        <w:t xml:space="preserve"> </w:t>
      </w:r>
      <w:r>
        <w:rPr>
          <w:noProof/>
        </w:rPr>
        <w:t>u</w:t>
      </w:r>
      <w:r w:rsidR="007C3485" w:rsidRPr="00E32F72">
        <w:rPr>
          <w:noProof/>
        </w:rPr>
        <w:t xml:space="preserve"> </w:t>
      </w:r>
      <w:r>
        <w:rPr>
          <w:noProof/>
        </w:rPr>
        <w:t>sledećoj</w:t>
      </w:r>
      <w:r w:rsidR="007C3485" w:rsidRPr="00E32F72">
        <w:rPr>
          <w:noProof/>
        </w:rPr>
        <w:t xml:space="preserve"> </w:t>
      </w:r>
      <w:r>
        <w:rPr>
          <w:noProof/>
        </w:rPr>
        <w:t>tabeli</w:t>
      </w:r>
      <w:r w:rsidR="007C3485" w:rsidRPr="00E32F72">
        <w:rPr>
          <w:noProof/>
        </w:rPr>
        <w:t>:</w:t>
      </w:r>
    </w:p>
    <w:p w:rsidR="007C3485" w:rsidRPr="00E32F72" w:rsidRDefault="00E32F72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Tabela</w:t>
      </w:r>
      <w:r w:rsidR="007C3485" w:rsidRPr="00E32F72">
        <w:rPr>
          <w:noProof/>
        </w:rPr>
        <w:t xml:space="preserve"> 1.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2443"/>
        <w:gridCol w:w="2195"/>
        <w:gridCol w:w="2322"/>
      </w:tblGrid>
      <w:tr w:rsidR="007C3485" w:rsidRPr="00E32F72" w:rsidTr="007C348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snaga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(kWth)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(mg/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briketi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peleti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50-150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4000</w:t>
            </w:r>
          </w:p>
        </w:tc>
      </w:tr>
      <w:tr w:rsidR="007C3485" w:rsidRPr="00E32F72" w:rsidTr="007C3485"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briketi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peleti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150-500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2000</w:t>
            </w:r>
          </w:p>
        </w:tc>
      </w:tr>
      <w:tr w:rsidR="007C3485" w:rsidRPr="00E32F72" w:rsidTr="007C3485"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briketi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peleti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≥ 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1000</w:t>
            </w:r>
          </w:p>
        </w:tc>
      </w:tr>
      <w:tr w:rsidR="007C3485" w:rsidRPr="00E32F72" w:rsidTr="007C348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praškaste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</w:tbl>
    <w:p w:rsidR="007C3485" w:rsidRPr="00E32F72" w:rsidRDefault="007C3485" w:rsidP="007C3485">
      <w:pPr>
        <w:pStyle w:val="Normal2"/>
        <w:spacing w:before="0" w:beforeAutospacing="0" w:after="0" w:afterAutospacing="0"/>
        <w:jc w:val="both"/>
        <w:rPr>
          <w:noProof/>
        </w:rPr>
      </w:pPr>
    </w:p>
    <w:p w:rsidR="007C3485" w:rsidRPr="00E32F72" w:rsidRDefault="00E32F72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Zatamnjenje</w:t>
      </w:r>
      <w:r w:rsidR="007C3485" w:rsidRPr="00E32F72">
        <w:rPr>
          <w:noProof/>
        </w:rPr>
        <w:t xml:space="preserve"> </w:t>
      </w:r>
      <w:r>
        <w:rPr>
          <w:noProof/>
        </w:rPr>
        <w:t>dimnih</w:t>
      </w:r>
      <w:r w:rsidR="007C3485" w:rsidRPr="00E32F72">
        <w:rPr>
          <w:noProof/>
        </w:rPr>
        <w:t xml:space="preserve"> </w:t>
      </w:r>
      <w:r>
        <w:rPr>
          <w:noProof/>
        </w:rPr>
        <w:t>gasova</w:t>
      </w:r>
      <w:r w:rsidR="007C3485" w:rsidRPr="00E32F72">
        <w:rPr>
          <w:noProof/>
        </w:rPr>
        <w:t xml:space="preserve"> </w:t>
      </w:r>
      <w:r>
        <w:rPr>
          <w:noProof/>
        </w:rPr>
        <w:t>iznosi</w:t>
      </w:r>
      <w:r w:rsidR="007C3485" w:rsidRPr="00E32F72">
        <w:rPr>
          <w:noProof/>
        </w:rPr>
        <w:t xml:space="preserve"> 1.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ugalj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briket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koks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8%,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13%.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II</w:t>
      </w:r>
    </w:p>
    <w:p w:rsidR="007C3485" w:rsidRPr="00E32F72" w:rsidRDefault="007C3485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NAFTNOG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POREKLA</w:t>
      </w:r>
    </w:p>
    <w:p w:rsidR="007C3485" w:rsidRPr="00E32F72" w:rsidRDefault="007C3485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Granične</w:t>
      </w:r>
      <w:r w:rsidR="007C3485" w:rsidRPr="00E32F72">
        <w:rPr>
          <w:noProof/>
        </w:rPr>
        <w:t xml:space="preserve"> </w:t>
      </w:r>
      <w:r>
        <w:rPr>
          <w:noProof/>
        </w:rPr>
        <w:t>vrednosti</w:t>
      </w:r>
      <w:r w:rsidR="007C3485" w:rsidRPr="00E32F72">
        <w:rPr>
          <w:noProof/>
        </w:rPr>
        <w:t xml:space="preserve"> </w:t>
      </w:r>
      <w:r>
        <w:rPr>
          <w:noProof/>
        </w:rPr>
        <w:t>emisija</w:t>
      </w:r>
      <w:r w:rsidR="007C3485" w:rsidRPr="00E32F72">
        <w:rPr>
          <w:noProof/>
        </w:rPr>
        <w:t xml:space="preserve">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postojeća</w:t>
      </w:r>
      <w:r w:rsidR="007C3485" w:rsidRPr="00E32F72">
        <w:rPr>
          <w:noProof/>
        </w:rPr>
        <w:t xml:space="preserve"> </w:t>
      </w:r>
      <w:r>
        <w:rPr>
          <w:noProof/>
        </w:rPr>
        <w:t>mala</w:t>
      </w:r>
      <w:r w:rsidR="007C3485" w:rsidRPr="00E32F72">
        <w:rPr>
          <w:noProof/>
        </w:rPr>
        <w:t xml:space="preserve"> </w:t>
      </w:r>
      <w:r>
        <w:rPr>
          <w:noProof/>
        </w:rPr>
        <w:t>postrojenja</w:t>
      </w:r>
      <w:r w:rsidR="007C3485" w:rsidRPr="00E32F72">
        <w:rPr>
          <w:noProof/>
        </w:rPr>
        <w:t xml:space="preserve">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sagorevanje</w:t>
      </w:r>
      <w:r w:rsidR="007C3485" w:rsidRPr="00E32F72">
        <w:rPr>
          <w:noProof/>
        </w:rPr>
        <w:t xml:space="preserve"> </w:t>
      </w:r>
      <w:r>
        <w:rPr>
          <w:noProof/>
        </w:rPr>
        <w:t>koja</w:t>
      </w:r>
      <w:r w:rsidR="007C3485" w:rsidRPr="00E32F72">
        <w:rPr>
          <w:noProof/>
        </w:rPr>
        <w:t xml:space="preserve"> </w:t>
      </w:r>
      <w:r>
        <w:rPr>
          <w:noProof/>
        </w:rPr>
        <w:t>koriste</w:t>
      </w:r>
      <w:r w:rsidR="007C3485" w:rsidRPr="00E32F72">
        <w:rPr>
          <w:noProof/>
        </w:rPr>
        <w:t xml:space="preserve"> </w:t>
      </w:r>
      <w:r>
        <w:rPr>
          <w:noProof/>
        </w:rPr>
        <w:t>tečna</w:t>
      </w:r>
      <w:r w:rsidR="007C3485" w:rsidRPr="00E32F72">
        <w:rPr>
          <w:noProof/>
        </w:rPr>
        <w:t xml:space="preserve"> </w:t>
      </w:r>
      <w:r>
        <w:rPr>
          <w:noProof/>
        </w:rPr>
        <w:t>goriva</w:t>
      </w:r>
      <w:r w:rsidR="007C3485" w:rsidRPr="00E32F72">
        <w:rPr>
          <w:noProof/>
        </w:rPr>
        <w:t xml:space="preserve"> </w:t>
      </w:r>
      <w:r>
        <w:rPr>
          <w:noProof/>
        </w:rPr>
        <w:t>i</w:t>
      </w:r>
      <w:r w:rsidR="007C3485" w:rsidRPr="00E32F72">
        <w:rPr>
          <w:noProof/>
        </w:rPr>
        <w:t xml:space="preserve"> </w:t>
      </w:r>
      <w:r>
        <w:rPr>
          <w:noProof/>
        </w:rPr>
        <w:t>tečna</w:t>
      </w:r>
      <w:r w:rsidR="007C3485" w:rsidRPr="00E32F72">
        <w:rPr>
          <w:noProof/>
        </w:rPr>
        <w:t xml:space="preserve"> </w:t>
      </w:r>
      <w:r>
        <w:rPr>
          <w:noProof/>
        </w:rPr>
        <w:t>goriva</w:t>
      </w:r>
      <w:r w:rsidR="007C3485" w:rsidRPr="00E32F72">
        <w:rPr>
          <w:noProof/>
        </w:rPr>
        <w:t xml:space="preserve"> </w:t>
      </w:r>
      <w:r>
        <w:rPr>
          <w:noProof/>
        </w:rPr>
        <w:t>naftnog</w:t>
      </w:r>
      <w:r w:rsidR="007C3485" w:rsidRPr="00E32F72">
        <w:rPr>
          <w:noProof/>
        </w:rPr>
        <w:t xml:space="preserve"> </w:t>
      </w:r>
      <w:r>
        <w:rPr>
          <w:noProof/>
        </w:rPr>
        <w:t>porekla</w:t>
      </w:r>
      <w:r w:rsidR="007C3485" w:rsidRPr="00E32F72">
        <w:rPr>
          <w:noProof/>
        </w:rPr>
        <w:t xml:space="preserve">, </w:t>
      </w:r>
      <w:r>
        <w:rPr>
          <w:noProof/>
        </w:rPr>
        <w:t>date</w:t>
      </w:r>
      <w:r w:rsidR="007C3485" w:rsidRPr="00E32F72">
        <w:rPr>
          <w:noProof/>
        </w:rPr>
        <w:t xml:space="preserve"> </w:t>
      </w:r>
      <w:r>
        <w:rPr>
          <w:noProof/>
        </w:rPr>
        <w:t>su</w:t>
      </w:r>
      <w:r w:rsidR="007C3485" w:rsidRPr="00E32F72">
        <w:rPr>
          <w:noProof/>
        </w:rPr>
        <w:t xml:space="preserve"> </w:t>
      </w:r>
      <w:r>
        <w:rPr>
          <w:noProof/>
        </w:rPr>
        <w:t>u</w:t>
      </w:r>
      <w:r w:rsidR="007C3485" w:rsidRPr="00E32F72">
        <w:rPr>
          <w:noProof/>
        </w:rPr>
        <w:t xml:space="preserve"> </w:t>
      </w:r>
      <w:r>
        <w:rPr>
          <w:noProof/>
        </w:rPr>
        <w:t>sledećoj</w:t>
      </w:r>
      <w:r w:rsidR="007C3485" w:rsidRPr="00E32F72">
        <w:rPr>
          <w:noProof/>
        </w:rPr>
        <w:t xml:space="preserve"> </w:t>
      </w:r>
      <w:r>
        <w:rPr>
          <w:noProof/>
        </w:rPr>
        <w:t>tabeli</w:t>
      </w:r>
      <w:r w:rsidR="007C3485" w:rsidRPr="00E32F72">
        <w:rPr>
          <w:noProof/>
        </w:rPr>
        <w:t>:</w:t>
      </w:r>
    </w:p>
    <w:p w:rsidR="007C3485" w:rsidRPr="00E32F72" w:rsidRDefault="00E32F72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Tabela</w:t>
      </w:r>
      <w:r w:rsidR="007C3485" w:rsidRPr="00E32F72">
        <w:rPr>
          <w:noProof/>
        </w:rPr>
        <w:t xml:space="preserve"> 2.</w:t>
      </w:r>
    </w:p>
    <w:tbl>
      <w:tblPr>
        <w:tblpPr w:leftFromText="180" w:rightFromText="180" w:vertAnchor="text" w:horzAnchor="page" w:tblpX="229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690"/>
      </w:tblGrid>
      <w:tr w:rsidR="007C3485" w:rsidRPr="00E32F72" w:rsidTr="007C34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rPr>
          <w:trHeight w:val="3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175</w:t>
            </w:r>
          </w:p>
        </w:tc>
      </w:tr>
      <w:tr w:rsidR="007C3485" w:rsidRPr="00E32F72" w:rsidTr="007C3485">
        <w:trPr>
          <w:trHeight w:val="3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ksidi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</w:t>
            </w:r>
          </w:p>
        </w:tc>
      </w:tr>
    </w:tbl>
    <w:p w:rsidR="007C3485" w:rsidRPr="00E32F72" w:rsidRDefault="007C3485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</w:p>
    <w:p w:rsidR="007C3485" w:rsidRPr="00E32F72" w:rsidRDefault="007C3485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</w:p>
    <w:p w:rsidR="007C3485" w:rsidRPr="00E32F72" w:rsidRDefault="007C3485" w:rsidP="007C3485">
      <w:pPr>
        <w:pStyle w:val="Normal2"/>
        <w:spacing w:before="0" w:beforeAutospacing="0" w:after="0" w:afterAutospacing="0"/>
        <w:jc w:val="both"/>
        <w:rPr>
          <w:noProof/>
        </w:rPr>
      </w:pPr>
    </w:p>
    <w:p w:rsidR="007C3485" w:rsidRPr="00E32F72" w:rsidRDefault="007C3485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</w:p>
    <w:p w:rsidR="007C3485" w:rsidRPr="00E32F72" w:rsidRDefault="007C3485" w:rsidP="007C3485">
      <w:pPr>
        <w:pStyle w:val="Normal2"/>
        <w:spacing w:before="0" w:beforeAutospacing="0" w:after="0" w:afterAutospacing="0"/>
        <w:jc w:val="both"/>
        <w:rPr>
          <w:noProof/>
        </w:rPr>
      </w:pPr>
    </w:p>
    <w:p w:rsidR="007C3485" w:rsidRPr="00E32F72" w:rsidRDefault="007C3485" w:rsidP="007C3485">
      <w:pPr>
        <w:pStyle w:val="Normal2"/>
        <w:spacing w:before="0" w:beforeAutospacing="0" w:after="0" w:afterAutospacing="0"/>
        <w:jc w:val="both"/>
        <w:rPr>
          <w:noProof/>
        </w:rPr>
      </w:pPr>
    </w:p>
    <w:p w:rsidR="007C3485" w:rsidRPr="00E32F72" w:rsidRDefault="007C3485" w:rsidP="007C3485">
      <w:pPr>
        <w:pStyle w:val="Normal2"/>
        <w:spacing w:before="0" w:beforeAutospacing="0" w:after="0" w:afterAutospacing="0"/>
        <w:jc w:val="both"/>
        <w:rPr>
          <w:noProof/>
        </w:rPr>
      </w:pPr>
    </w:p>
    <w:p w:rsidR="007C3485" w:rsidRPr="00E32F72" w:rsidRDefault="007C3485" w:rsidP="007C3485">
      <w:pPr>
        <w:pStyle w:val="Normal2"/>
        <w:spacing w:before="0" w:beforeAutospacing="0" w:after="0" w:afterAutospacing="0"/>
        <w:jc w:val="both"/>
        <w:rPr>
          <w:noProof/>
        </w:rPr>
      </w:pPr>
    </w:p>
    <w:p w:rsidR="007C3485" w:rsidRPr="00E32F72" w:rsidRDefault="007C3485" w:rsidP="007C3485">
      <w:pPr>
        <w:pStyle w:val="Normal2"/>
        <w:spacing w:before="0" w:beforeAutospacing="0" w:after="0" w:afterAutospacing="0"/>
        <w:jc w:val="both"/>
        <w:rPr>
          <w:noProof/>
        </w:rPr>
      </w:pPr>
    </w:p>
    <w:p w:rsidR="007C3485" w:rsidRPr="00E32F72" w:rsidRDefault="00E32F72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Vrednosti</w:t>
      </w:r>
      <w:r w:rsidR="007C3485" w:rsidRPr="00E32F72">
        <w:rPr>
          <w:noProof/>
        </w:rPr>
        <w:t xml:space="preserve">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dimni</w:t>
      </w:r>
      <w:r w:rsidR="007C3485" w:rsidRPr="00E32F72">
        <w:rPr>
          <w:noProof/>
        </w:rPr>
        <w:t xml:space="preserve"> </w:t>
      </w:r>
      <w:r>
        <w:rPr>
          <w:noProof/>
        </w:rPr>
        <w:t>broj</w:t>
      </w:r>
      <w:r w:rsidR="007C3485" w:rsidRPr="00E32F72">
        <w:rPr>
          <w:noProof/>
        </w:rPr>
        <w:t xml:space="preserve"> </w:t>
      </w:r>
      <w:r>
        <w:rPr>
          <w:noProof/>
        </w:rPr>
        <w:t>date</w:t>
      </w:r>
      <w:r w:rsidR="007C3485" w:rsidRPr="00E32F72">
        <w:rPr>
          <w:noProof/>
        </w:rPr>
        <w:t xml:space="preserve"> </w:t>
      </w:r>
      <w:r>
        <w:rPr>
          <w:noProof/>
        </w:rPr>
        <w:t>su</w:t>
      </w:r>
      <w:r w:rsidR="007C3485" w:rsidRPr="00E32F72">
        <w:rPr>
          <w:noProof/>
        </w:rPr>
        <w:t xml:space="preserve"> </w:t>
      </w:r>
      <w:r>
        <w:rPr>
          <w:noProof/>
        </w:rPr>
        <w:t>u</w:t>
      </w:r>
      <w:r w:rsidR="007C3485" w:rsidRPr="00E32F72">
        <w:rPr>
          <w:noProof/>
        </w:rPr>
        <w:t xml:space="preserve"> </w:t>
      </w:r>
      <w:r>
        <w:rPr>
          <w:noProof/>
        </w:rPr>
        <w:t>sledećoj</w:t>
      </w:r>
      <w:r w:rsidR="007C3485" w:rsidRPr="00E32F72">
        <w:rPr>
          <w:noProof/>
        </w:rPr>
        <w:t xml:space="preserve"> </w:t>
      </w:r>
      <w:r>
        <w:rPr>
          <w:noProof/>
        </w:rPr>
        <w:t>tabeli</w:t>
      </w:r>
      <w:r w:rsidR="007C3485" w:rsidRPr="00E32F72">
        <w:rPr>
          <w:noProof/>
        </w:rPr>
        <w:t>:</w:t>
      </w:r>
    </w:p>
    <w:p w:rsidR="007C3485" w:rsidRPr="00E32F72" w:rsidRDefault="00E32F72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Tabela</w:t>
      </w:r>
      <w:r w:rsidR="007C3485" w:rsidRPr="00E32F72">
        <w:rPr>
          <w:noProof/>
        </w:rPr>
        <w:t xml:space="preserve"> 3.</w:t>
      </w:r>
    </w:p>
    <w:tbl>
      <w:tblPr>
        <w:tblpPr w:leftFromText="180" w:rightFromText="180" w:vertAnchor="text" w:horzAnchor="page" w:tblpX="2291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690"/>
      </w:tblGrid>
      <w:tr w:rsidR="007C3485" w:rsidRPr="00E32F72" w:rsidTr="007C34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(kWth)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Dimni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</w:p>
        </w:tc>
      </w:tr>
      <w:tr w:rsidR="007C3485" w:rsidRPr="00E32F72" w:rsidTr="007C34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&lt; 11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najviše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</w:t>
            </w:r>
          </w:p>
        </w:tc>
      </w:tr>
      <w:tr w:rsidR="007C3485" w:rsidRPr="00E32F72" w:rsidTr="007C34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≥ 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</w:tbl>
    <w:p w:rsidR="007C3485" w:rsidRPr="00E32F72" w:rsidRDefault="007C3485" w:rsidP="007C3485">
      <w:pPr>
        <w:pStyle w:val="Normal2"/>
        <w:spacing w:before="0" w:beforeAutospacing="0" w:after="0" w:afterAutospacing="0"/>
        <w:jc w:val="both"/>
        <w:rPr>
          <w:noProof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3%.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III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</w:p>
    <w:p w:rsidR="007C3485" w:rsidRPr="00E32F72" w:rsidRDefault="007C3485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</w:p>
    <w:p w:rsidR="007C3485" w:rsidRPr="00E32F72" w:rsidRDefault="00E32F72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Granične</w:t>
      </w:r>
      <w:r w:rsidR="007C3485" w:rsidRPr="00E32F72">
        <w:rPr>
          <w:noProof/>
        </w:rPr>
        <w:t xml:space="preserve"> </w:t>
      </w:r>
      <w:r>
        <w:rPr>
          <w:noProof/>
        </w:rPr>
        <w:t>vrednosti</w:t>
      </w:r>
      <w:r w:rsidR="007C3485" w:rsidRPr="00E32F72">
        <w:rPr>
          <w:noProof/>
        </w:rPr>
        <w:t xml:space="preserve"> </w:t>
      </w:r>
      <w:r>
        <w:rPr>
          <w:noProof/>
        </w:rPr>
        <w:t>emisija</w:t>
      </w:r>
      <w:r w:rsidR="007C3485" w:rsidRPr="00E32F72">
        <w:rPr>
          <w:noProof/>
        </w:rPr>
        <w:t xml:space="preserve">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postojeća</w:t>
      </w:r>
      <w:r w:rsidR="007C3485" w:rsidRPr="00E32F72">
        <w:rPr>
          <w:noProof/>
        </w:rPr>
        <w:t xml:space="preserve"> </w:t>
      </w:r>
      <w:r>
        <w:rPr>
          <w:noProof/>
        </w:rPr>
        <w:t>mala</w:t>
      </w:r>
      <w:r w:rsidR="007C3485" w:rsidRPr="00E32F72">
        <w:rPr>
          <w:noProof/>
        </w:rPr>
        <w:t xml:space="preserve"> </w:t>
      </w:r>
      <w:r>
        <w:rPr>
          <w:noProof/>
        </w:rPr>
        <w:t>postrojenja</w:t>
      </w:r>
      <w:r w:rsidR="007C3485" w:rsidRPr="00E32F72">
        <w:rPr>
          <w:noProof/>
        </w:rPr>
        <w:t xml:space="preserve"> </w:t>
      </w:r>
      <w:r>
        <w:rPr>
          <w:noProof/>
        </w:rPr>
        <w:t>za</w:t>
      </w:r>
      <w:r w:rsidR="007C3485" w:rsidRPr="00E32F72">
        <w:rPr>
          <w:noProof/>
        </w:rPr>
        <w:t xml:space="preserve"> </w:t>
      </w:r>
      <w:r>
        <w:rPr>
          <w:noProof/>
        </w:rPr>
        <w:t>sagorevanje</w:t>
      </w:r>
      <w:r w:rsidR="007C3485" w:rsidRPr="00E32F72">
        <w:rPr>
          <w:noProof/>
        </w:rPr>
        <w:t xml:space="preserve"> </w:t>
      </w:r>
      <w:r>
        <w:rPr>
          <w:noProof/>
        </w:rPr>
        <w:t>koja</w:t>
      </w:r>
      <w:r w:rsidR="007C3485" w:rsidRPr="00E32F72">
        <w:rPr>
          <w:noProof/>
        </w:rPr>
        <w:t xml:space="preserve"> </w:t>
      </w:r>
      <w:r>
        <w:rPr>
          <w:noProof/>
        </w:rPr>
        <w:t>koriste</w:t>
      </w:r>
      <w:r w:rsidR="007C3485" w:rsidRPr="00E32F72">
        <w:rPr>
          <w:noProof/>
        </w:rPr>
        <w:t xml:space="preserve"> </w:t>
      </w:r>
      <w:r>
        <w:rPr>
          <w:noProof/>
        </w:rPr>
        <w:t>gasovita</w:t>
      </w:r>
      <w:r w:rsidR="007C3485" w:rsidRPr="00E32F72">
        <w:rPr>
          <w:noProof/>
        </w:rPr>
        <w:t xml:space="preserve"> </w:t>
      </w:r>
      <w:r>
        <w:rPr>
          <w:noProof/>
        </w:rPr>
        <w:t>goriva</w:t>
      </w:r>
      <w:r w:rsidR="007C3485" w:rsidRPr="00E32F72">
        <w:rPr>
          <w:noProof/>
        </w:rPr>
        <w:t xml:space="preserve">, </w:t>
      </w:r>
      <w:r>
        <w:rPr>
          <w:noProof/>
        </w:rPr>
        <w:t>date</w:t>
      </w:r>
      <w:r w:rsidR="007C3485" w:rsidRPr="00E32F72">
        <w:rPr>
          <w:noProof/>
        </w:rPr>
        <w:t xml:space="preserve"> </w:t>
      </w:r>
      <w:r>
        <w:rPr>
          <w:noProof/>
        </w:rPr>
        <w:t>su</w:t>
      </w:r>
      <w:r w:rsidR="007C3485" w:rsidRPr="00E32F72">
        <w:rPr>
          <w:noProof/>
        </w:rPr>
        <w:t xml:space="preserve"> </w:t>
      </w:r>
      <w:r>
        <w:rPr>
          <w:noProof/>
        </w:rPr>
        <w:t>u</w:t>
      </w:r>
      <w:r w:rsidR="007C3485" w:rsidRPr="00E32F72">
        <w:rPr>
          <w:noProof/>
        </w:rPr>
        <w:t xml:space="preserve"> </w:t>
      </w:r>
      <w:r>
        <w:rPr>
          <w:noProof/>
        </w:rPr>
        <w:t>sledećoj</w:t>
      </w:r>
      <w:r w:rsidR="007C3485" w:rsidRPr="00E32F72">
        <w:rPr>
          <w:noProof/>
        </w:rPr>
        <w:t xml:space="preserve"> </w:t>
      </w:r>
      <w:r>
        <w:rPr>
          <w:noProof/>
        </w:rPr>
        <w:t>tabeli</w:t>
      </w:r>
      <w:r w:rsidR="007C3485" w:rsidRPr="00E32F72">
        <w:rPr>
          <w:noProof/>
        </w:rPr>
        <w:t>:</w:t>
      </w:r>
    </w:p>
    <w:p w:rsidR="007C3485" w:rsidRPr="00E32F72" w:rsidRDefault="00E32F72" w:rsidP="007C3485">
      <w:pPr>
        <w:pStyle w:val="Normal2"/>
        <w:spacing w:before="0" w:beforeAutospacing="0" w:after="0" w:afterAutospacing="0"/>
        <w:ind w:firstLine="720"/>
        <w:jc w:val="both"/>
        <w:rPr>
          <w:noProof/>
        </w:rPr>
      </w:pPr>
      <w:r>
        <w:rPr>
          <w:noProof/>
        </w:rPr>
        <w:t>Tabela</w:t>
      </w:r>
      <w:r w:rsidR="007C3485" w:rsidRPr="00E32F72">
        <w:rPr>
          <w:noProof/>
        </w:rPr>
        <w:t xml:space="preserve"> 4.</w:t>
      </w:r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844"/>
        <w:gridCol w:w="2736"/>
      </w:tblGrid>
      <w:tr w:rsidR="007C3485" w:rsidRPr="00E32F72" w:rsidTr="007C348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rPr>
          <w:trHeight w:val="3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Latn-CS"/>
              </w:rPr>
              <w:t>gasovita</w:t>
            </w:r>
            <w:r w:rsidR="007C3485" w:rsidRPr="00E32F72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rPr>
          <w:trHeight w:val="28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ksidi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7C3485" w:rsidRPr="00E32F72" w:rsidTr="007C3485">
        <w:trPr>
          <w:trHeight w:val="356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naftni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vanish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3%.</w:t>
      </w: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</w:p>
    <w:p w:rsidR="007C3485" w:rsidRPr="00E32F72" w:rsidRDefault="00E32F72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</w:p>
    <w:p w:rsidR="007C3485" w:rsidRPr="00E32F72" w:rsidRDefault="007C3485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401"/>
        <w:gridCol w:w="2304"/>
        <w:gridCol w:w="2215"/>
      </w:tblGrid>
      <w:tr w:rsidR="007C3485" w:rsidRPr="00E32F72" w:rsidTr="007C3485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snaga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(kWth)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GVE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(mg/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rPr>
          <w:trHeight w:val="341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praškaste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ugalj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≥ 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4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</w:t>
            </w:r>
          </w:p>
        </w:tc>
      </w:tr>
      <w:tr w:rsidR="007C3485" w:rsidRPr="00E32F72" w:rsidTr="007C3485">
        <w:trPr>
          <w:trHeight w:val="495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osim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briketa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peleta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≥ 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4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rPr>
          <w:trHeight w:val="53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briketi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peleti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≥ 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4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</w:t>
            </w:r>
          </w:p>
        </w:tc>
      </w:tr>
      <w:tr w:rsidR="007C3485" w:rsidRPr="00E32F72" w:rsidTr="007C3485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osim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briketa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peleta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4-500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1000</w:t>
            </w:r>
          </w:p>
        </w:tc>
      </w:tr>
      <w:tr w:rsidR="007C3485" w:rsidRPr="00E32F72" w:rsidTr="007C3485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briketi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peleti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4-500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800</w:t>
            </w:r>
          </w:p>
        </w:tc>
      </w:tr>
      <w:tr w:rsidR="007C3485" w:rsidRPr="00E32F72" w:rsidTr="007C3485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hr-H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ugalj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drvo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briketi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peleti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drveta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≥ 500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</w:t>
            </w:r>
          </w:p>
        </w:tc>
      </w:tr>
    </w:tbl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5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Zapreminski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kiseonika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13%.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360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II</w:t>
      </w:r>
    </w:p>
    <w:p w:rsidR="007C3485" w:rsidRPr="00E32F72" w:rsidRDefault="007C3485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tbl>
      <w:tblPr>
        <w:tblpPr w:leftFromText="180" w:rightFromText="180" w:vertAnchor="text" w:horzAnchor="page" w:tblpX="215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060"/>
        <w:gridCol w:w="2700"/>
      </w:tblGrid>
      <w:tr w:rsidR="007C3485" w:rsidRPr="00E32F72" w:rsidTr="007C34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rPr>
          <w:trHeight w:val="3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175</w:t>
            </w:r>
          </w:p>
        </w:tc>
      </w:tr>
      <w:tr w:rsidR="007C3485" w:rsidRPr="00E32F72" w:rsidTr="007C3485">
        <w:trPr>
          <w:trHeight w:val="3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ksidi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ekstra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lako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EVRO 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</w:t>
            </w:r>
          </w:p>
        </w:tc>
      </w:tr>
    </w:tbl>
    <w:p w:rsidR="007C3485" w:rsidRPr="00E32F72" w:rsidRDefault="007C3485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dimni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tbl>
      <w:tblPr>
        <w:tblpPr w:leftFromText="180" w:rightFromText="180" w:vertAnchor="text" w:horzAnchor="page" w:tblpX="213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240"/>
      </w:tblGrid>
      <w:tr w:rsidR="007C3485" w:rsidRPr="00E32F72" w:rsidTr="007C34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Toplotna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snaga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(kWth)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Dimni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</w:p>
        </w:tc>
      </w:tr>
      <w:tr w:rsidR="007C3485" w:rsidRPr="00E32F72" w:rsidTr="007C34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&lt; 11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najviše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</w:t>
            </w:r>
          </w:p>
        </w:tc>
      </w:tr>
      <w:tr w:rsidR="007C3485" w:rsidRPr="00E32F72" w:rsidTr="007C348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≥ 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11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</w:tbl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63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kombinovanim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gorionicima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300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C3485" w:rsidRPr="00E32F72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 III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Granične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gasovitih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Tabela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690"/>
      </w:tblGrid>
      <w:tr w:rsidR="007C3485" w:rsidRPr="00E32F72" w:rsidTr="007C34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Zagađujuća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rPr>
          <w:trHeight w:val="2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ugljen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monoksid</w:t>
            </w:r>
            <w:r w:rsidR="007C3485"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7C3485" w:rsidRPr="00E32F72" w:rsidTr="007C3485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ksidi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azota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x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izraženi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Pr="00E32F72">
              <w:rPr>
                <w:rStyle w:val="indeks"/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E32F7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</w:tbl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  <w:sectPr w:rsidR="007C3485" w:rsidRPr="00E32F72">
          <w:pgSz w:w="11909" w:h="16834"/>
          <w:pgMar w:top="1440" w:right="1440" w:bottom="1440" w:left="1440" w:header="706" w:footer="706" w:gutter="0"/>
          <w:pgNumType w:start="1"/>
          <w:cols w:space="720"/>
        </w:sectPr>
      </w:pPr>
    </w:p>
    <w:p w:rsidR="007C3485" w:rsidRPr="00E32F72" w:rsidRDefault="00E32F72" w:rsidP="007C3485">
      <w:pPr>
        <w:spacing w:after="0" w:line="240" w:lineRule="auto"/>
        <w:ind w:left="720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PRILOG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7C3485" w:rsidRPr="00E32F72" w:rsidRDefault="007C3485" w:rsidP="007C3485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</w:p>
    <w:p w:rsidR="007C3485" w:rsidRPr="00E32F72" w:rsidRDefault="007C3485" w:rsidP="007C3485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</w:p>
    <w:p w:rsidR="007C3485" w:rsidRPr="00E32F72" w:rsidRDefault="007C3485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oksida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50 MWth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operatera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datoj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C3485" w:rsidRPr="00E32F72" w:rsidRDefault="00E32F72" w:rsidP="007C3485">
      <w:pPr>
        <w:pStyle w:val="Pasussalistom"/>
        <w:numPr>
          <w:ilvl w:val="1"/>
          <w:numId w:val="45"/>
        </w:numPr>
        <w:tabs>
          <w:tab w:val="left" w:pos="0"/>
          <w:tab w:val="left" w:pos="8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ukupne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oksida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suspendovane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čestice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7C3485" w:rsidRPr="00E32F72" w:rsidRDefault="00E32F72" w:rsidP="007C3485">
      <w:pPr>
        <w:pStyle w:val="Pasussalistom"/>
        <w:numPr>
          <w:ilvl w:val="1"/>
          <w:numId w:val="45"/>
        </w:numPr>
        <w:tabs>
          <w:tab w:val="left" w:pos="0"/>
          <w:tab w:val="left" w:pos="8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ukupnu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količinu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kalorijsku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biomasa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čvrsta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tečna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gasovi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C3485" w:rsidRPr="00E32F72" w:rsidRDefault="007C3485" w:rsidP="007C3485">
      <w:pPr>
        <w:pStyle w:val="Pasussalistom"/>
        <w:tabs>
          <w:tab w:val="left" w:pos="88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tabs>
          <w:tab w:val="left" w:pos="880"/>
        </w:tabs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E32F72" w:rsidP="007C3485">
      <w:pPr>
        <w:pStyle w:val="Pasussalistom"/>
        <w:tabs>
          <w:tab w:val="left" w:pos="880"/>
        </w:tabs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7C3485" w:rsidP="007C3485">
      <w:pPr>
        <w:pStyle w:val="Pasussalistom"/>
        <w:tabs>
          <w:tab w:val="left" w:pos="88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sveobuhvatni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sumpor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dioksida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oksida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azota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praškastih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7C3485" w:rsidRPr="00E32F72" w:rsidRDefault="00E32F72" w:rsidP="007C3485">
      <w:pPr>
        <w:pStyle w:val="Pasussalistom"/>
        <w:numPr>
          <w:ilvl w:val="0"/>
          <w:numId w:val="46"/>
        </w:numPr>
        <w:tabs>
          <w:tab w:val="clear" w:pos="720"/>
          <w:tab w:val="left" w:pos="0"/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toplotne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300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Wth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rafinerije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C3485" w:rsidRPr="00E32F72" w:rsidRDefault="00E32F72" w:rsidP="007C3485">
      <w:pPr>
        <w:pStyle w:val="Pasussalistom"/>
        <w:numPr>
          <w:ilvl w:val="0"/>
          <w:numId w:val="46"/>
        </w:numPr>
        <w:tabs>
          <w:tab w:val="clear" w:pos="720"/>
          <w:tab w:val="left" w:pos="0"/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gorivu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obuhvaćena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  <w:sectPr w:rsidR="007C3485" w:rsidRPr="00E32F72">
          <w:pgSz w:w="11909" w:h="16834"/>
          <w:pgMar w:top="1440" w:right="1440" w:bottom="1440" w:left="1440" w:header="706" w:footer="706" w:gutter="0"/>
          <w:pgNumType w:start="1"/>
          <w:cols w:space="720"/>
        </w:sect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PRILOG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BILANSU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EMISIJA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pPr w:leftFromText="141" w:rightFromText="141" w:vertAnchor="text" w:horzAnchor="margin" w:tblpY="43"/>
        <w:tblW w:w="0" w:type="auto"/>
        <w:tblLayout w:type="fixed"/>
        <w:tblLook w:val="04A0" w:firstRow="1" w:lastRow="0" w:firstColumn="1" w:lastColumn="0" w:noHBand="0" w:noVBand="1"/>
      </w:tblPr>
      <w:tblGrid>
        <w:gridCol w:w="1079"/>
        <w:gridCol w:w="1079"/>
        <w:gridCol w:w="660"/>
        <w:gridCol w:w="266"/>
        <w:gridCol w:w="147"/>
        <w:gridCol w:w="119"/>
        <w:gridCol w:w="266"/>
        <w:gridCol w:w="266"/>
        <w:gridCol w:w="454"/>
        <w:gridCol w:w="106"/>
        <w:gridCol w:w="52"/>
        <w:gridCol w:w="236"/>
        <w:gridCol w:w="164"/>
        <w:gridCol w:w="108"/>
        <w:gridCol w:w="292"/>
        <w:gridCol w:w="212"/>
        <w:gridCol w:w="56"/>
        <w:gridCol w:w="132"/>
        <w:gridCol w:w="236"/>
        <w:gridCol w:w="164"/>
        <w:gridCol w:w="28"/>
        <w:gridCol w:w="184"/>
        <w:gridCol w:w="210"/>
        <w:gridCol w:w="160"/>
        <w:gridCol w:w="179"/>
        <w:gridCol w:w="80"/>
        <w:gridCol w:w="236"/>
        <w:gridCol w:w="164"/>
        <w:gridCol w:w="80"/>
        <w:gridCol w:w="320"/>
        <w:gridCol w:w="201"/>
        <w:gridCol w:w="39"/>
        <w:gridCol w:w="362"/>
        <w:gridCol w:w="198"/>
        <w:gridCol w:w="38"/>
        <w:gridCol w:w="173"/>
        <w:gridCol w:w="193"/>
        <w:gridCol w:w="156"/>
        <w:gridCol w:w="101"/>
        <w:gridCol w:w="90"/>
        <w:gridCol w:w="276"/>
        <w:gridCol w:w="84"/>
        <w:gridCol w:w="9"/>
        <w:gridCol w:w="381"/>
      </w:tblGrid>
      <w:tr w:rsidR="007C3485" w:rsidRPr="00E32F72" w:rsidTr="007C3485">
        <w:trPr>
          <w:gridAfter w:val="1"/>
          <w:wAfter w:w="381" w:type="dxa"/>
        </w:trPr>
        <w:tc>
          <w:tcPr>
            <w:tcW w:w="9095" w:type="dxa"/>
            <w:gridSpan w:val="38"/>
            <w:vAlign w:val="center"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OPŠTI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PODACI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IZVORU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ZAGAĐIVANJA</w:t>
            </w: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1079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C3485" w:rsidRPr="00E32F72" w:rsidRDefault="00E32F72">
            <w:pPr>
              <w:tabs>
                <w:tab w:val="left" w:pos="680"/>
                <w:tab w:val="left" w:pos="8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Izveštaj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za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20" w:type="dxa"/>
            <w:gridSpan w:val="6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godinu</w:t>
            </w:r>
          </w:p>
        </w:tc>
        <w:tc>
          <w:tcPr>
            <w:tcW w:w="56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9655" w:type="dxa"/>
            <w:gridSpan w:val="4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PODACI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PREDUZEĆU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Poreski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identifikacioni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PIB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Matični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preduzeća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Pun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naziv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preduzeća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Adresa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Mesto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Šifra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mesta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Poštanski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Ulica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Telefon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Telefaks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 mail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Opština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Šifra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opštine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Šifra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pretežne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delatnosti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1079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79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60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9655" w:type="dxa"/>
            <w:gridSpan w:val="4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PODACI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ODGOVORNOM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LICU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Ime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prezime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Funkcija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Telefon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1079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79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60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9655" w:type="dxa"/>
            <w:gridSpan w:val="4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PODACI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LICU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ODGOVORNOM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SARADNJU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AGENCIJOM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Ime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prezime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Funkcija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Telefon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 mail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1079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79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60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6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9655" w:type="dxa"/>
            <w:gridSpan w:val="4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PODACI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POSTROJENJU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KOJE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JE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IZVOR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ZAGAĐIVANJA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Naziv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postrojenja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Adresa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Mesto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Šifra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mesta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Poštanski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Ulica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Telefon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Telefaks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 mail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Opština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Šifra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opštine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0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Geografske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koordinate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388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PRTR </w:t>
            </w:r>
            <w:r w:rsid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kod</w:t>
            </w: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postrojenja</w:t>
            </w:r>
          </w:p>
        </w:tc>
        <w:tc>
          <w:tcPr>
            <w:tcW w:w="5773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9655" w:type="dxa"/>
            <w:gridSpan w:val="4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/>
            <w:vAlign w:val="bottom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Pod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materijalnom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krivičnom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odgovornošću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potvrđujem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izveštaju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date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informacije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istinite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količine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vrednosti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tačne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određene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ili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procenjene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skladu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važećom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zakonskom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regulativom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Republike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Srbije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Ime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prezime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odgovorne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osobe</w:t>
            </w:r>
          </w:p>
        </w:tc>
        <w:tc>
          <w:tcPr>
            <w:tcW w:w="33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33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Overa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pečat</w:t>
            </w:r>
          </w:p>
        </w:tc>
        <w:tc>
          <w:tcPr>
            <w:tcW w:w="28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Potpis</w:t>
            </w:r>
          </w:p>
        </w:tc>
        <w:tc>
          <w:tcPr>
            <w:tcW w:w="33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75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1"/>
          <w:wAfter w:w="381" w:type="dxa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Datum</w:t>
            </w:r>
          </w:p>
        </w:tc>
        <w:tc>
          <w:tcPr>
            <w:tcW w:w="3304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75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2"/>
          <w:wAfter w:w="390" w:type="dxa"/>
        </w:trPr>
        <w:tc>
          <w:tcPr>
            <w:tcW w:w="9646" w:type="dxa"/>
            <w:gridSpan w:val="4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lastRenderedPageBreak/>
              <w:t>EMISIJE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VAZDUH</w:t>
            </w:r>
          </w:p>
        </w:tc>
      </w:tr>
      <w:tr w:rsidR="007C3485" w:rsidRPr="00E32F72" w:rsidTr="007C3485">
        <w:tc>
          <w:tcPr>
            <w:tcW w:w="3231" w:type="dxa"/>
            <w:gridSpan w:val="5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9286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PODACI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IZVORU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323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naziv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izvora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479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150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Naziv</w:t>
            </w:r>
          </w:p>
        </w:tc>
        <w:tc>
          <w:tcPr>
            <w:tcW w:w="479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449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Vrsta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izvora</w:t>
            </w:r>
          </w:p>
        </w:tc>
        <w:tc>
          <w:tcPr>
            <w:tcW w:w="42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Energetski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2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Industrijski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449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Geografska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dužina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širina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</w:t>
            </w:r>
          </w:p>
        </w:tc>
        <w:tc>
          <w:tcPr>
            <w:tcW w:w="43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43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44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Nadmorska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visina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(mnv)</w:t>
            </w:r>
          </w:p>
        </w:tc>
        <w:tc>
          <w:tcPr>
            <w:tcW w:w="479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44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Instalisana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snaga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ulazu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(MWth) 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vertAlign w:val="superscript"/>
                <w:lang w:val="sr-Latn-CS"/>
              </w:rPr>
              <w:t>1</w:t>
            </w:r>
          </w:p>
        </w:tc>
        <w:tc>
          <w:tcPr>
            <w:tcW w:w="479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44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Godišnja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iskorišćenost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kapaciteta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(%)</w:t>
            </w:r>
          </w:p>
        </w:tc>
        <w:tc>
          <w:tcPr>
            <w:tcW w:w="479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63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Visina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emitera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(m)</w:t>
            </w:r>
          </w:p>
        </w:tc>
        <w:tc>
          <w:tcPr>
            <w:tcW w:w="2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63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Unutrašnji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prečnik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emitera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vrhu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(m)</w:t>
            </w:r>
          </w:p>
        </w:tc>
        <w:tc>
          <w:tcPr>
            <w:tcW w:w="2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63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Srednja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godišnja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temperatura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izlaznih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gasova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mernom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mestu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vertAlign w:val="superscript"/>
                <w:lang w:val="sr-Latn-CS"/>
              </w:rPr>
              <w:t>o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C)</w:t>
            </w:r>
          </w:p>
        </w:tc>
        <w:tc>
          <w:tcPr>
            <w:tcW w:w="2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63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Srednja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godišnja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brzina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izlaznih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gasova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mernom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mestu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(m/s)</w:t>
            </w:r>
          </w:p>
        </w:tc>
        <w:tc>
          <w:tcPr>
            <w:tcW w:w="2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63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Srednji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godišnji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izlazni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protok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mernom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mestu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/h)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vertAlign w:val="superscript"/>
                <w:lang w:val="sr-Latn-CS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449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Režim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rada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izvora</w:t>
            </w:r>
          </w:p>
        </w:tc>
        <w:tc>
          <w:tcPr>
            <w:tcW w:w="42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Kontinualan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252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Diskontinualan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3231" w:type="dxa"/>
            <w:gridSpan w:val="5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52" w:type="dxa"/>
            <w:gridSpan w:val="2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3231" w:type="dxa"/>
            <w:gridSpan w:val="5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8337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PODACI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RADU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651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radnih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dana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izvora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godišnje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651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radnih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sati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izvora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dan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651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Ukupni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radnih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sati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godišnje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323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Raspodela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godišnjih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emisija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sezonama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(%)</w:t>
            </w:r>
          </w:p>
        </w:tc>
        <w:tc>
          <w:tcPr>
            <w:tcW w:w="32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Zima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Dec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Jan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Feb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15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2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Proleće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Mart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Apr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Maj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15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2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Leto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Jun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Jul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Avg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15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28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Jesen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Sep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Okt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Nov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3231" w:type="dxa"/>
            <w:gridSpan w:val="5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63" w:type="dxa"/>
            <w:gridSpan w:val="6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22" w:type="dxa"/>
            <w:gridSpan w:val="3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c>
          <w:tcPr>
            <w:tcW w:w="3231" w:type="dxa"/>
            <w:gridSpan w:val="5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5"/>
          <w:wAfter w:w="840" w:type="dxa"/>
        </w:trPr>
        <w:tc>
          <w:tcPr>
            <w:tcW w:w="9196" w:type="dxa"/>
            <w:gridSpan w:val="3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PODACI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KORIŠĆENOM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GORIVU</w:t>
            </w:r>
          </w:p>
        </w:tc>
      </w:tr>
      <w:tr w:rsidR="007C3485" w:rsidRPr="00E32F72" w:rsidTr="007C3485">
        <w:trPr>
          <w:gridAfter w:val="5"/>
          <w:wAfter w:w="840" w:type="dxa"/>
        </w:trPr>
        <w:tc>
          <w:tcPr>
            <w:tcW w:w="4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Gorivo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Gorivo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1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Gorivo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Gorivo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3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Gorivo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4</w:t>
            </w:r>
          </w:p>
        </w:tc>
      </w:tr>
      <w:tr w:rsidR="007C3485" w:rsidRPr="00E32F72" w:rsidTr="007C3485">
        <w:trPr>
          <w:gridAfter w:val="5"/>
          <w:wAfter w:w="840" w:type="dxa"/>
        </w:trPr>
        <w:tc>
          <w:tcPr>
            <w:tcW w:w="4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Naziv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5"/>
          <w:wAfter w:w="840" w:type="dxa"/>
        </w:trPr>
        <w:tc>
          <w:tcPr>
            <w:tcW w:w="4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Ukupna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godišnja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potrošnja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(t)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5"/>
          <w:wAfter w:w="840" w:type="dxa"/>
        </w:trPr>
        <w:tc>
          <w:tcPr>
            <w:tcW w:w="43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Donja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toplotna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moć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(k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J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/kg) 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5"/>
          <w:wAfter w:w="840" w:type="dxa"/>
        </w:trPr>
        <w:tc>
          <w:tcPr>
            <w:tcW w:w="323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Sastav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goriva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mas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. %)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5"/>
          <w:wAfter w:w="840" w:type="dxa"/>
        </w:trPr>
        <w:tc>
          <w:tcPr>
            <w:tcW w:w="15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5"/>
          <w:wAfter w:w="840" w:type="dxa"/>
        </w:trPr>
        <w:tc>
          <w:tcPr>
            <w:tcW w:w="15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Cl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5"/>
          <w:wAfter w:w="840" w:type="dxa"/>
        </w:trPr>
        <w:tc>
          <w:tcPr>
            <w:tcW w:w="15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5"/>
          <w:wAfter w:w="840" w:type="dxa"/>
        </w:trPr>
        <w:tc>
          <w:tcPr>
            <w:tcW w:w="15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3"/>
          <w:wAfter w:w="474" w:type="dxa"/>
        </w:trPr>
        <w:tc>
          <w:tcPr>
            <w:tcW w:w="3231" w:type="dxa"/>
            <w:gridSpan w:val="5"/>
            <w:vAlign w:val="center"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3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4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3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86" w:type="dxa"/>
            <w:gridSpan w:val="4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36" w:type="dxa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564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89" w:type="dxa"/>
            <w:gridSpan w:val="6"/>
            <w:vAlign w:val="center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</w:tbl>
    <w:p w:rsidR="007C3485" w:rsidRPr="00E32F72" w:rsidRDefault="007C3485" w:rsidP="007C3485">
      <w:pPr>
        <w:spacing w:after="0"/>
        <w:rPr>
          <w:rFonts w:ascii="Times New Roman" w:hAnsi="Times New Roman"/>
          <w:noProof/>
          <w:vanish/>
          <w:sz w:val="18"/>
          <w:szCs w:val="18"/>
          <w:lang w:val="sr-Latn-CS"/>
        </w:rPr>
      </w:pPr>
    </w:p>
    <w:tbl>
      <w:tblPr>
        <w:tblW w:w="1636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270"/>
        <w:gridCol w:w="1262"/>
        <w:gridCol w:w="31"/>
        <w:gridCol w:w="1050"/>
        <w:gridCol w:w="450"/>
        <w:gridCol w:w="720"/>
        <w:gridCol w:w="126"/>
        <w:gridCol w:w="774"/>
        <w:gridCol w:w="268"/>
        <w:gridCol w:w="542"/>
        <w:gridCol w:w="498"/>
        <w:gridCol w:w="760"/>
        <w:gridCol w:w="640"/>
        <w:gridCol w:w="260"/>
        <w:gridCol w:w="586"/>
        <w:gridCol w:w="136"/>
        <w:gridCol w:w="100"/>
        <w:gridCol w:w="80"/>
        <w:gridCol w:w="1321"/>
        <w:gridCol w:w="846"/>
        <w:gridCol w:w="1040"/>
        <w:gridCol w:w="1040"/>
        <w:gridCol w:w="1401"/>
        <w:gridCol w:w="846"/>
        <w:gridCol w:w="318"/>
      </w:tblGrid>
      <w:tr w:rsidR="007C3485" w:rsidRPr="00E32F72" w:rsidTr="007C3485">
        <w:trPr>
          <w:trHeight w:val="240"/>
        </w:trPr>
        <w:tc>
          <w:tcPr>
            <w:tcW w:w="9368" w:type="dxa"/>
            <w:gridSpan w:val="16"/>
            <w:vAlign w:val="bottom"/>
          </w:tcPr>
          <w:p w:rsidR="007C3485" w:rsidRPr="00E32F72" w:rsidRDefault="007C3485">
            <w:pPr>
              <w:spacing w:after="0" w:line="240" w:lineRule="auto"/>
              <w:ind w:right="-1066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b/>
                <w:noProof/>
                <w:sz w:val="18"/>
                <w:szCs w:val="18"/>
                <w:vertAlign w:val="superscript"/>
                <w:lang w:val="sr-Latn-CS"/>
              </w:rPr>
              <w:t xml:space="preserve">1 </w:t>
            </w:r>
            <w:r w:rsidR="00E32F7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Samo</w:t>
            </w:r>
            <w:r w:rsidRPr="00E32F7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za</w:t>
            </w:r>
            <w:r w:rsidRPr="00E32F7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energetske</w:t>
            </w:r>
            <w:r w:rsidRPr="00E32F7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izvore</w:t>
            </w: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vertAlign w:val="superscript"/>
                <w:lang w:val="sr-Latn-CS"/>
              </w:rPr>
              <w:t xml:space="preserve">2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Zapreminski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protok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preračunat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normalne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uslove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suvi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otpadni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gas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odgovarajući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%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udeo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referentnog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kiseonika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(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zavisno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vrste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goriva</w:t>
            </w:r>
            <w:r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).</w:t>
            </w: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E32F7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NAPOMENA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svaki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izvor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emisija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zagađujućih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materija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vazduh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popunjava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se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poseban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obrazac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.</w:t>
            </w: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7C3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46" w:type="dxa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40" w:type="dxa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40" w:type="dxa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0" w:type="dxa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46" w:type="dxa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18" w:type="dxa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9"/>
          <w:wAfter w:w="6990" w:type="dxa"/>
          <w:trHeight w:val="240"/>
        </w:trPr>
        <w:tc>
          <w:tcPr>
            <w:tcW w:w="9368" w:type="dxa"/>
            <w:gridSpan w:val="16"/>
            <w:vAlign w:val="bottom"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lastRenderedPageBreak/>
              <w:t>GODIŠNJI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BILANS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EMISIJA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ZAGAĐUJUĆIH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MATERIJA</w:t>
            </w:r>
          </w:p>
        </w:tc>
      </w:tr>
      <w:tr w:rsidR="007C3485" w:rsidRPr="00E32F72" w:rsidTr="007C3485">
        <w:trPr>
          <w:gridAfter w:val="8"/>
          <w:wAfter w:w="6890" w:type="dxa"/>
          <w:trHeight w:val="240"/>
        </w:trPr>
        <w:tc>
          <w:tcPr>
            <w:tcW w:w="2558" w:type="dxa"/>
            <w:gridSpan w:val="3"/>
            <w:vAlign w:val="bottom"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46" w:type="dxa"/>
            <w:gridSpan w:val="2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42" w:type="dxa"/>
            <w:gridSpan w:val="2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46" w:type="dxa"/>
            <w:gridSpan w:val="2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954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PODACI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BILANSU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NAČINU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ODREĐIVANJA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EMISIJA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ZAGAĐUJUĆIH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MATERIJA</w:t>
            </w:r>
          </w:p>
        </w:tc>
      </w:tr>
      <w:tr w:rsidR="007C3485" w:rsidRPr="00E32F72" w:rsidTr="007C3485">
        <w:trPr>
          <w:gridAfter w:val="7"/>
          <w:wAfter w:w="6810" w:type="dxa"/>
          <w:trHeight w:val="450"/>
        </w:trPr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Naziv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zagađujuće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materije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Masena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koncentracija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zagađujuđih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materija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otpadnom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gasu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Emitovane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količine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toku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normalnog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rada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vertAlign w:val="superscript"/>
                <w:lang w:val="sr-Latn-CS"/>
              </w:rPr>
              <w:t>1.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Emitovane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količine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akcidentnim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situacijama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Način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određi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vanja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vertAlign w:val="superscript"/>
                <w:lang w:val="sr-Latn-CS"/>
              </w:rPr>
              <w:t>3.</w:t>
            </w:r>
          </w:p>
        </w:tc>
        <w:tc>
          <w:tcPr>
            <w:tcW w:w="9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Metoda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određi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vanja</w:t>
            </w:r>
          </w:p>
        </w:tc>
      </w:tr>
      <w:tr w:rsidR="007C3485" w:rsidRPr="00E32F72" w:rsidTr="007C3485">
        <w:trPr>
          <w:gridAfter w:val="7"/>
          <w:wAfter w:w="6810" w:type="dxa"/>
          <w:trHeight w:val="7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Srednja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godišnja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izmerena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vrednost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Način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određi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vanja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vertAlign w:val="superscript"/>
                <w:lang w:val="sr-Latn-CS"/>
              </w:rPr>
              <w:t>3.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E32F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Granična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vrednost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emisije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Priloga</w:t>
            </w:r>
            <w:r w:rsidR="007C3485"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1.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7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7"/>
          <w:wAfter w:w="6810" w:type="dxa"/>
          <w:trHeight w:val="28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mg/</w:t>
            </w:r>
            <w:r w:rsid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normalni</w:t>
            </w: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m</w:t>
            </w:r>
            <w:r w:rsidRPr="00E32F72">
              <w:rPr>
                <w:rFonts w:ascii="Times New Roman" w:hAnsi="Times New Roman"/>
                <w:noProof/>
                <w:sz w:val="18"/>
                <w:szCs w:val="18"/>
                <w:vertAlign w:val="superscript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g/h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kg/god</w:t>
            </w:r>
            <w:r w:rsidRPr="00E32F72">
              <w:rPr>
                <w:rFonts w:ascii="Times New Roman" w:hAnsi="Times New Roman"/>
                <w:noProof/>
                <w:sz w:val="18"/>
                <w:szCs w:val="18"/>
                <w:vertAlign w:val="superscript"/>
                <w:lang w:val="sr-Latn-CS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7C3485" w:rsidRPr="00E32F72" w:rsidRDefault="007C348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kg/god</w:t>
            </w:r>
            <w:r w:rsidRPr="00E32F72">
              <w:rPr>
                <w:rFonts w:ascii="Times New Roman" w:hAnsi="Times New Roman"/>
                <w:noProof/>
                <w:sz w:val="18"/>
                <w:szCs w:val="18"/>
                <w:vertAlign w:val="superscript"/>
                <w:lang w:val="sr-Latn-CS"/>
              </w:rPr>
              <w:t>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7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gridAfter w:val="7"/>
          <w:wAfter w:w="6810" w:type="dxa"/>
          <w:trHeight w:val="24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</w:tbl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 w:rsidRPr="00E32F72">
        <w:rPr>
          <w:rFonts w:ascii="Times New Roman" w:hAnsi="Times New Roman"/>
          <w:noProof/>
          <w:sz w:val="18"/>
          <w:szCs w:val="18"/>
          <w:vertAlign w:val="superscript"/>
          <w:lang w:val="sr-Latn-CS"/>
        </w:rPr>
        <w:t>1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Emitovane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količine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zagađujućih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materija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dobijaju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se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množenjem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srednje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godišnje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izmerene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vrednosti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masene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koncentracije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zagađujuće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materije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otpadnom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gasu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sa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srednjim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godišnjim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izlaznim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protokom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ukupnim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brojem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radnih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časova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godišnje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(mg/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god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).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Dobijenu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vrednost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pomnožiti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sa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10</w:t>
      </w:r>
      <w:r w:rsidRPr="00E32F72">
        <w:rPr>
          <w:rFonts w:ascii="Times New Roman" w:hAnsi="Times New Roman"/>
          <w:noProof/>
          <w:sz w:val="18"/>
          <w:szCs w:val="18"/>
          <w:vertAlign w:val="superscript"/>
          <w:lang w:val="sr-Latn-CS"/>
        </w:rPr>
        <w:t>-6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radi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dobijanja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vrednosti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jedinici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kg/god.</w:t>
      </w: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 w:rsidRPr="00E32F72">
        <w:rPr>
          <w:rFonts w:ascii="Times New Roman" w:hAnsi="Times New Roman"/>
          <w:noProof/>
          <w:sz w:val="18"/>
          <w:szCs w:val="18"/>
          <w:vertAlign w:val="superscript"/>
          <w:lang w:val="sr-Latn-CS"/>
        </w:rPr>
        <w:t>2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Vrednosti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se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zaokružuju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na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jednu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decimalu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.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Decimala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se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razdvaja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tačkom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>.</w:t>
      </w: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  <w:r w:rsidRPr="00E32F72">
        <w:rPr>
          <w:rFonts w:ascii="Times New Roman" w:hAnsi="Times New Roman"/>
          <w:noProof/>
          <w:sz w:val="18"/>
          <w:szCs w:val="18"/>
          <w:vertAlign w:val="superscript"/>
          <w:lang w:val="sr-Latn-CS"/>
        </w:rPr>
        <w:t>3.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Način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određivanja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(1. –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Merenje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(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kontinualno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), 2. –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Proračun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na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osnovu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pojedinačnih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merenja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, 3. -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Procena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) -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Uneti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jedan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od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brojeva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od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1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do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3</w:t>
      </w:r>
      <w:r w:rsidRPr="00E32F72">
        <w:rPr>
          <w:rFonts w:ascii="Times New Roman" w:hAnsi="Times New Roman"/>
          <w:i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slučaju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nevažećih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dana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kontinualnog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merenja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uneti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: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broj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dana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važećih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kontinualnih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merenja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broj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dana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nevažećih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kontinualnih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merenja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broj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časova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rada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postrojenja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pri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važećim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danima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kontinualnog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merenja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broj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časova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rada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postrojenja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nevažećim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danima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kontinualnog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18"/>
          <w:szCs w:val="18"/>
          <w:lang w:val="sr-Latn-CS"/>
        </w:rPr>
        <w:t>merenja</w:t>
      </w:r>
      <w:r w:rsidRPr="00E32F72">
        <w:rPr>
          <w:rFonts w:ascii="Times New Roman" w:hAnsi="Times New Roman"/>
          <w:noProof/>
          <w:sz w:val="18"/>
          <w:szCs w:val="18"/>
          <w:lang w:val="sr-Latn-CS"/>
        </w:rPr>
        <w:t>.</w:t>
      </w: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</w:p>
    <w:p w:rsidR="007C3485" w:rsidRPr="00E32F72" w:rsidRDefault="007C3485" w:rsidP="007C3485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</w:p>
    <w:tbl>
      <w:tblPr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9548"/>
      </w:tblGrid>
      <w:tr w:rsidR="007C3485" w:rsidRPr="00E32F72" w:rsidTr="007C3485">
        <w:trPr>
          <w:trHeight w:val="240"/>
        </w:trPr>
        <w:tc>
          <w:tcPr>
            <w:tcW w:w="9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hideMark/>
          </w:tcPr>
          <w:p w:rsidR="007C3485" w:rsidRPr="00E32F72" w:rsidRDefault="00E3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lastRenderedPageBreak/>
              <w:t>NAPOMENE</w:t>
            </w:r>
            <w:r w:rsidR="007C3485" w:rsidRPr="00E32F7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: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7C3485" w:rsidRPr="00E32F72" w:rsidTr="007C3485">
        <w:trPr>
          <w:trHeight w:val="240"/>
        </w:trPr>
        <w:tc>
          <w:tcPr>
            <w:tcW w:w="9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E32F7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</w:tbl>
    <w:p w:rsidR="007C3485" w:rsidRPr="00E32F72" w:rsidRDefault="007C3485" w:rsidP="007C3485">
      <w:pPr>
        <w:pStyle w:val="Pasussalistom"/>
        <w:spacing w:after="0" w:line="240" w:lineRule="auto"/>
        <w:ind w:left="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pStyle w:val="Pasussalistom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  <w:sectPr w:rsidR="007C3485" w:rsidRPr="00E32F72">
          <w:pgSz w:w="11909" w:h="16834"/>
          <w:pgMar w:top="1440" w:right="1440" w:bottom="1440" w:left="1440" w:header="706" w:footer="706" w:gutter="0"/>
          <w:pgNumType w:start="1"/>
          <w:cols w:space="720"/>
        </w:sectPr>
      </w:pPr>
    </w:p>
    <w:p w:rsidR="007C3485" w:rsidRPr="00E32F72" w:rsidRDefault="00E32F72" w:rsidP="007C3485">
      <w:pPr>
        <w:pStyle w:val="Pasussalistom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PRILOG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7C3485" w:rsidRPr="00E32F72" w:rsidRDefault="007C3485" w:rsidP="007C3485">
      <w:pPr>
        <w:pStyle w:val="Pasussalistom"/>
        <w:spacing w:after="0" w:line="240" w:lineRule="auto"/>
        <w:ind w:left="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C3485" w:rsidRPr="00E32F72" w:rsidRDefault="00E32F72" w:rsidP="007C34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7C3485" w:rsidRPr="00E32F72" w:rsidRDefault="007C3485" w:rsidP="007C348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ind w:firstLine="720"/>
        <w:jc w:val="both"/>
        <w:rPr>
          <w:rStyle w:val="hps"/>
          <w:noProof/>
          <w:lang w:val="sr-Latn-CS"/>
        </w:rPr>
      </w:pP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Pod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brojem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ostvarenih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vreme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izraženo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časovima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kada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postrojenje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radi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pokretanja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zaustavljanja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C3485" w:rsidRPr="00E32F72" w:rsidRDefault="00E32F72" w:rsidP="007C3485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Kada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postrojenje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sastoji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od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jedinica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smatra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da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celo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postrojenje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radi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ukoliko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radi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barem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jedna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jedinica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bez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obzira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na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broj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jedinica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koje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čine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postrojenje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Istovremeni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jednočasovni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rad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kotlova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jedinica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istog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smatra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jednim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radnim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časom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celog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Ukoliko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postrojenju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koristi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više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potrebno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navesti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broj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svako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gorivo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posebno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E32F72" w:rsidP="007C3485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Ako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postrojenje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ima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ugrađenu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opremu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smanjenje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emitovanih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količina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zagađujućih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materija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vazduh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filteri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postrojenje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odsumporavanje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sl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.)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potrebno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je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navesti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broj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rada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i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bez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uključene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opreme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svaku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vrstu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goriva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/>
          <w:noProof/>
          <w:sz w:val="24"/>
          <w:szCs w:val="24"/>
          <w:lang w:val="sr-Latn-CS"/>
        </w:rPr>
        <w:t>posebno</w:t>
      </w:r>
      <w:r w:rsidR="007C3485" w:rsidRPr="00E32F72">
        <w:rPr>
          <w:rStyle w:val="hps"/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C3485" w:rsidRPr="00E32F72" w:rsidRDefault="007C3485" w:rsidP="007C3485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jc w:val="center"/>
        <w:rPr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IZVEŠTAJNE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7C3485" w:rsidRPr="00E32F72" w:rsidRDefault="007C3485" w:rsidP="007C34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E32F72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postrojenje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sagorevanje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popunjava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32F72">
        <w:rPr>
          <w:rFonts w:ascii="Times New Roman" w:hAnsi="Times New Roman"/>
          <w:noProof/>
          <w:sz w:val="24"/>
          <w:szCs w:val="24"/>
          <w:lang w:val="sr-Latn-CS"/>
        </w:rPr>
        <w:t>obrazac</w:t>
      </w:r>
      <w:r w:rsidRPr="00E32F72">
        <w:rPr>
          <w:rFonts w:ascii="Times New Roman" w:hAnsi="Times New Roman"/>
          <w:noProof/>
          <w:sz w:val="24"/>
          <w:szCs w:val="24"/>
          <w:lang w:val="sr-Latn-CS"/>
        </w:rPr>
        <w:t>)</w:t>
      </w:r>
    </w:p>
    <w:p w:rsidR="007C3485" w:rsidRPr="00E32F72" w:rsidRDefault="007C3485" w:rsidP="007C34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C3485" w:rsidRPr="00E32F72" w:rsidRDefault="00E32F72" w:rsidP="007C34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C3485" w:rsidRPr="00E32F72">
        <w:rPr>
          <w:rFonts w:ascii="Times New Roman" w:hAnsi="Times New Roman"/>
          <w:noProof/>
          <w:sz w:val="24"/>
          <w:szCs w:val="24"/>
          <w:lang w:val="sr-Latn-CS"/>
        </w:rPr>
        <w:t xml:space="preserve"> _____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</w:p>
    <w:p w:rsidR="007C3485" w:rsidRPr="00E32F72" w:rsidRDefault="007C3485" w:rsidP="007C34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5999"/>
      </w:tblGrid>
      <w:tr w:rsidR="007C3485" w:rsidRPr="00E32F72" w:rsidTr="007C3485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Osnovni</w:t>
            </w:r>
            <w:r w:rsidR="007C3485" w:rsidRPr="00E32F72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podaci</w:t>
            </w:r>
          </w:p>
        </w:tc>
      </w:tr>
      <w:tr w:rsidR="007C3485" w:rsidRPr="00E32F72" w:rsidTr="007C3485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PIB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preduzeća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sagorevanje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Opština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20"/>
        <w:gridCol w:w="1120"/>
        <w:gridCol w:w="1260"/>
        <w:gridCol w:w="1440"/>
        <w:gridCol w:w="1170"/>
        <w:gridCol w:w="90"/>
        <w:gridCol w:w="1440"/>
        <w:gridCol w:w="1260"/>
      </w:tblGrid>
      <w:tr w:rsidR="007C3485" w:rsidRPr="00E32F72" w:rsidTr="007C3485">
        <w:tc>
          <w:tcPr>
            <w:tcW w:w="9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C3485" w:rsidRPr="00E32F72" w:rsidRDefault="00E32F7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Podaci</w:t>
            </w:r>
            <w:r w:rsidR="007C3485" w:rsidRPr="00E32F72"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 w:rsidR="007C3485" w:rsidRPr="00E32F72"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opremi</w:t>
            </w:r>
            <w:r w:rsidR="007C3485" w:rsidRPr="00E32F72"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smanjenje</w:t>
            </w:r>
            <w:r w:rsidR="007C3485" w:rsidRPr="00E32F72"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emitovanih</w:t>
            </w:r>
            <w:r w:rsidR="007C3485" w:rsidRPr="00E32F72"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količina</w:t>
            </w:r>
            <w:r w:rsidR="007C3485" w:rsidRPr="00E32F72"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zagađujućih</w:t>
            </w:r>
            <w:r w:rsidR="007C3485" w:rsidRPr="00E32F72"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materija</w:t>
            </w:r>
            <w:r w:rsidR="007C3485" w:rsidRPr="00E32F72"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vazduh</w:t>
            </w:r>
          </w:p>
        </w:tc>
      </w:tr>
      <w:tr w:rsidR="007C3485" w:rsidRPr="00E32F72" w:rsidTr="007C3485"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Projektovani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stepen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uklanjanja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zagađujuće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materije</w:t>
            </w:r>
          </w:p>
        </w:tc>
      </w:tr>
      <w:tr w:rsidR="007C3485" w:rsidRPr="00E32F72" w:rsidTr="007C348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oksida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sumpora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oksida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azota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praškastih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materija</w:t>
            </w:r>
          </w:p>
        </w:tc>
      </w:tr>
      <w:tr w:rsidR="007C3485" w:rsidRPr="00E32F72" w:rsidTr="007C3485"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95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9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Period</w:t>
            </w:r>
            <w:r w:rsidR="007C3485" w:rsidRPr="00E32F72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trajanja</w:t>
            </w:r>
          </w:p>
        </w:tc>
      </w:tr>
      <w:tr w:rsidR="007C3485" w:rsidRPr="00E32F72" w:rsidTr="007C3485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Korišćeno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pokretanja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normalnog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rada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zaustavljanja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</w:p>
        </w:tc>
      </w:tr>
      <w:tr w:rsidR="007C3485" w:rsidRPr="00E32F72" w:rsidTr="007C34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7C348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uključenom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smanjenje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bez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uključene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smanjenje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uključenom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smanjenje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bez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uključene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smanjenje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uključenom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smanjenje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bez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uključene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smanjenje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emisija</w:t>
            </w:r>
          </w:p>
        </w:tc>
      </w:tr>
      <w:tr w:rsidR="007C3485" w:rsidRPr="00E32F72" w:rsidTr="007C348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7C3485" w:rsidRPr="00E32F72" w:rsidRDefault="007C3485" w:rsidP="007C348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990"/>
        <w:gridCol w:w="539"/>
        <w:gridCol w:w="451"/>
        <w:gridCol w:w="900"/>
        <w:gridCol w:w="1170"/>
        <w:gridCol w:w="1080"/>
        <w:gridCol w:w="1346"/>
        <w:gridCol w:w="1084"/>
      </w:tblGrid>
      <w:tr w:rsidR="007C3485" w:rsidRPr="00E32F72" w:rsidTr="007C3485">
        <w:tc>
          <w:tcPr>
            <w:tcW w:w="9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Osnovni</w:t>
            </w:r>
            <w:r w:rsidR="007C3485" w:rsidRPr="00E32F72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podaci</w:t>
            </w:r>
          </w:p>
        </w:tc>
      </w:tr>
      <w:tr w:rsidR="007C3485" w:rsidRPr="00E32F72" w:rsidTr="007C3485"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PIB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85" w:rsidRPr="00E32F72" w:rsidRDefault="007C34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preduzeća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postrojenja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Opština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rPr>
          <w:trHeight w:val="701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Član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10.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uredbe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Prilog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deo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tačka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Napomena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Prilog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A)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deo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II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fusnota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85" w:rsidRPr="00E32F72" w:rsidRDefault="00E32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Prilog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A)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deo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II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fusnota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</w:t>
            </w:r>
          </w:p>
        </w:tc>
      </w:tr>
      <w:tr w:rsidR="007C3485" w:rsidRPr="00E32F72" w:rsidTr="007C3485">
        <w:trPr>
          <w:trHeight w:val="16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Radni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časovi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operativni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prosek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pet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godina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SO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 xml:space="preserve">2 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(mg/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SO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>2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(mg/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spacing w:after="0" w:line="240" w:lineRule="auto"/>
              <w:ind w:left="-18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Stepen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odsumporavanja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spacing w:after="0" w:line="240" w:lineRule="auto"/>
              <w:ind w:left="-18" w:hanging="9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Ukupan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sumpor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Radni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časovi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operativni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prosek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pet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godina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 xml:space="preserve">x 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(mg/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Sadržaj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isparljivih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materija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čvrstom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gorivu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osim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biomase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 (%)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85" w:rsidRPr="00E32F72" w:rsidRDefault="00E32F72">
            <w:pPr>
              <w:spacing w:after="0" w:line="240" w:lineRule="auto"/>
              <w:ind w:hanging="1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GVE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NO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sr-Latn-CS"/>
              </w:rPr>
              <w:t xml:space="preserve">x 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(mg/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normalni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m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7C3485" w:rsidRPr="00E32F7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7C3485" w:rsidRPr="00E32F72" w:rsidTr="007C34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C3485" w:rsidRPr="00E32F72" w:rsidTr="007C34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85" w:rsidRPr="00E32F72" w:rsidRDefault="007C348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C52EE2" w:rsidRPr="00E32F72" w:rsidRDefault="00C52EE2" w:rsidP="00D2622F">
      <w:pPr>
        <w:spacing w:after="0" w:line="240" w:lineRule="auto"/>
        <w:ind w:left="5760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sectPr w:rsidR="00C52EE2" w:rsidRPr="00E32F72" w:rsidSect="003B44A2">
      <w:foot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FB" w:rsidRDefault="00F207FB">
      <w:pPr>
        <w:spacing w:after="0" w:line="240" w:lineRule="auto"/>
      </w:pPr>
      <w:r>
        <w:separator/>
      </w:r>
    </w:p>
  </w:endnote>
  <w:endnote w:type="continuationSeparator" w:id="0">
    <w:p w:rsidR="00F207FB" w:rsidRDefault="00F2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 Con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72" w:rsidRDefault="00E32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72" w:rsidRDefault="00E32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72" w:rsidRDefault="00E32F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057557017"/>
      <w:docPartObj>
        <w:docPartGallery w:val="Page Numbers (Bottom of Page)"/>
        <w:docPartUnique/>
      </w:docPartObj>
    </w:sdtPr>
    <w:sdtEndPr/>
    <w:sdtContent>
      <w:p w:rsidR="003B44A2" w:rsidRPr="00E32F72" w:rsidRDefault="003B44A2">
        <w:pPr>
          <w:pStyle w:val="Footer"/>
          <w:jc w:val="right"/>
          <w:rPr>
            <w:noProof/>
            <w:lang w:val="sr-Latn-CS"/>
          </w:rPr>
        </w:pPr>
        <w:r w:rsidRPr="00E32F72">
          <w:rPr>
            <w:noProof/>
            <w:lang w:val="sr-Latn-CS"/>
          </w:rPr>
          <w:fldChar w:fldCharType="begin"/>
        </w:r>
        <w:r w:rsidRPr="00E32F72">
          <w:rPr>
            <w:noProof/>
            <w:lang w:val="sr-Latn-CS"/>
          </w:rPr>
          <w:instrText xml:space="preserve"> PAGE   \* MERGEFORMAT </w:instrText>
        </w:r>
        <w:r w:rsidRPr="00E32F72">
          <w:rPr>
            <w:noProof/>
            <w:lang w:val="sr-Latn-CS"/>
          </w:rPr>
          <w:fldChar w:fldCharType="separate"/>
        </w:r>
        <w:r w:rsidR="00F14CEF">
          <w:rPr>
            <w:noProof/>
            <w:lang w:val="sr-Latn-CS"/>
          </w:rPr>
          <w:t>6</w:t>
        </w:r>
        <w:r w:rsidRPr="00E32F72">
          <w:rPr>
            <w:noProof/>
            <w:lang w:val="sr-Latn-CS"/>
          </w:rPr>
          <w:fldChar w:fldCharType="end"/>
        </w:r>
      </w:p>
    </w:sdtContent>
  </w:sdt>
  <w:p w:rsidR="00B50D2E" w:rsidRPr="00E32F72" w:rsidRDefault="00F207FB">
    <w:pPr>
      <w:pStyle w:val="Footer"/>
      <w:jc w:val="right"/>
      <w:rPr>
        <w:noProof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FB" w:rsidRDefault="00F207FB">
      <w:pPr>
        <w:spacing w:after="0" w:line="240" w:lineRule="auto"/>
      </w:pPr>
      <w:r>
        <w:separator/>
      </w:r>
    </w:p>
  </w:footnote>
  <w:footnote w:type="continuationSeparator" w:id="0">
    <w:p w:rsidR="00F207FB" w:rsidRDefault="00F2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72" w:rsidRDefault="00E32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72" w:rsidRDefault="00E32F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72" w:rsidRDefault="00E32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lang w:val="sr-Latn-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upperRoman"/>
      <w:lvlText w:val="%1."/>
      <w:lvlJc w:val="left"/>
      <w:pPr>
        <w:tabs>
          <w:tab w:val="num" w:pos="4130"/>
        </w:tabs>
        <w:ind w:left="52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90"/>
        </w:tabs>
        <w:ind w:left="5390" w:hanging="360"/>
      </w:pPr>
    </w:lvl>
    <w:lvl w:ilvl="2">
      <w:start w:val="1"/>
      <w:numFmt w:val="lowerRoman"/>
      <w:lvlText w:val="%3."/>
      <w:lvlJc w:val="right"/>
      <w:pPr>
        <w:tabs>
          <w:tab w:val="num" w:pos="6110"/>
        </w:tabs>
        <w:ind w:left="6110" w:hanging="180"/>
      </w:pPr>
    </w:lvl>
    <w:lvl w:ilvl="3">
      <w:start w:val="1"/>
      <w:numFmt w:val="decimal"/>
      <w:lvlText w:val="%4."/>
      <w:lvlJc w:val="left"/>
      <w:pPr>
        <w:tabs>
          <w:tab w:val="num" w:pos="6830"/>
        </w:tabs>
        <w:ind w:left="6830" w:hanging="360"/>
      </w:pPr>
    </w:lvl>
    <w:lvl w:ilvl="4">
      <w:start w:val="1"/>
      <w:numFmt w:val="lowerLetter"/>
      <w:lvlText w:val="%5."/>
      <w:lvlJc w:val="left"/>
      <w:pPr>
        <w:tabs>
          <w:tab w:val="num" w:pos="7550"/>
        </w:tabs>
        <w:ind w:left="7550" w:hanging="360"/>
      </w:pPr>
    </w:lvl>
    <w:lvl w:ilvl="5">
      <w:start w:val="1"/>
      <w:numFmt w:val="lowerRoman"/>
      <w:lvlText w:val="%6."/>
      <w:lvlJc w:val="right"/>
      <w:pPr>
        <w:tabs>
          <w:tab w:val="num" w:pos="8270"/>
        </w:tabs>
        <w:ind w:left="8270" w:hanging="180"/>
      </w:pPr>
    </w:lvl>
    <w:lvl w:ilvl="6">
      <w:start w:val="1"/>
      <w:numFmt w:val="decimal"/>
      <w:lvlText w:val="%7."/>
      <w:lvlJc w:val="left"/>
      <w:pPr>
        <w:tabs>
          <w:tab w:val="num" w:pos="8990"/>
        </w:tabs>
        <w:ind w:left="8990" w:hanging="360"/>
      </w:pPr>
    </w:lvl>
    <w:lvl w:ilvl="7">
      <w:start w:val="1"/>
      <w:numFmt w:val="lowerLetter"/>
      <w:lvlText w:val="%8."/>
      <w:lvlJc w:val="left"/>
      <w:pPr>
        <w:tabs>
          <w:tab w:val="num" w:pos="9710"/>
        </w:tabs>
        <w:ind w:left="9710" w:hanging="360"/>
      </w:pPr>
    </w:lvl>
    <w:lvl w:ilvl="8">
      <w:start w:val="1"/>
      <w:numFmt w:val="lowerRoman"/>
      <w:lvlText w:val="%9."/>
      <w:lvlJc w:val="right"/>
      <w:pPr>
        <w:tabs>
          <w:tab w:val="num" w:pos="10430"/>
        </w:tabs>
        <w:ind w:left="10430" w:hanging="180"/>
      </w:p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2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6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0000018"/>
    <w:multiLevelType w:val="multilevel"/>
    <w:tmpl w:val="AE9E8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A"/>
    <w:multiLevelType w:val="multilevel"/>
    <w:tmpl w:val="9274D2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1D"/>
    <w:multiLevelType w:val="multilevel"/>
    <w:tmpl w:val="0000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000001E"/>
    <w:multiLevelType w:val="multilevel"/>
    <w:tmpl w:val="0000001E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0000001F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2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8B82C1B"/>
    <w:multiLevelType w:val="hybridMultilevel"/>
    <w:tmpl w:val="34B4650A"/>
    <w:lvl w:ilvl="0" w:tplc="29C27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E7248"/>
    <w:multiLevelType w:val="hybridMultilevel"/>
    <w:tmpl w:val="596A8CEE"/>
    <w:lvl w:ilvl="0" w:tplc="118CA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B140740"/>
    <w:multiLevelType w:val="hybridMultilevel"/>
    <w:tmpl w:val="30DAA542"/>
    <w:lvl w:ilvl="0" w:tplc="C7688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B5249CE"/>
    <w:multiLevelType w:val="multilevel"/>
    <w:tmpl w:val="0000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C1E724B"/>
    <w:multiLevelType w:val="hybridMultilevel"/>
    <w:tmpl w:val="D99A912E"/>
    <w:lvl w:ilvl="0" w:tplc="285A9316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1C690BF8"/>
    <w:multiLevelType w:val="hybridMultilevel"/>
    <w:tmpl w:val="1CDC62BC"/>
    <w:lvl w:ilvl="0" w:tplc="9D24D6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B020A"/>
    <w:multiLevelType w:val="hybridMultilevel"/>
    <w:tmpl w:val="8DFA1CEA"/>
    <w:lvl w:ilvl="0" w:tplc="539287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D652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lang w:val="sr-Latn-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193856"/>
    <w:multiLevelType w:val="hybridMultilevel"/>
    <w:tmpl w:val="F2EABF62"/>
    <w:lvl w:ilvl="0" w:tplc="758018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CE1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A2F8D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3F0574"/>
    <w:multiLevelType w:val="hybridMultilevel"/>
    <w:tmpl w:val="C5164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927DD9"/>
    <w:multiLevelType w:val="hybridMultilevel"/>
    <w:tmpl w:val="9C1A2788"/>
    <w:lvl w:ilvl="0" w:tplc="AC2A7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17756F"/>
    <w:multiLevelType w:val="hybridMultilevel"/>
    <w:tmpl w:val="8008299C"/>
    <w:lvl w:ilvl="0" w:tplc="FADEE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5C7BD6"/>
    <w:multiLevelType w:val="hybridMultilevel"/>
    <w:tmpl w:val="46860894"/>
    <w:lvl w:ilvl="0" w:tplc="F508D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C9205B"/>
    <w:multiLevelType w:val="hybridMultilevel"/>
    <w:tmpl w:val="F0B28FFC"/>
    <w:lvl w:ilvl="0" w:tplc="E5BCD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6C4EB8"/>
    <w:multiLevelType w:val="hybridMultilevel"/>
    <w:tmpl w:val="2F2858D8"/>
    <w:lvl w:ilvl="0" w:tplc="C7AA593E">
      <w:start w:val="5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060" w:hanging="360"/>
      </w:pPr>
    </w:lvl>
    <w:lvl w:ilvl="2" w:tplc="081A001B" w:tentative="1">
      <w:start w:val="1"/>
      <w:numFmt w:val="lowerRoman"/>
      <w:lvlText w:val="%3."/>
      <w:lvlJc w:val="right"/>
      <w:pPr>
        <w:ind w:left="3780" w:hanging="180"/>
      </w:pPr>
    </w:lvl>
    <w:lvl w:ilvl="3" w:tplc="081A000F" w:tentative="1">
      <w:start w:val="1"/>
      <w:numFmt w:val="decimal"/>
      <w:lvlText w:val="%4."/>
      <w:lvlJc w:val="left"/>
      <w:pPr>
        <w:ind w:left="4500" w:hanging="360"/>
      </w:pPr>
    </w:lvl>
    <w:lvl w:ilvl="4" w:tplc="081A0019" w:tentative="1">
      <w:start w:val="1"/>
      <w:numFmt w:val="lowerLetter"/>
      <w:lvlText w:val="%5."/>
      <w:lvlJc w:val="left"/>
      <w:pPr>
        <w:ind w:left="5220" w:hanging="360"/>
      </w:pPr>
    </w:lvl>
    <w:lvl w:ilvl="5" w:tplc="081A001B" w:tentative="1">
      <w:start w:val="1"/>
      <w:numFmt w:val="lowerRoman"/>
      <w:lvlText w:val="%6."/>
      <w:lvlJc w:val="right"/>
      <w:pPr>
        <w:ind w:left="5940" w:hanging="180"/>
      </w:pPr>
    </w:lvl>
    <w:lvl w:ilvl="6" w:tplc="081A000F" w:tentative="1">
      <w:start w:val="1"/>
      <w:numFmt w:val="decimal"/>
      <w:lvlText w:val="%7."/>
      <w:lvlJc w:val="left"/>
      <w:pPr>
        <w:ind w:left="6660" w:hanging="360"/>
      </w:pPr>
    </w:lvl>
    <w:lvl w:ilvl="7" w:tplc="081A0019" w:tentative="1">
      <w:start w:val="1"/>
      <w:numFmt w:val="lowerLetter"/>
      <w:lvlText w:val="%8."/>
      <w:lvlJc w:val="left"/>
      <w:pPr>
        <w:ind w:left="7380" w:hanging="360"/>
      </w:pPr>
    </w:lvl>
    <w:lvl w:ilvl="8" w:tplc="08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ED20C32"/>
    <w:multiLevelType w:val="hybridMultilevel"/>
    <w:tmpl w:val="B8DED1FE"/>
    <w:lvl w:ilvl="0" w:tplc="1CBE2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8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7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  <w:num w:numId="17">
    <w:abstractNumId w:val="23"/>
  </w:num>
  <w:num w:numId="18">
    <w:abstractNumId w:val="20"/>
  </w:num>
  <w:num w:numId="19">
    <w:abstractNumId w:val="19"/>
  </w:num>
  <w:num w:numId="20">
    <w:abstractNumId w:val="4"/>
  </w:num>
  <w:num w:numId="21">
    <w:abstractNumId w:val="15"/>
  </w:num>
  <w:num w:numId="22">
    <w:abstractNumId w:val="22"/>
  </w:num>
  <w:num w:numId="23">
    <w:abstractNumId w:val="10"/>
  </w:num>
  <w:num w:numId="24">
    <w:abstractNumId w:val="2"/>
  </w:num>
  <w:num w:numId="25">
    <w:abstractNumId w:val="30"/>
  </w:num>
  <w:num w:numId="26">
    <w:abstractNumId w:val="33"/>
  </w:num>
  <w:num w:numId="27">
    <w:abstractNumId w:val="31"/>
  </w:num>
  <w:num w:numId="28">
    <w:abstractNumId w:val="37"/>
  </w:num>
  <w:num w:numId="29">
    <w:abstractNumId w:val="26"/>
  </w:num>
  <w:num w:numId="30">
    <w:abstractNumId w:val="25"/>
  </w:num>
  <w:num w:numId="31">
    <w:abstractNumId w:val="36"/>
  </w:num>
  <w:num w:numId="32">
    <w:abstractNumId w:val="38"/>
  </w:num>
  <w:num w:numId="33">
    <w:abstractNumId w:val="29"/>
  </w:num>
  <w:num w:numId="34">
    <w:abstractNumId w:val="34"/>
  </w:num>
  <w:num w:numId="35">
    <w:abstractNumId w:val="35"/>
  </w:num>
  <w:num w:numId="36">
    <w:abstractNumId w:val="32"/>
  </w:num>
  <w:num w:numId="37">
    <w:abstractNumId w:val="28"/>
  </w:num>
  <w:num w:numId="38">
    <w:abstractNumId w:val="24"/>
  </w:num>
  <w:num w:numId="39">
    <w:abstractNumId w:val="27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2F"/>
    <w:rsid w:val="00005E34"/>
    <w:rsid w:val="00005F6A"/>
    <w:rsid w:val="00006695"/>
    <w:rsid w:val="00006FA7"/>
    <w:rsid w:val="000269B7"/>
    <w:rsid w:val="00027D16"/>
    <w:rsid w:val="00043E98"/>
    <w:rsid w:val="0004759D"/>
    <w:rsid w:val="00087761"/>
    <w:rsid w:val="00093148"/>
    <w:rsid w:val="000A71FE"/>
    <w:rsid w:val="000C4DD6"/>
    <w:rsid w:val="000C666A"/>
    <w:rsid w:val="000D17F8"/>
    <w:rsid w:val="000D5034"/>
    <w:rsid w:val="00100A10"/>
    <w:rsid w:val="001029C5"/>
    <w:rsid w:val="00137C38"/>
    <w:rsid w:val="0014460D"/>
    <w:rsid w:val="00154568"/>
    <w:rsid w:val="00156EE9"/>
    <w:rsid w:val="001574E2"/>
    <w:rsid w:val="00183054"/>
    <w:rsid w:val="001A0618"/>
    <w:rsid w:val="001C0028"/>
    <w:rsid w:val="001C5A40"/>
    <w:rsid w:val="001D1B47"/>
    <w:rsid w:val="001F40E6"/>
    <w:rsid w:val="00226FD4"/>
    <w:rsid w:val="002271BF"/>
    <w:rsid w:val="0024356A"/>
    <w:rsid w:val="00295AFF"/>
    <w:rsid w:val="002A4E7C"/>
    <w:rsid w:val="002B08F4"/>
    <w:rsid w:val="002C0F28"/>
    <w:rsid w:val="002D42F2"/>
    <w:rsid w:val="002E0614"/>
    <w:rsid w:val="002E55CB"/>
    <w:rsid w:val="002F4A32"/>
    <w:rsid w:val="00307F98"/>
    <w:rsid w:val="00322F35"/>
    <w:rsid w:val="003236A6"/>
    <w:rsid w:val="003575EB"/>
    <w:rsid w:val="003658B7"/>
    <w:rsid w:val="00366D8A"/>
    <w:rsid w:val="003A7519"/>
    <w:rsid w:val="003A7626"/>
    <w:rsid w:val="003B197B"/>
    <w:rsid w:val="003B44A2"/>
    <w:rsid w:val="003F38FA"/>
    <w:rsid w:val="003F3F11"/>
    <w:rsid w:val="003F48DD"/>
    <w:rsid w:val="00404317"/>
    <w:rsid w:val="004236AF"/>
    <w:rsid w:val="0043366F"/>
    <w:rsid w:val="00437D69"/>
    <w:rsid w:val="004460BD"/>
    <w:rsid w:val="0045775C"/>
    <w:rsid w:val="0046770C"/>
    <w:rsid w:val="00477087"/>
    <w:rsid w:val="00483974"/>
    <w:rsid w:val="00485565"/>
    <w:rsid w:val="004A0983"/>
    <w:rsid w:val="004B5A4C"/>
    <w:rsid w:val="004C234E"/>
    <w:rsid w:val="004D06E2"/>
    <w:rsid w:val="004E1D04"/>
    <w:rsid w:val="004E2539"/>
    <w:rsid w:val="004E2A11"/>
    <w:rsid w:val="005121C7"/>
    <w:rsid w:val="00520F38"/>
    <w:rsid w:val="00522EE1"/>
    <w:rsid w:val="005271D8"/>
    <w:rsid w:val="005401E0"/>
    <w:rsid w:val="00547FCB"/>
    <w:rsid w:val="005538DE"/>
    <w:rsid w:val="00561268"/>
    <w:rsid w:val="00566E6D"/>
    <w:rsid w:val="00572EC2"/>
    <w:rsid w:val="005756B5"/>
    <w:rsid w:val="00587319"/>
    <w:rsid w:val="005B0DE0"/>
    <w:rsid w:val="005C0903"/>
    <w:rsid w:val="005C4764"/>
    <w:rsid w:val="005E7CE4"/>
    <w:rsid w:val="005F419A"/>
    <w:rsid w:val="0061393E"/>
    <w:rsid w:val="00615344"/>
    <w:rsid w:val="00655878"/>
    <w:rsid w:val="00672DEF"/>
    <w:rsid w:val="00675F69"/>
    <w:rsid w:val="00680FF1"/>
    <w:rsid w:val="006963FF"/>
    <w:rsid w:val="00696D19"/>
    <w:rsid w:val="006B5A3C"/>
    <w:rsid w:val="006D1795"/>
    <w:rsid w:val="006F5789"/>
    <w:rsid w:val="006F7565"/>
    <w:rsid w:val="00726EC3"/>
    <w:rsid w:val="00730681"/>
    <w:rsid w:val="00733F6F"/>
    <w:rsid w:val="007364CC"/>
    <w:rsid w:val="007812E4"/>
    <w:rsid w:val="00781A68"/>
    <w:rsid w:val="007978B8"/>
    <w:rsid w:val="007A0879"/>
    <w:rsid w:val="007B286D"/>
    <w:rsid w:val="007B767A"/>
    <w:rsid w:val="007C3485"/>
    <w:rsid w:val="007D56F1"/>
    <w:rsid w:val="007D7300"/>
    <w:rsid w:val="007F256E"/>
    <w:rsid w:val="00816FC8"/>
    <w:rsid w:val="00831203"/>
    <w:rsid w:val="008464D6"/>
    <w:rsid w:val="00877E1F"/>
    <w:rsid w:val="008B02BB"/>
    <w:rsid w:val="008B2F76"/>
    <w:rsid w:val="008D152E"/>
    <w:rsid w:val="008D6186"/>
    <w:rsid w:val="008E75A6"/>
    <w:rsid w:val="0090064E"/>
    <w:rsid w:val="00921FAD"/>
    <w:rsid w:val="0094552B"/>
    <w:rsid w:val="00953B46"/>
    <w:rsid w:val="00977087"/>
    <w:rsid w:val="00980B2B"/>
    <w:rsid w:val="009A10B5"/>
    <w:rsid w:val="009A528E"/>
    <w:rsid w:val="009A6433"/>
    <w:rsid w:val="009D03F0"/>
    <w:rsid w:val="009D2854"/>
    <w:rsid w:val="009D2BE8"/>
    <w:rsid w:val="009F7AC4"/>
    <w:rsid w:val="00A0315E"/>
    <w:rsid w:val="00A118E1"/>
    <w:rsid w:val="00A27042"/>
    <w:rsid w:val="00A329E3"/>
    <w:rsid w:val="00A41D1F"/>
    <w:rsid w:val="00A550D0"/>
    <w:rsid w:val="00A66FCC"/>
    <w:rsid w:val="00A855E3"/>
    <w:rsid w:val="00A865B4"/>
    <w:rsid w:val="00AC69FF"/>
    <w:rsid w:val="00AD3F3F"/>
    <w:rsid w:val="00AE7E41"/>
    <w:rsid w:val="00AF612F"/>
    <w:rsid w:val="00B04798"/>
    <w:rsid w:val="00B21C4B"/>
    <w:rsid w:val="00B32C94"/>
    <w:rsid w:val="00B86489"/>
    <w:rsid w:val="00B95014"/>
    <w:rsid w:val="00BA75CC"/>
    <w:rsid w:val="00BB0160"/>
    <w:rsid w:val="00BC6EEC"/>
    <w:rsid w:val="00C43EC0"/>
    <w:rsid w:val="00C47B7C"/>
    <w:rsid w:val="00C52EE2"/>
    <w:rsid w:val="00C5740F"/>
    <w:rsid w:val="00C627F0"/>
    <w:rsid w:val="00C63D7C"/>
    <w:rsid w:val="00C7696F"/>
    <w:rsid w:val="00CB0D6F"/>
    <w:rsid w:val="00CB1AAC"/>
    <w:rsid w:val="00CB33E1"/>
    <w:rsid w:val="00CB3B19"/>
    <w:rsid w:val="00CD1ECC"/>
    <w:rsid w:val="00D067C8"/>
    <w:rsid w:val="00D24459"/>
    <w:rsid w:val="00D2622F"/>
    <w:rsid w:val="00D418B4"/>
    <w:rsid w:val="00D76B3F"/>
    <w:rsid w:val="00D80C7B"/>
    <w:rsid w:val="00D92ECE"/>
    <w:rsid w:val="00DA3E88"/>
    <w:rsid w:val="00DB526C"/>
    <w:rsid w:val="00DD51D4"/>
    <w:rsid w:val="00DE4447"/>
    <w:rsid w:val="00E200D7"/>
    <w:rsid w:val="00E22A3E"/>
    <w:rsid w:val="00E3266F"/>
    <w:rsid w:val="00E32F72"/>
    <w:rsid w:val="00EA1272"/>
    <w:rsid w:val="00EA2B62"/>
    <w:rsid w:val="00EA78D6"/>
    <w:rsid w:val="00EC1CF3"/>
    <w:rsid w:val="00EC7010"/>
    <w:rsid w:val="00F07E0E"/>
    <w:rsid w:val="00F147F8"/>
    <w:rsid w:val="00F14CEF"/>
    <w:rsid w:val="00F207FB"/>
    <w:rsid w:val="00F30A62"/>
    <w:rsid w:val="00F44250"/>
    <w:rsid w:val="00F5190C"/>
    <w:rsid w:val="00F51C51"/>
    <w:rsid w:val="00F53E96"/>
    <w:rsid w:val="00F62289"/>
    <w:rsid w:val="00F70315"/>
    <w:rsid w:val="00F809F1"/>
    <w:rsid w:val="00F97891"/>
    <w:rsid w:val="00FA2D51"/>
    <w:rsid w:val="00FB24F9"/>
    <w:rsid w:val="00FC4ACF"/>
    <w:rsid w:val="00FD0228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3D8CFF-6CBB-44BD-96E4-9F73335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D2622F"/>
  </w:style>
  <w:style w:type="character" w:styleId="CommentReference">
    <w:name w:val="annotation reference"/>
    <w:rsid w:val="00D2622F"/>
    <w:rPr>
      <w:sz w:val="16"/>
      <w:szCs w:val="16"/>
    </w:rPr>
  </w:style>
  <w:style w:type="character" w:styleId="Emphasis">
    <w:name w:val="Emphasis"/>
    <w:qFormat/>
    <w:rsid w:val="00D2622F"/>
    <w:rPr>
      <w:i/>
      <w:iCs/>
    </w:rPr>
  </w:style>
  <w:style w:type="character" w:styleId="FootnoteReference">
    <w:name w:val="footnote reference"/>
    <w:rsid w:val="00D2622F"/>
    <w:rPr>
      <w:vertAlign w:val="superscript"/>
    </w:rPr>
  </w:style>
  <w:style w:type="character" w:styleId="PageNumber">
    <w:name w:val="page number"/>
    <w:basedOn w:val="DefaultParagraphFont"/>
    <w:rsid w:val="00D2622F"/>
  </w:style>
  <w:style w:type="character" w:customStyle="1" w:styleId="CommentTextChar">
    <w:name w:val="Comment Text Char"/>
    <w:link w:val="CommentText"/>
    <w:rsid w:val="00D2622F"/>
    <w:rPr>
      <w:rFonts w:ascii="Times New Roman" w:eastAsia="Times New Roman" w:hAnsi="Times New Roman"/>
    </w:rPr>
  </w:style>
  <w:style w:type="character" w:customStyle="1" w:styleId="PlainTextChar">
    <w:name w:val="Plain Text Char"/>
    <w:link w:val="PlainText"/>
    <w:rsid w:val="00D2622F"/>
    <w:rPr>
      <w:rFonts w:ascii="Courier New" w:eastAsia="Times New Roman" w:hAnsi="Courier New" w:cs="Courier New"/>
    </w:rPr>
  </w:style>
  <w:style w:type="character" w:customStyle="1" w:styleId="indeks">
    <w:name w:val="indeks"/>
    <w:basedOn w:val="DefaultParagraphFont"/>
    <w:rsid w:val="00D2622F"/>
  </w:style>
  <w:style w:type="character" w:customStyle="1" w:styleId="BalloonTextChar">
    <w:name w:val="Balloon Text Char"/>
    <w:link w:val="BalloonText"/>
    <w:rsid w:val="00D2622F"/>
    <w:rPr>
      <w:rFonts w:ascii="Tahoma" w:hAnsi="Tahoma" w:cs="Tahoma"/>
      <w:sz w:val="16"/>
      <w:szCs w:val="16"/>
      <w:lang w:val="en-GB" w:eastAsia="en-US"/>
    </w:rPr>
  </w:style>
  <w:style w:type="character" w:customStyle="1" w:styleId="google-src-text">
    <w:name w:val="google-src-text"/>
    <w:basedOn w:val="DefaultParagraphFont"/>
    <w:rsid w:val="00D2622F"/>
  </w:style>
  <w:style w:type="character" w:customStyle="1" w:styleId="CommentSubjectChar">
    <w:name w:val="Comment Subject Char"/>
    <w:link w:val="CommentSubject"/>
    <w:rsid w:val="00D2622F"/>
    <w:rPr>
      <w:rFonts w:ascii="Times New Roman" w:eastAsia="Times New Roman" w:hAnsi="Times New Roman"/>
      <w:b/>
      <w:bCs/>
    </w:rPr>
  </w:style>
  <w:style w:type="character" w:customStyle="1" w:styleId="FootnoteTextChar">
    <w:name w:val="Footnote Text Char"/>
    <w:link w:val="FootnoteText"/>
    <w:rsid w:val="00D2622F"/>
    <w:rPr>
      <w:lang w:val="en-GB" w:eastAsia="en-US"/>
    </w:rPr>
  </w:style>
  <w:style w:type="character" w:customStyle="1" w:styleId="HeaderChar">
    <w:name w:val="Header Char"/>
    <w:link w:val="Header"/>
    <w:uiPriority w:val="99"/>
    <w:rsid w:val="00D2622F"/>
  </w:style>
  <w:style w:type="character" w:customStyle="1" w:styleId="FooterChar">
    <w:name w:val="Footer Char"/>
    <w:link w:val="Footer"/>
    <w:uiPriority w:val="99"/>
    <w:rsid w:val="00D2622F"/>
  </w:style>
  <w:style w:type="character" w:customStyle="1" w:styleId="apple-converted-space">
    <w:name w:val="apple-converted-space"/>
    <w:basedOn w:val="DefaultParagraphFont"/>
    <w:rsid w:val="00D2622F"/>
  </w:style>
  <w:style w:type="character" w:customStyle="1" w:styleId="hps">
    <w:name w:val="hps"/>
    <w:basedOn w:val="DefaultParagraphFont"/>
    <w:rsid w:val="00D2622F"/>
  </w:style>
  <w:style w:type="character" w:customStyle="1" w:styleId="rvts3">
    <w:name w:val="rvts3"/>
    <w:basedOn w:val="DefaultParagraphFont"/>
    <w:rsid w:val="00D2622F"/>
  </w:style>
  <w:style w:type="paragraph" w:styleId="BalloonText">
    <w:name w:val="Balloon Text"/>
    <w:basedOn w:val="Normal"/>
    <w:link w:val="BalloonTextChar"/>
    <w:rsid w:val="00D2622F"/>
    <w:rPr>
      <w:rFonts w:ascii="Tahoma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D2622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D2622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26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622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2622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D2622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D2622F"/>
  </w:style>
  <w:style w:type="paragraph" w:styleId="FootnoteText">
    <w:name w:val="footnote text"/>
    <w:basedOn w:val="Normal"/>
    <w:link w:val="FootnoteTextChar"/>
    <w:rsid w:val="00D2622F"/>
    <w:rPr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D2622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2622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2622F"/>
  </w:style>
  <w:style w:type="paragraph" w:styleId="NormalWeb">
    <w:name w:val="Normal (Web)"/>
    <w:basedOn w:val="Normal"/>
    <w:rsid w:val="00D2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rsid w:val="00D2622F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D2622F"/>
    <w:rPr>
      <w:rFonts w:ascii="Consolas" w:hAnsi="Consolas" w:cs="Consolas"/>
      <w:sz w:val="21"/>
      <w:szCs w:val="21"/>
    </w:rPr>
  </w:style>
  <w:style w:type="paragraph" w:customStyle="1" w:styleId="Pasussalistom">
    <w:name w:val="Pasus sa listom"/>
    <w:basedOn w:val="Normal"/>
    <w:qFormat/>
    <w:rsid w:val="00D2622F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esegmenth4">
    <w:name w:val="esegment_h4"/>
    <w:basedOn w:val="Normal"/>
    <w:rsid w:val="00D2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1CharCharChar">
    <w:name w:val="Char1 Char Char Char"/>
    <w:basedOn w:val="Normal"/>
    <w:rsid w:val="00D2622F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D26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8bezuvl">
    <w:name w:val="T-9/8 bez uvl"/>
    <w:basedOn w:val="Normal"/>
    <w:rsid w:val="00D2622F"/>
    <w:pPr>
      <w:widowControl w:val="0"/>
      <w:adjustRightInd w:val="0"/>
      <w:spacing w:after="43" w:line="210" w:lineRule="atLeast"/>
      <w:jc w:val="both"/>
    </w:pPr>
    <w:rPr>
      <w:rFonts w:ascii="Minion Pro Cond" w:eastAsia="Times New Roman" w:hAnsi="Minion Pro Cond" w:cs="Minion Pro Cond"/>
      <w:color w:val="000000"/>
      <w:w w:val="95"/>
      <w:sz w:val="20"/>
      <w:szCs w:val="20"/>
    </w:rPr>
  </w:style>
  <w:style w:type="paragraph" w:customStyle="1" w:styleId="HeadEng">
    <w:name w:val="HeadEng"/>
    <w:basedOn w:val="Normal"/>
    <w:rsid w:val="00D26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bsatzTabelleKopfA">
    <w:name w:val="Absatz_Tabelle_Kopf_A"/>
    <w:basedOn w:val="Normal"/>
    <w:next w:val="Normal"/>
    <w:rsid w:val="00D2622F"/>
    <w:pPr>
      <w:keepNext/>
      <w:keepLines/>
      <w:tabs>
        <w:tab w:val="left" w:pos="567"/>
        <w:tab w:val="right" w:pos="9072"/>
      </w:tabs>
      <w:overflowPunct w:val="0"/>
      <w:autoSpaceDE w:val="0"/>
      <w:autoSpaceDN w:val="0"/>
      <w:adjustRightInd w:val="0"/>
      <w:spacing w:before="100"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customStyle="1" w:styleId="AbsatzTabelleZeilenA">
    <w:name w:val="Absatz_Tabelle_Zeilen_A"/>
    <w:basedOn w:val="Normal"/>
    <w:rsid w:val="00D2622F"/>
    <w:pPr>
      <w:keepLines/>
      <w:tabs>
        <w:tab w:val="left" w:pos="567"/>
        <w:tab w:val="right" w:pos="9072"/>
      </w:tabs>
      <w:overflowPunct w:val="0"/>
      <w:autoSpaceDE w:val="0"/>
      <w:autoSpaceDN w:val="0"/>
      <w:adjustRightInd w:val="0"/>
      <w:spacing w:before="100"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bsatzeing15">
    <w:name w:val="Absatz_eing_1.5"/>
    <w:basedOn w:val="Normal"/>
    <w:rsid w:val="00D2622F"/>
    <w:pPr>
      <w:tabs>
        <w:tab w:val="left" w:pos="567"/>
        <w:tab w:val="right" w:pos="9072"/>
      </w:tabs>
      <w:overflowPunct w:val="0"/>
      <w:autoSpaceDE w:val="0"/>
      <w:autoSpaceDN w:val="0"/>
      <w:adjustRightInd w:val="0"/>
      <w:spacing w:after="0" w:line="36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bsatzTabelleZeilenB">
    <w:name w:val="Absatz_Tabelle_Zeilen_B"/>
    <w:basedOn w:val="AbsatzTabelleZeilenA"/>
    <w:rsid w:val="00D2622F"/>
    <w:pPr>
      <w:ind w:left="170" w:right="170"/>
      <w:jc w:val="both"/>
    </w:pPr>
  </w:style>
  <w:style w:type="paragraph" w:customStyle="1" w:styleId="AbsatzTabelleZeilen1zezentr">
    <w:name w:val="Absatz_Tabelle_Zeilen_1ze_zentr"/>
    <w:basedOn w:val="Normal"/>
    <w:rsid w:val="00D2622F"/>
    <w:pPr>
      <w:keepLines/>
      <w:tabs>
        <w:tab w:val="left" w:pos="567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Normal1">
    <w:name w:val="Normal1"/>
    <w:basedOn w:val="Normal"/>
    <w:rsid w:val="00D2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Absatzeing15nt">
    <w:name w:val="Absatz_eing_1.5_nt"/>
    <w:basedOn w:val="Absatzeing15"/>
    <w:next w:val="Absatzeing15"/>
    <w:rsid w:val="00D2622F"/>
    <w:pPr>
      <w:keepNext/>
      <w:tabs>
        <w:tab w:val="clear" w:pos="567"/>
        <w:tab w:val="clear" w:pos="9072"/>
        <w:tab w:val="left" w:pos="284"/>
      </w:tabs>
    </w:pPr>
  </w:style>
  <w:style w:type="paragraph" w:customStyle="1" w:styleId="Pa5">
    <w:name w:val="Pa5"/>
    <w:basedOn w:val="Normal"/>
    <w:next w:val="Normal"/>
    <w:rsid w:val="00D2622F"/>
    <w:pPr>
      <w:autoSpaceDE w:val="0"/>
      <w:autoSpaceDN w:val="0"/>
      <w:adjustRightInd w:val="0"/>
      <w:spacing w:after="0" w:line="171" w:lineRule="atLeast"/>
    </w:pPr>
    <w:rPr>
      <w:rFonts w:ascii="Arial" w:eastAsia="SimSun" w:hAnsi="Arial" w:cs="Times New Roman"/>
      <w:sz w:val="24"/>
      <w:szCs w:val="24"/>
      <w:lang w:val="en-GB" w:eastAsia="zh-CN"/>
    </w:rPr>
  </w:style>
  <w:style w:type="paragraph" w:customStyle="1" w:styleId="Pa9">
    <w:name w:val="Pa9"/>
    <w:basedOn w:val="Normal"/>
    <w:next w:val="Normal"/>
    <w:rsid w:val="00D2622F"/>
    <w:pPr>
      <w:autoSpaceDE w:val="0"/>
      <w:autoSpaceDN w:val="0"/>
      <w:adjustRightInd w:val="0"/>
      <w:spacing w:before="380" w:after="0" w:line="171" w:lineRule="atLeast"/>
    </w:pPr>
    <w:rPr>
      <w:rFonts w:ascii="Arial" w:eastAsia="SimSun" w:hAnsi="Arial" w:cs="Times New Roman"/>
      <w:sz w:val="24"/>
      <w:szCs w:val="24"/>
      <w:lang w:val="en-GB" w:eastAsia="zh-CN"/>
    </w:rPr>
  </w:style>
  <w:style w:type="paragraph" w:customStyle="1" w:styleId="Pa10">
    <w:name w:val="Pa10"/>
    <w:basedOn w:val="Normal"/>
    <w:next w:val="Normal"/>
    <w:rsid w:val="00D2622F"/>
    <w:pPr>
      <w:autoSpaceDE w:val="0"/>
      <w:autoSpaceDN w:val="0"/>
      <w:adjustRightInd w:val="0"/>
      <w:spacing w:before="160" w:after="20" w:line="171" w:lineRule="atLeast"/>
    </w:pPr>
    <w:rPr>
      <w:rFonts w:ascii="Arial" w:eastAsia="SimSun" w:hAnsi="Arial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D2622F"/>
    <w:pPr>
      <w:ind w:left="720"/>
    </w:pPr>
    <w:rPr>
      <w:rFonts w:ascii="Calibri" w:eastAsia="Calibri" w:hAnsi="Calibri" w:cs="Times New Roman"/>
    </w:rPr>
  </w:style>
  <w:style w:type="paragraph" w:styleId="Revision">
    <w:name w:val="Revision"/>
    <w:uiPriority w:val="99"/>
    <w:rsid w:val="00D262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sussalistom1">
    <w:name w:val="Pasus sa listom1"/>
    <w:basedOn w:val="Normal"/>
    <w:rsid w:val="00D2622F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1CharCharChar1">
    <w:name w:val="Char1 Char Char Char1"/>
    <w:basedOn w:val="Normal"/>
    <w:rsid w:val="00D2622F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0">
    <w:name w:val="Normal1"/>
    <w:basedOn w:val="Normal"/>
    <w:rsid w:val="00D2622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har1CharCharChar0">
    <w:name w:val="Char1 Char Char Char"/>
    <w:basedOn w:val="Normal"/>
    <w:semiHidden/>
    <w:rsid w:val="00D2622F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D2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7C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14526</Words>
  <Characters>82800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Obradovic</dc:creator>
  <cp:lastModifiedBy>Bojan Grgic</cp:lastModifiedBy>
  <cp:revision>3</cp:revision>
  <cp:lastPrinted>2016-01-25T11:26:00Z</cp:lastPrinted>
  <dcterms:created xsi:type="dcterms:W3CDTF">2016-01-25T16:58:00Z</dcterms:created>
  <dcterms:modified xsi:type="dcterms:W3CDTF">2016-01-25T16:58:00Z</dcterms:modified>
</cp:coreProperties>
</file>