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AD" w:rsidRPr="009B258C" w:rsidRDefault="004A20AD">
      <w:pPr>
        <w:rPr>
          <w:rFonts w:ascii="Times New Roman" w:hAnsi="Times New Roman"/>
          <w:noProof/>
          <w:sz w:val="24"/>
          <w:szCs w:val="24"/>
          <w:u w:val="single"/>
          <w:lang w:val="sr-Latn-CS" w:eastAsia="sr-Cyrl-CS"/>
        </w:rPr>
      </w:pPr>
    </w:p>
    <w:p w:rsidR="00F37F41" w:rsidRPr="009B258C" w:rsidRDefault="00F37F41" w:rsidP="004A20A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F37F41" w:rsidRPr="009B258C" w:rsidRDefault="00F37F41" w:rsidP="00F37F41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Na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osnovu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člana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7.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Zakona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budžetu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Republike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Srbije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2015.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godinu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Pr="009B258C">
        <w:rPr>
          <w:rFonts w:ascii="Times New Roman" w:hAnsi="Times New Roman"/>
          <w:noProof/>
          <w:lang w:val="sr-Latn-CS"/>
        </w:rPr>
        <w:t>(„</w:t>
      </w:r>
      <w:r w:rsidR="009B258C">
        <w:rPr>
          <w:rFonts w:ascii="Times New Roman" w:hAnsi="Times New Roman"/>
          <w:noProof/>
          <w:lang w:val="sr-Latn-CS"/>
        </w:rPr>
        <w:t>Službeni</w:t>
      </w:r>
      <w:r w:rsidRPr="009B258C">
        <w:rPr>
          <w:rFonts w:ascii="Times New Roman" w:hAnsi="Times New Roman"/>
          <w:noProof/>
          <w:lang w:val="sr-Latn-CS"/>
        </w:rPr>
        <w:t xml:space="preserve">  </w:t>
      </w:r>
      <w:r w:rsidR="009B258C">
        <w:rPr>
          <w:rFonts w:ascii="Times New Roman" w:hAnsi="Times New Roman"/>
          <w:noProof/>
          <w:lang w:val="sr-Latn-CS"/>
        </w:rPr>
        <w:t>glasnik</w:t>
      </w:r>
      <w:r w:rsidRPr="009B258C">
        <w:rPr>
          <w:rFonts w:ascii="Times New Roman" w:hAnsi="Times New Roman"/>
          <w:noProof/>
          <w:lang w:val="sr-Latn-CS"/>
        </w:rPr>
        <w:t xml:space="preserve"> </w:t>
      </w:r>
      <w:r w:rsidR="009B258C">
        <w:rPr>
          <w:rFonts w:ascii="Times New Roman" w:hAnsi="Times New Roman"/>
          <w:noProof/>
          <w:lang w:val="sr-Latn-CS"/>
        </w:rPr>
        <w:t>RS</w:t>
      </w:r>
      <w:r w:rsidRPr="009B258C">
        <w:rPr>
          <w:rFonts w:ascii="Times New Roman" w:hAnsi="Times New Roman"/>
          <w:noProof/>
          <w:lang w:val="sr-Latn-CS"/>
        </w:rPr>
        <w:t>”,</w:t>
      </w:r>
      <w:r w:rsidRPr="009B258C">
        <w:rPr>
          <w:noProof/>
          <w:lang w:val="sr-Latn-CS"/>
        </w:rPr>
        <w:t xml:space="preserve">  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broj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142/14)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člana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42.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stav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1.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Zakona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Vladi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Pr="009B258C">
        <w:rPr>
          <w:rFonts w:ascii="Times New Roman" w:hAnsi="Times New Roman"/>
          <w:noProof/>
          <w:lang w:val="sr-Latn-CS"/>
        </w:rPr>
        <w:t>(„</w:t>
      </w:r>
      <w:r w:rsidR="009B258C">
        <w:rPr>
          <w:rFonts w:ascii="Times New Roman" w:hAnsi="Times New Roman"/>
          <w:noProof/>
          <w:lang w:val="sr-Latn-CS"/>
        </w:rPr>
        <w:t>Službeni</w:t>
      </w:r>
      <w:r w:rsidRPr="009B258C">
        <w:rPr>
          <w:rFonts w:ascii="Times New Roman" w:hAnsi="Times New Roman"/>
          <w:noProof/>
          <w:lang w:val="sr-Latn-CS"/>
        </w:rPr>
        <w:t xml:space="preserve">  </w:t>
      </w:r>
      <w:r w:rsidR="009B258C">
        <w:rPr>
          <w:rFonts w:ascii="Times New Roman" w:hAnsi="Times New Roman"/>
          <w:noProof/>
          <w:lang w:val="sr-Latn-CS"/>
        </w:rPr>
        <w:t>glasnik</w:t>
      </w:r>
      <w:r w:rsidRPr="009B258C">
        <w:rPr>
          <w:rFonts w:ascii="Times New Roman" w:hAnsi="Times New Roman"/>
          <w:noProof/>
          <w:lang w:val="sr-Latn-CS"/>
        </w:rPr>
        <w:t xml:space="preserve"> </w:t>
      </w:r>
      <w:r w:rsidR="009B258C">
        <w:rPr>
          <w:rFonts w:ascii="Times New Roman" w:hAnsi="Times New Roman"/>
          <w:noProof/>
          <w:lang w:val="sr-Latn-CS"/>
        </w:rPr>
        <w:t>RS</w:t>
      </w:r>
      <w:r w:rsidRPr="009B258C">
        <w:rPr>
          <w:rFonts w:ascii="Times New Roman" w:hAnsi="Times New Roman"/>
          <w:noProof/>
          <w:lang w:val="sr-Latn-CS"/>
        </w:rPr>
        <w:t>”,</w:t>
      </w:r>
      <w:r w:rsidRPr="009B258C">
        <w:rPr>
          <w:noProof/>
          <w:lang w:val="sr-Latn-CS"/>
        </w:rPr>
        <w:t xml:space="preserve"> 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br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>.</w:t>
      </w:r>
      <w:r w:rsidR="00F8799B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>55/ 05, 71/05</w:t>
      </w:r>
      <w:r w:rsidR="00EF07ED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‒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ispravka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, 101/07, 65/08, 16/11,  68/12 –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US</w:t>
      </w:r>
      <w:r w:rsidR="00866461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>,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72/12</w:t>
      </w:r>
      <w:r w:rsidR="00F8799B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>, 7/14 –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US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44/14),  </w:t>
      </w:r>
    </w:p>
    <w:p w:rsidR="00F37F41" w:rsidRPr="009B258C" w:rsidRDefault="00F37F41" w:rsidP="00F37F41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</w:p>
    <w:p w:rsidR="00F37F41" w:rsidRPr="009B258C" w:rsidRDefault="00F37F41" w:rsidP="00F37F41">
      <w:pPr>
        <w:tabs>
          <w:tab w:val="left" w:pos="311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7F41" w:rsidRPr="009B258C" w:rsidRDefault="00F37F41" w:rsidP="00F37F41">
      <w:pPr>
        <w:tabs>
          <w:tab w:val="left" w:pos="311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7F41" w:rsidRPr="009B258C" w:rsidRDefault="009B258C" w:rsidP="00F37F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UREDBU</w:t>
      </w:r>
    </w:p>
    <w:p w:rsidR="00F37F41" w:rsidRPr="009B258C" w:rsidRDefault="009B258C" w:rsidP="00F37F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UTVRĐIVANJU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PROGRAMA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PODRŠKE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MALIM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PREDUZEĆIMA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NABAVKU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OPREME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GODINI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</w:p>
    <w:p w:rsidR="00F37F41" w:rsidRPr="009B258C" w:rsidRDefault="00F37F41" w:rsidP="00F37F4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7F41" w:rsidRPr="009B258C" w:rsidRDefault="009B258C" w:rsidP="00F37F4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F37F41" w:rsidRPr="009B258C" w:rsidRDefault="009B258C" w:rsidP="00F37F4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F37F41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podrške</w:t>
      </w:r>
      <w:r w:rsidR="00F37F41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malim</w:t>
      </w:r>
      <w:r w:rsidR="00F37F41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preduzećima</w:t>
      </w:r>
      <w:r w:rsidR="00F37F41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F37F41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nabavku</w:t>
      </w:r>
      <w:r w:rsidR="00F37F41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opreme</w:t>
      </w:r>
      <w:r w:rsidR="00F37F41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F37F41" w:rsidRPr="009B258C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2015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37F41" w:rsidRPr="009B258C" w:rsidRDefault="00F37F41" w:rsidP="00F37F4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7F41" w:rsidRPr="009B258C" w:rsidRDefault="009B258C" w:rsidP="00F37F4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F37F41" w:rsidRPr="009B258C" w:rsidRDefault="009B258C" w:rsidP="00F37F4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37F41" w:rsidRPr="009B258C">
        <w:rPr>
          <w:rFonts w:ascii="Times New Roman" w:hAnsi="Times New Roman"/>
          <w:noProof/>
          <w:lang w:val="sr-Latn-CS"/>
        </w:rPr>
        <w:t>(„</w:t>
      </w:r>
      <w:r>
        <w:rPr>
          <w:rFonts w:ascii="Times New Roman" w:hAnsi="Times New Roman"/>
          <w:noProof/>
          <w:lang w:val="sr-Latn-CS"/>
        </w:rPr>
        <w:t>Službeni</w:t>
      </w:r>
      <w:r w:rsidR="00F37F41" w:rsidRPr="009B258C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glasnik</w:t>
      </w:r>
      <w:r w:rsidR="00F37F41" w:rsidRPr="009B25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37F41" w:rsidRPr="009B258C">
        <w:rPr>
          <w:rFonts w:ascii="Times New Roman" w:hAnsi="Times New Roman"/>
          <w:noProof/>
          <w:lang w:val="sr-Latn-CS"/>
        </w:rPr>
        <w:t>”,</w:t>
      </w:r>
      <w:r w:rsidR="00F37F41" w:rsidRPr="009B258C">
        <w:rPr>
          <w:noProof/>
          <w:lang w:val="sr-Latn-CS"/>
        </w:rPr>
        <w:t xml:space="preserve">  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142/14).</w:t>
      </w:r>
    </w:p>
    <w:p w:rsidR="00F37F41" w:rsidRPr="009B258C" w:rsidRDefault="00F37F41" w:rsidP="00F37F4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7F41" w:rsidRPr="009B258C" w:rsidRDefault="009B258C" w:rsidP="00F37F41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F37F41" w:rsidRPr="009B258C" w:rsidRDefault="009B258C" w:rsidP="00F37F4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F37F41" w:rsidRPr="009B258C">
        <w:rPr>
          <w:rFonts w:ascii="Times New Roman" w:hAnsi="Times New Roman"/>
          <w:noProof/>
          <w:sz w:val="24"/>
          <w:szCs w:val="24"/>
          <w:lang w:val="sr-Latn-CS"/>
        </w:rPr>
        <w:t>ˮ.</w:t>
      </w:r>
    </w:p>
    <w:p w:rsidR="00F37F41" w:rsidRPr="009B258C" w:rsidRDefault="00F37F41" w:rsidP="00F37F4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95AEF" w:rsidRPr="009B258C" w:rsidRDefault="00A95AEF" w:rsidP="00A95AE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    05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A95AEF" w:rsidRPr="009B258C" w:rsidRDefault="00A95AEF" w:rsidP="00A95AE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18.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A95AEF" w:rsidRPr="009B258C" w:rsidRDefault="00A95AEF" w:rsidP="00A95AEF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95AEF" w:rsidRPr="009B258C" w:rsidRDefault="00A95AEF" w:rsidP="00A95AE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95AEF" w:rsidRPr="009B258C" w:rsidRDefault="009B258C" w:rsidP="00A95AE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A95AEF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A95AEF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A95AEF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95AEF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A95AEF" w:rsidRPr="009B258C" w:rsidRDefault="00A95AEF" w:rsidP="00A95AEF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95AEF" w:rsidRPr="009B258C" w:rsidRDefault="00A95AEF" w:rsidP="00A95AEF">
      <w:pPr>
        <w:tabs>
          <w:tab w:val="left" w:pos="6521"/>
        </w:tabs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A95AEF" w:rsidRPr="009B258C" w:rsidRDefault="00A95AEF" w:rsidP="00A95AEF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95AEF" w:rsidRPr="009B258C" w:rsidRDefault="00A95AEF" w:rsidP="00A95AEF">
      <w:pPr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Aleksandar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Vučić</w:t>
      </w:r>
    </w:p>
    <w:p w:rsidR="00A95AEF" w:rsidRPr="009B258C" w:rsidRDefault="00A95AEF" w:rsidP="00A95AEF">
      <w:pPr>
        <w:jc w:val="both"/>
        <w:rPr>
          <w:rFonts w:eastAsia="Calibri"/>
          <w:noProof/>
          <w:lang w:val="sr-Latn-CS"/>
        </w:rPr>
      </w:pPr>
    </w:p>
    <w:p w:rsidR="002F2592" w:rsidRPr="009B258C" w:rsidRDefault="002F2592">
      <w:pPr>
        <w:rPr>
          <w:noProof/>
          <w:lang w:val="sr-Latn-CS"/>
        </w:rPr>
      </w:pPr>
      <w:r w:rsidRPr="009B258C">
        <w:rPr>
          <w:noProof/>
          <w:lang w:val="sr-Latn-CS"/>
        </w:rPr>
        <w:br w:type="page"/>
      </w:r>
    </w:p>
    <w:p w:rsidR="002F2592" w:rsidRPr="009B258C" w:rsidRDefault="009B258C" w:rsidP="002F259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lastRenderedPageBreak/>
        <w:t>PROGRAM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PODRŠKE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MALIM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PREDUZEĆIMA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NABAVKU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GODINI</w:t>
      </w:r>
    </w:p>
    <w:p w:rsidR="002F2592" w:rsidRPr="009B258C" w:rsidRDefault="002F2592" w:rsidP="002F259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</w:p>
    <w:p w:rsidR="002F2592" w:rsidRPr="009B258C" w:rsidRDefault="002F2592" w:rsidP="002F2592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F2592" w:rsidRPr="009B258C">
        <w:rPr>
          <w:rFonts w:ascii="Times New Roman" w:hAnsi="Times New Roman"/>
          <w:noProof/>
          <w:lang w:val="sr-Latn-CS"/>
        </w:rPr>
        <w:t>(„</w:t>
      </w:r>
      <w:r>
        <w:rPr>
          <w:rFonts w:ascii="Times New Roman" w:hAnsi="Times New Roman"/>
          <w:noProof/>
          <w:lang w:val="sr-Latn-CS"/>
        </w:rPr>
        <w:t>Službeni</w:t>
      </w:r>
      <w:r w:rsidR="002F2592" w:rsidRPr="009B258C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glasnik</w:t>
      </w:r>
      <w:r w:rsidR="002F2592" w:rsidRPr="009B25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2F2592" w:rsidRPr="009B258C">
        <w:rPr>
          <w:rFonts w:ascii="Times New Roman" w:hAnsi="Times New Roman"/>
          <w:noProof/>
          <w:lang w:val="sr-Latn-CS"/>
        </w:rPr>
        <w:t>”,</w:t>
      </w:r>
      <w:r w:rsidR="002F2592" w:rsidRPr="009B258C">
        <w:rPr>
          <w:noProof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142/14),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7,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razdela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20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privrede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a 20.0,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1504 -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410 -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4004 -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klasifikacija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451 - 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nefinansijskim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).</w:t>
      </w:r>
      <w:r w:rsidR="002F2592" w:rsidRPr="009B258C">
        <w:rPr>
          <w:noProof/>
          <w:color w:val="FF0000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de minimis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95-97.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F2592" w:rsidRPr="009B258C">
        <w:rPr>
          <w:rFonts w:ascii="Times New Roman" w:hAnsi="Times New Roman"/>
          <w:noProof/>
          <w:lang w:val="sr-Latn-CS"/>
        </w:rPr>
        <w:t>(„</w:t>
      </w:r>
      <w:r>
        <w:rPr>
          <w:rFonts w:ascii="Times New Roman" w:hAnsi="Times New Roman"/>
          <w:noProof/>
          <w:lang w:val="sr-Latn-CS"/>
        </w:rPr>
        <w:t>Službeni</w:t>
      </w:r>
      <w:r w:rsidR="002F2592" w:rsidRPr="009B258C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glasnik</w:t>
      </w:r>
      <w:r w:rsidR="002F2592" w:rsidRPr="009B258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2F2592" w:rsidRPr="009B258C">
        <w:rPr>
          <w:rFonts w:ascii="Times New Roman" w:hAnsi="Times New Roman"/>
          <w:noProof/>
          <w:lang w:val="sr-Latn-CS"/>
        </w:rPr>
        <w:t>”,</w:t>
      </w:r>
      <w:r w:rsidR="002F2592" w:rsidRPr="009B258C">
        <w:rPr>
          <w:noProof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13/10, 100/11, 91/12, 37/13, 97/13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119/14).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odabranim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</w:p>
    <w:p w:rsidR="002F2592" w:rsidRPr="009B258C" w:rsidRDefault="002F2592" w:rsidP="002F2592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internacionalizacije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Specifični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2F2592" w:rsidRPr="009B258C" w:rsidRDefault="009B258C" w:rsidP="002F2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tehnoloških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kreditiranja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9B258C" w:rsidRDefault="009B258C" w:rsidP="002F25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promovisanje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primarnog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poboljšanje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2F2592" w:rsidRPr="009B258C" w:rsidRDefault="002F2592" w:rsidP="002F2592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sufinansiranje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9B258C" w:rsidRDefault="002F2592" w:rsidP="002F2592">
      <w:pPr>
        <w:pStyle w:val="ListParagraph"/>
        <w:tabs>
          <w:tab w:val="center" w:pos="0"/>
        </w:tabs>
        <w:spacing w:after="0" w:line="240" w:lineRule="auto"/>
        <w:ind w:left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mašina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2F2592" w:rsidP="002F2592">
      <w:pPr>
        <w:pStyle w:val="ListParagraph"/>
        <w:tabs>
          <w:tab w:val="center" w:pos="0"/>
        </w:tabs>
        <w:spacing w:after="0" w:line="240" w:lineRule="auto"/>
        <w:ind w:left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polovne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mašina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starije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2F2592" w:rsidRPr="009B258C" w:rsidRDefault="002F2592" w:rsidP="002F2592">
      <w:pPr>
        <w:tabs>
          <w:tab w:val="left" w:pos="709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delova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specijalizovanih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alata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mašine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kapitalnih</w:t>
      </w:r>
    </w:p>
    <w:p w:rsidR="002F2592" w:rsidRPr="009B258C" w:rsidRDefault="009B258C" w:rsidP="002F259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iskoristiti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stavile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pogon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neiskorišćene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mašine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razmenjiva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Oprema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2F2592" w:rsidP="002F2592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2F2592" w:rsidRPr="009B258C" w:rsidRDefault="002F2592" w:rsidP="002F2592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9B258C" w:rsidRDefault="009B258C" w:rsidP="002F25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nabavku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putničkih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a; </w:t>
      </w:r>
    </w:p>
    <w:p w:rsidR="002F2592" w:rsidRPr="009B258C" w:rsidRDefault="009B258C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pokrivanje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carinski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špedicije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manipulacije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montaže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instaliranja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obuke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pokrivanje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bankarskog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trošak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biroa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kursnih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.;</w:t>
      </w:r>
    </w:p>
    <w:p w:rsidR="002F2592" w:rsidRPr="009B258C" w:rsidRDefault="009B258C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refundaciju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nabavljenu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zajmove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reprogram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a;</w:t>
      </w:r>
    </w:p>
    <w:p w:rsidR="002F2592" w:rsidRPr="009B258C" w:rsidRDefault="009B258C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2F2592" w:rsidP="002F2592">
      <w:pPr>
        <w:spacing w:after="0" w:line="240" w:lineRule="auto"/>
        <w:ind w:left="71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OKVIR</w:t>
      </w:r>
    </w:p>
    <w:p w:rsidR="002F2592" w:rsidRPr="009B258C" w:rsidRDefault="002F2592" w:rsidP="002F2592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sufinansiranje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9B258C" w:rsidP="002F2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preostalih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70%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250.000,00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2.500.000,00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uveća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Procenat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profakture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predugovora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sklapanja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otuđi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kontrolišu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pStyle w:val="Text1"/>
        <w:numPr>
          <w:ilvl w:val="0"/>
          <w:numId w:val="4"/>
        </w:numPr>
        <w:spacing w:after="0"/>
        <w:jc w:val="center"/>
        <w:rPr>
          <w:noProof/>
          <w:szCs w:val="24"/>
        </w:rPr>
      </w:pPr>
      <w:r>
        <w:rPr>
          <w:noProof/>
          <w:szCs w:val="24"/>
        </w:rPr>
        <w:t>PRAVILA</w:t>
      </w:r>
      <w:r w:rsidR="002F2592" w:rsidRPr="009B258C">
        <w:rPr>
          <w:noProof/>
          <w:szCs w:val="24"/>
        </w:rPr>
        <w:t xml:space="preserve"> </w:t>
      </w:r>
      <w:r>
        <w:rPr>
          <w:noProof/>
          <w:szCs w:val="24"/>
        </w:rPr>
        <w:t>POZIVA</w:t>
      </w:r>
      <w:r w:rsidR="002F2592" w:rsidRPr="009B258C">
        <w:rPr>
          <w:noProof/>
          <w:szCs w:val="24"/>
        </w:rPr>
        <w:t xml:space="preserve"> </w:t>
      </w:r>
      <w:r>
        <w:rPr>
          <w:noProof/>
          <w:szCs w:val="24"/>
        </w:rPr>
        <w:t>ZA</w:t>
      </w:r>
      <w:r w:rsidR="002F2592" w:rsidRPr="009B258C">
        <w:rPr>
          <w:noProof/>
          <w:szCs w:val="24"/>
        </w:rPr>
        <w:t xml:space="preserve"> </w:t>
      </w:r>
      <w:r>
        <w:rPr>
          <w:noProof/>
          <w:szCs w:val="24"/>
        </w:rPr>
        <w:t>PODNOŠENJE</w:t>
      </w:r>
      <w:r w:rsidR="002F2592" w:rsidRPr="009B258C">
        <w:rPr>
          <w:noProof/>
          <w:szCs w:val="24"/>
        </w:rPr>
        <w:t xml:space="preserve"> </w:t>
      </w:r>
      <w:r>
        <w:rPr>
          <w:noProof/>
          <w:szCs w:val="24"/>
        </w:rPr>
        <w:t>PREDLOGA</w:t>
      </w:r>
      <w:r w:rsidR="002F2592" w:rsidRPr="009B258C">
        <w:rPr>
          <w:noProof/>
          <w:szCs w:val="24"/>
        </w:rPr>
        <w:t xml:space="preserve"> </w:t>
      </w:r>
      <w:r>
        <w:rPr>
          <w:noProof/>
          <w:szCs w:val="24"/>
        </w:rPr>
        <w:t>PROJEKATA</w:t>
      </w:r>
    </w:p>
    <w:p w:rsidR="002F2592" w:rsidRPr="009B258C" w:rsidRDefault="002F2592" w:rsidP="002F259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426" w:firstLine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9B258C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2F2592" w:rsidRPr="009B258C" w:rsidRDefault="002F2592" w:rsidP="002F25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registrovana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razvrstana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mikro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B258C">
        <w:rPr>
          <w:noProof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računovodstvu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62/13)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9B258C" w:rsidRDefault="002F2592" w:rsidP="002F25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2)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preduzetnici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dvojno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knjigovodstvo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razvrstani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mikro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B258C">
        <w:rPr>
          <w:noProof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računovodstvu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pStyle w:val="ListParagraph"/>
        <w:spacing w:after="120"/>
        <w:jc w:val="both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2F2592" w:rsidP="002F2592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    5.2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ispune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podnosioci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9B258C" w:rsidRDefault="002F2592" w:rsidP="002F2592">
      <w:pPr>
        <w:pStyle w:val="ListParagraph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pStyle w:val="ListParagraph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popunjen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formular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stečajni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likvidacije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dospele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pravosnažna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osuđivani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većinskom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svrha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investiranja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preduzetnici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F2592" w:rsidRPr="009B258C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9B258C" w:rsidRDefault="009B258C" w:rsidP="002F25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trgovina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maloprodaja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veleprodaja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2F2592" w:rsidRPr="009B258C" w:rsidRDefault="009B258C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vojne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sreću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čelika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sintetičkih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vlakana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vađenje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       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sposoban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sopstvenim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akcionara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poverilaca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spreči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gubitke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intervencije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kratkoročno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srednjoročno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ugrozili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opstanak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9B258C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-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dugove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ograničena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izgubio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polovine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osnovnog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poslednjih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izgubio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četvrtine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osnovnog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-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 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jedno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neograničeno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odgovora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dugove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prikazano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kapital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smanjen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polovine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poslednjih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izgubljeno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četvrtine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 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9B258C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-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otvaranje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stečajnog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ispunjen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nijedan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očigledni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pokazatelji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ukazuju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gubitaka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zaliha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višak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novčanih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tokova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porast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kamata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pad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nulta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najvećim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nesposoban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insolventan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otvoren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stečajni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osnovan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malom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srednjem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otvaranje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stečajnog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(2013, 2014, 2015.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prekoračila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evra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dinarskoj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protivvrednosti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</w:p>
    <w:p w:rsidR="002F2592" w:rsidRPr="009B258C" w:rsidRDefault="009B258C" w:rsidP="002F2592">
      <w:pPr>
        <w:numPr>
          <w:ilvl w:val="1"/>
          <w:numId w:val="9"/>
        </w:numPr>
        <w:tabs>
          <w:tab w:val="left" w:pos="1134"/>
        </w:tabs>
        <w:spacing w:after="0" w:line="240" w:lineRule="auto"/>
        <w:ind w:firstLine="34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2F2592" w:rsidRPr="009B258C" w:rsidRDefault="002F2592" w:rsidP="002F2592">
      <w:pPr>
        <w:spacing w:after="0" w:line="240" w:lineRule="auto"/>
        <w:ind w:left="2771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Pr="009B258C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2F2592" w:rsidRPr="009B258C">
        <w:rPr>
          <w:rFonts w:ascii="Times New Roman" w:hAnsi="Times New Roman"/>
          <w:noProof/>
          <w:color w:val="1F497D"/>
          <w:sz w:val="24"/>
          <w:szCs w:val="24"/>
          <w:lang w:val="sr-Latn-CS"/>
        </w:rPr>
        <w:t xml:space="preserve"> </w:t>
      </w:r>
      <w:hyperlink r:id="rId7" w:history="1">
        <w:r w:rsidR="002F2592" w:rsidRPr="009B258C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www.mpriv.gov.rs</w:t>
        </w:r>
      </w:hyperlink>
      <w:r w:rsidR="002F2592" w:rsidRPr="009B258C">
        <w:rPr>
          <w:rFonts w:ascii="Times New Roman" w:hAnsi="Times New Roman"/>
          <w:noProof/>
          <w:color w:val="1F497D"/>
          <w:sz w:val="24"/>
          <w:szCs w:val="24"/>
          <w:lang w:val="sr-Latn-CS"/>
        </w:rPr>
        <w:t xml:space="preserve"> </w:t>
      </w:r>
      <w:r w:rsidR="002F2592" w:rsidRPr="009B258C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hyperlink r:id="rId8" w:history="1">
        <w:r w:rsidR="002F2592" w:rsidRPr="009B258C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www.narr.gov.rs</w:t>
        </w:r>
      </w:hyperlink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F2592" w:rsidRPr="009B258C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Preduzetničkog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servisa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2F2592" w:rsidRPr="009B258C">
        <w:rPr>
          <w:noProof/>
          <w:lang w:val="sr-Latn-CS"/>
        </w:rPr>
        <w:t xml:space="preserve"> </w:t>
      </w:r>
      <w:hyperlink r:id="rId9" w:history="1">
        <w:r w:rsidR="002F2592" w:rsidRPr="009B258C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www.preduzetnickiservis.rs</w:t>
        </w:r>
      </w:hyperlink>
      <w:r w:rsidR="002F2592" w:rsidRPr="009B258C">
        <w:rPr>
          <w:rStyle w:val="Hyperlink"/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otvoren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utroše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ekspozituri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filijali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popunjenog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dokazuje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5.1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5.2.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zadovoljavaju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predali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odbijen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prvobitan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numPr>
          <w:ilvl w:val="1"/>
          <w:numId w:val="9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2F2592" w:rsidRPr="009B258C" w:rsidRDefault="002F2592" w:rsidP="002F2592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ocenjuje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primljenim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nedeljnom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9B258C" w:rsidP="002F2592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redosledu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noProof/>
          <w:sz w:val="24"/>
          <w:szCs w:val="24"/>
          <w:lang w:val="sr-Latn-CS"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Radi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potpunijeg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sagledavanja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kvaliteta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predložene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aktivnosti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Komisija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zatraži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pojašnjenja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predloga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verifikaciju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noProof/>
          <w:sz w:val="24"/>
          <w:szCs w:val="24"/>
          <w:lang w:val="sr-Latn-CS"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Komisija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se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sastaje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jednom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nedeljno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tokom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trajanja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Javnog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poziva</w:t>
      </w:r>
      <w:r w:rsidR="002F2592"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F2592" w:rsidRPr="009B258C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de minimis </w:t>
      </w:r>
      <w:r>
        <w:rPr>
          <w:rFonts w:ascii="Times New Roman" w:hAnsi="Times New Roman"/>
          <w:noProof/>
          <w:sz w:val="24"/>
          <w:szCs w:val="24"/>
          <w:lang w:val="sr-Latn-CS"/>
        </w:rPr>
        <w:t>drž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vna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poslovna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subjekat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sklapaju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kreditu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Kandidati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vratiti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onaj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zaveden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odustali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dodeljenih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potpiše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sklopljen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ništavim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obavezu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sklapanja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dodeljenih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otuđi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prilaže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blanko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nenamensko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zloupotrebe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sklapanja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kursnih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snosi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podnosilac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sklapanju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uplate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preneti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odobrena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bespovratna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namenski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odobren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celokupan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uplatiti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profakturi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predugovoru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kopiju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fakture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kopiju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proslede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5.5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prigovoru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Kandidati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odbila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preporučenom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Kneza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Miloša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12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</w:p>
    <w:p w:rsidR="002F2592" w:rsidRPr="009B258C" w:rsidRDefault="002F2592" w:rsidP="002F2592">
      <w:pPr>
        <w:spacing w:after="0" w:line="240" w:lineRule="auto"/>
        <w:ind w:left="180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Odabir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9B258C" w:rsidRDefault="002F2592" w:rsidP="002F2592">
      <w:p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sr-Latn-CS"/>
        </w:rPr>
      </w:pP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raspisati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primati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2F2592" w:rsidRPr="009B258C">
        <w:rPr>
          <w:rFonts w:ascii="Times New Roman" w:hAnsi="Times New Roman"/>
          <w:noProof/>
          <w:color w:val="1F497D"/>
          <w:sz w:val="24"/>
          <w:szCs w:val="24"/>
          <w:lang w:val="sr-Latn-CS"/>
        </w:rPr>
        <w:t xml:space="preserve"> </w:t>
      </w:r>
      <w:hyperlink r:id="rId10" w:history="1">
        <w:r w:rsidR="002F2592" w:rsidRPr="009B258C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www.mpriv.gov.rs</w:t>
        </w:r>
      </w:hyperlink>
      <w:r w:rsidR="002F2592" w:rsidRPr="009B258C">
        <w:rPr>
          <w:rFonts w:ascii="Times New Roman" w:hAnsi="Times New Roman"/>
          <w:noProof/>
          <w:color w:val="1F497D"/>
          <w:sz w:val="24"/>
          <w:szCs w:val="24"/>
          <w:lang w:val="sr-Latn-CS"/>
        </w:rPr>
        <w:t xml:space="preserve"> </w:t>
      </w:r>
      <w:r w:rsidR="002F2592" w:rsidRPr="009B258C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hyperlink r:id="rId11" w:history="1">
        <w:r w:rsidR="002F2592" w:rsidRPr="009B258C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www.narr.gov.rs</w:t>
        </w:r>
      </w:hyperlink>
      <w:r w:rsidR="002F2592" w:rsidRPr="009B258C">
        <w:rPr>
          <w:noProof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upućeni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posluju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pozivom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dokumentacija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dostavljaju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9B258C" w:rsidP="002F2592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Pregledanje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rangiranje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 w:eastAsia="en-US"/>
        </w:rPr>
      </w:pP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ab/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Radi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potpunijeg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sagledavanja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kvaliteta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predložene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aktivnosti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,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Komisija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prijava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može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tražiti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dodatna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pojašnjenja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predloga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i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/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ili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obaviti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intervju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sa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bankom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,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podnosiocem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prijave</w:t>
      </w:r>
      <w:r w:rsidRPr="009B258C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.</w:t>
      </w:r>
    </w:p>
    <w:p w:rsidR="002F2592" w:rsidRPr="009B258C" w:rsidRDefault="009B258C" w:rsidP="002F2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Obavezujući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krediti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odobravaju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9B258C" w:rsidRDefault="009B258C" w:rsidP="002F2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period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9B258C" w:rsidRDefault="009B258C" w:rsidP="002F259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kupovine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hipoteka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9B258C" w:rsidRDefault="009B258C" w:rsidP="002F2592">
      <w:pPr>
        <w:numPr>
          <w:ilvl w:val="0"/>
          <w:numId w:val="5"/>
        </w:numPr>
        <w:spacing w:after="0" w:line="240" w:lineRule="auto"/>
        <w:jc w:val="both"/>
        <w:rPr>
          <w:noProof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potencijalni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troškovi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naknade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ukupnom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iznosu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2F2592" w:rsidRPr="009B258C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1%;</w:t>
      </w:r>
    </w:p>
    <w:p w:rsidR="002F2592" w:rsidRPr="009B258C" w:rsidRDefault="009B258C" w:rsidP="002F259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2F259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Kriterijum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čnosti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</w:p>
    <w:p w:rsidR="002F2592" w:rsidRPr="009B258C" w:rsidRDefault="002F259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8"/>
        <w:gridCol w:w="1680"/>
        <w:gridCol w:w="1709"/>
        <w:gridCol w:w="2707"/>
      </w:tblGrid>
      <w:tr w:rsidR="002F2592" w:rsidRPr="009B258C" w:rsidTr="00943C42">
        <w:trPr>
          <w:gridAfter w:val="3"/>
          <w:wAfter w:w="3396" w:type="pct"/>
          <w:trHeight w:val="253"/>
        </w:trPr>
        <w:tc>
          <w:tcPr>
            <w:tcW w:w="1604" w:type="pct"/>
            <w:vMerge w:val="restart"/>
            <w:shd w:val="clear" w:color="auto" w:fill="D9D9D9"/>
            <w:vAlign w:val="center"/>
          </w:tcPr>
          <w:p w:rsidR="002F2592" w:rsidRPr="009B258C" w:rsidRDefault="009B258C" w:rsidP="00943C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Ročnost</w:t>
            </w:r>
          </w:p>
        </w:tc>
      </w:tr>
      <w:tr w:rsidR="002F2592" w:rsidRPr="009B258C" w:rsidTr="00943C42">
        <w:tc>
          <w:tcPr>
            <w:tcW w:w="1604" w:type="pct"/>
            <w:vMerge/>
            <w:shd w:val="clear" w:color="auto" w:fill="D9D9D9"/>
            <w:vAlign w:val="center"/>
          </w:tcPr>
          <w:p w:rsidR="002F2592" w:rsidRPr="009B258C" w:rsidRDefault="002F2592" w:rsidP="00943C42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396" w:type="pct"/>
            <w:gridSpan w:val="3"/>
            <w:shd w:val="clear" w:color="auto" w:fill="D9D9D9"/>
            <w:vAlign w:val="center"/>
          </w:tcPr>
          <w:p w:rsidR="002F2592" w:rsidRPr="009B258C" w:rsidRDefault="009B258C" w:rsidP="00943C42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Efektivna</w:t>
            </w:r>
            <w:r w:rsidR="002F2592" w:rsidRPr="009B258C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kamatna</w:t>
            </w:r>
            <w:r w:rsidR="002F2592" w:rsidRPr="009B258C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stopa</w:t>
            </w:r>
            <w:r w:rsidR="002F2592" w:rsidRPr="009B258C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EKS</w:t>
            </w:r>
            <w:r w:rsidR="002F2592" w:rsidRPr="009B258C">
              <w:rPr>
                <w:rFonts w:ascii="Times New Roman" w:hAnsi="Times New Roman"/>
                <w:noProof/>
                <w:lang w:val="sr-Latn-CS"/>
              </w:rPr>
              <w:t>)</w:t>
            </w:r>
          </w:p>
        </w:tc>
      </w:tr>
      <w:tr w:rsidR="002F2592" w:rsidRPr="009B258C" w:rsidTr="00943C42">
        <w:tc>
          <w:tcPr>
            <w:tcW w:w="1604" w:type="pct"/>
            <w:vMerge/>
            <w:shd w:val="clear" w:color="auto" w:fill="D9D9D9"/>
            <w:vAlign w:val="center"/>
          </w:tcPr>
          <w:p w:rsidR="002F2592" w:rsidRPr="009B258C" w:rsidRDefault="002F2592" w:rsidP="00943C42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888" w:type="pct"/>
            <w:gridSpan w:val="2"/>
            <w:shd w:val="clear" w:color="auto" w:fill="D9D9D9"/>
            <w:vAlign w:val="center"/>
          </w:tcPr>
          <w:p w:rsidR="002F2592" w:rsidRPr="009B258C" w:rsidRDefault="009B258C" w:rsidP="00943C42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Dinarski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2F2592" w:rsidRPr="009B258C" w:rsidRDefault="009B258C" w:rsidP="00943C42">
            <w:pPr>
              <w:spacing w:after="0"/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Valutna</w:t>
            </w:r>
            <w:r w:rsidR="002F2592" w:rsidRPr="009B258C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klauzula</w:t>
            </w:r>
            <w:r w:rsidR="002F2592" w:rsidRPr="009B258C">
              <w:rPr>
                <w:rFonts w:ascii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lang w:val="sr-Latn-CS"/>
              </w:rPr>
              <w:t>EUR</w:t>
            </w:r>
            <w:r w:rsidR="002F2592" w:rsidRPr="009B258C">
              <w:rPr>
                <w:rFonts w:ascii="Times New Roman" w:hAnsi="Times New Roman"/>
                <w:noProof/>
                <w:lang w:val="sr-Latn-CS"/>
              </w:rPr>
              <w:t>)</w:t>
            </w:r>
          </w:p>
        </w:tc>
      </w:tr>
      <w:tr w:rsidR="002F2592" w:rsidRPr="009B258C" w:rsidTr="00943C42">
        <w:tc>
          <w:tcPr>
            <w:tcW w:w="1604" w:type="pct"/>
            <w:vMerge/>
            <w:shd w:val="clear" w:color="auto" w:fill="D9D9D9"/>
            <w:vAlign w:val="center"/>
          </w:tcPr>
          <w:p w:rsidR="002F2592" w:rsidRPr="009B258C" w:rsidRDefault="002F2592" w:rsidP="00943C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936" w:type="pct"/>
            <w:shd w:val="clear" w:color="auto" w:fill="D9D9D9"/>
            <w:vAlign w:val="center"/>
          </w:tcPr>
          <w:p w:rsidR="002F2592" w:rsidRPr="009B258C" w:rsidRDefault="009B258C" w:rsidP="00943C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lang w:val="sr-Latn-CS"/>
              </w:rPr>
              <w:t>fiksna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2F2592" w:rsidRPr="009B258C" w:rsidRDefault="009B258C" w:rsidP="00943C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lang w:val="sr-Latn-CS"/>
              </w:rPr>
              <w:t>varijabilna</w:t>
            </w:r>
            <w:r w:rsidR="002F2592" w:rsidRPr="009B258C">
              <w:rPr>
                <w:rFonts w:ascii="Times New Roman" w:hAnsi="Times New Roman"/>
                <w:noProof/>
                <w:sz w:val="18"/>
                <w:lang w:val="sr-Latn-CS"/>
              </w:rPr>
              <w:t xml:space="preserve"> 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2F2592" w:rsidRPr="009B258C" w:rsidRDefault="009B258C" w:rsidP="00943C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lang w:val="sr-Latn-CS"/>
              </w:rPr>
              <w:t>fiksna</w:t>
            </w:r>
          </w:p>
        </w:tc>
      </w:tr>
      <w:tr w:rsidR="002F2592" w:rsidRPr="009B258C" w:rsidTr="00943C42">
        <w:tc>
          <w:tcPr>
            <w:tcW w:w="1604" w:type="pct"/>
          </w:tcPr>
          <w:p w:rsidR="002F2592" w:rsidRPr="009B258C" w:rsidRDefault="002F2592" w:rsidP="002F25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lang w:val="sr-Latn-CS"/>
              </w:rPr>
            </w:pPr>
            <w:r w:rsidRPr="009B258C">
              <w:rPr>
                <w:rFonts w:ascii="Times New Roman" w:hAnsi="Times New Roman"/>
                <w:noProof/>
                <w:lang w:val="sr-Latn-CS"/>
              </w:rPr>
              <w:t xml:space="preserve">18 </w:t>
            </w:r>
            <w:r w:rsidR="009B258C">
              <w:rPr>
                <w:rFonts w:ascii="Times New Roman" w:hAnsi="Times New Roman"/>
                <w:noProof/>
                <w:lang w:val="sr-Latn-CS"/>
              </w:rPr>
              <w:t>meseci</w:t>
            </w:r>
          </w:p>
        </w:tc>
        <w:tc>
          <w:tcPr>
            <w:tcW w:w="936" w:type="pct"/>
          </w:tcPr>
          <w:p w:rsidR="002F2592" w:rsidRPr="009B258C" w:rsidRDefault="002F2592" w:rsidP="00943C42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lang w:val="sr-Latn-CS"/>
              </w:rPr>
            </w:pPr>
          </w:p>
        </w:tc>
        <w:tc>
          <w:tcPr>
            <w:tcW w:w="952" w:type="pct"/>
          </w:tcPr>
          <w:p w:rsidR="002F2592" w:rsidRPr="009B258C" w:rsidRDefault="002F2592" w:rsidP="00943C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lang w:val="sr-Latn-CS"/>
              </w:rPr>
            </w:pPr>
          </w:p>
        </w:tc>
        <w:tc>
          <w:tcPr>
            <w:tcW w:w="1508" w:type="pct"/>
          </w:tcPr>
          <w:p w:rsidR="002F2592" w:rsidRPr="009B258C" w:rsidRDefault="002F2592" w:rsidP="00943C42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lang w:val="sr-Latn-CS"/>
              </w:rPr>
            </w:pPr>
          </w:p>
        </w:tc>
      </w:tr>
      <w:tr w:rsidR="002F2592" w:rsidRPr="009B258C" w:rsidTr="00943C42">
        <w:tc>
          <w:tcPr>
            <w:tcW w:w="1604" w:type="pct"/>
          </w:tcPr>
          <w:p w:rsidR="002F2592" w:rsidRPr="009B258C" w:rsidRDefault="002F2592" w:rsidP="002F25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lang w:val="sr-Latn-CS"/>
              </w:rPr>
            </w:pPr>
            <w:r w:rsidRPr="009B258C">
              <w:rPr>
                <w:rFonts w:ascii="Times New Roman" w:hAnsi="Times New Roman"/>
                <w:noProof/>
                <w:lang w:val="sr-Latn-CS"/>
              </w:rPr>
              <w:t xml:space="preserve">36 </w:t>
            </w:r>
            <w:r w:rsidR="009B258C">
              <w:rPr>
                <w:rFonts w:ascii="Times New Roman" w:hAnsi="Times New Roman"/>
                <w:noProof/>
                <w:lang w:val="sr-Latn-CS"/>
              </w:rPr>
              <w:t>meseci</w:t>
            </w:r>
          </w:p>
        </w:tc>
        <w:tc>
          <w:tcPr>
            <w:tcW w:w="936" w:type="pct"/>
          </w:tcPr>
          <w:p w:rsidR="002F2592" w:rsidRPr="009B258C" w:rsidRDefault="002F2592" w:rsidP="00943C42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lang w:val="sr-Latn-CS"/>
              </w:rPr>
            </w:pPr>
          </w:p>
        </w:tc>
        <w:tc>
          <w:tcPr>
            <w:tcW w:w="952" w:type="pct"/>
          </w:tcPr>
          <w:p w:rsidR="002F2592" w:rsidRPr="009B258C" w:rsidRDefault="002F2592" w:rsidP="00943C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lang w:val="sr-Latn-CS"/>
              </w:rPr>
            </w:pPr>
          </w:p>
        </w:tc>
        <w:tc>
          <w:tcPr>
            <w:tcW w:w="1508" w:type="pct"/>
          </w:tcPr>
          <w:p w:rsidR="002F2592" w:rsidRPr="009B258C" w:rsidRDefault="002F2592" w:rsidP="00943C42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lang w:val="sr-Latn-CS"/>
              </w:rPr>
            </w:pPr>
          </w:p>
        </w:tc>
      </w:tr>
      <w:tr w:rsidR="002F2592" w:rsidRPr="009B258C" w:rsidTr="00943C42">
        <w:tc>
          <w:tcPr>
            <w:tcW w:w="1604" w:type="pct"/>
          </w:tcPr>
          <w:p w:rsidR="002F2592" w:rsidRPr="009B258C" w:rsidRDefault="002F2592" w:rsidP="002F25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lang w:val="sr-Latn-CS"/>
              </w:rPr>
            </w:pPr>
            <w:r w:rsidRPr="009B258C">
              <w:rPr>
                <w:rFonts w:ascii="Times New Roman" w:hAnsi="Times New Roman"/>
                <w:noProof/>
                <w:lang w:val="sr-Latn-CS"/>
              </w:rPr>
              <w:t xml:space="preserve">60 </w:t>
            </w:r>
            <w:r w:rsidR="009B258C">
              <w:rPr>
                <w:rFonts w:ascii="Times New Roman" w:hAnsi="Times New Roman"/>
                <w:noProof/>
                <w:lang w:val="sr-Latn-CS"/>
              </w:rPr>
              <w:t>meseci</w:t>
            </w:r>
          </w:p>
        </w:tc>
        <w:tc>
          <w:tcPr>
            <w:tcW w:w="936" w:type="pct"/>
          </w:tcPr>
          <w:p w:rsidR="002F2592" w:rsidRPr="009B258C" w:rsidRDefault="002F2592" w:rsidP="00943C42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lang w:val="sr-Latn-CS"/>
              </w:rPr>
            </w:pPr>
          </w:p>
        </w:tc>
        <w:tc>
          <w:tcPr>
            <w:tcW w:w="952" w:type="pct"/>
          </w:tcPr>
          <w:p w:rsidR="002F2592" w:rsidRPr="009B258C" w:rsidRDefault="002F2592" w:rsidP="00943C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lang w:val="sr-Latn-CS"/>
              </w:rPr>
            </w:pPr>
          </w:p>
        </w:tc>
        <w:tc>
          <w:tcPr>
            <w:tcW w:w="1508" w:type="pct"/>
          </w:tcPr>
          <w:p w:rsidR="002F2592" w:rsidRPr="009B258C" w:rsidRDefault="002F2592" w:rsidP="00943C42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lang w:val="sr-Latn-CS"/>
              </w:rPr>
            </w:pPr>
          </w:p>
        </w:tc>
      </w:tr>
    </w:tbl>
    <w:p w:rsidR="002F2592" w:rsidRPr="009B258C" w:rsidRDefault="009B258C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2F2592" w:rsidRPr="009B258C" w:rsidRDefault="002F259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2F259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Napomena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dostavile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ponudu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navedenim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kriterijumima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Tabele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diskvalifikovane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rangiraju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ročnost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valutu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Sabiranjem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rangova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rangiranih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Kandidati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odbila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preporučenom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Kneza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Miloša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2F2592" w:rsidP="002F259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6.2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programa</w:t>
      </w:r>
    </w:p>
    <w:p w:rsidR="002F2592" w:rsidRPr="009B258C" w:rsidRDefault="002F2592" w:rsidP="002F2592">
      <w:pPr>
        <w:spacing w:after="0" w:line="240" w:lineRule="auto"/>
        <w:ind w:left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potpisati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Nacionalnu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preneti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zaključivanja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subjektima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namenske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račune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drugostepena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namenskog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mogućim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nepravilnostima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namenskog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prevremeno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otplatili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9B258C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trojni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redovnog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izveštavanja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eventualnim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nepravilnostima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zloupotrebama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sklapanju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poslovnim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preneti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celokupna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podračun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9B258C" w:rsidRDefault="009B258C" w:rsidP="002F259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</w:p>
    <w:p w:rsidR="002F2592" w:rsidRPr="009B258C" w:rsidRDefault="002F2592" w:rsidP="002F2592">
      <w:pPr>
        <w:spacing w:after="0" w:line="240" w:lineRule="auto"/>
        <w:ind w:left="180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namensku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Ministarstvom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9B258C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B258C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Komisiji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momentu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omogućena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finansijsku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B258C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0342B" w:rsidRPr="009B258C" w:rsidRDefault="009B258C" w:rsidP="003F71B3">
      <w:pPr>
        <w:spacing w:after="0"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završetku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2F2592" w:rsidRPr="009B258C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50342B" w:rsidRPr="009B258C" w:rsidSect="000D3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78" w:rsidRDefault="00B66E78" w:rsidP="009B258C">
      <w:pPr>
        <w:spacing w:after="0" w:line="240" w:lineRule="auto"/>
      </w:pPr>
      <w:r>
        <w:separator/>
      </w:r>
    </w:p>
  </w:endnote>
  <w:endnote w:type="continuationSeparator" w:id="0">
    <w:p w:rsidR="00B66E78" w:rsidRDefault="00B66E78" w:rsidP="009B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C" w:rsidRDefault="009B25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C" w:rsidRDefault="009B25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C" w:rsidRDefault="009B2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78" w:rsidRDefault="00B66E78" w:rsidP="009B258C">
      <w:pPr>
        <w:spacing w:after="0" w:line="240" w:lineRule="auto"/>
      </w:pPr>
      <w:r>
        <w:separator/>
      </w:r>
    </w:p>
  </w:footnote>
  <w:footnote w:type="continuationSeparator" w:id="0">
    <w:p w:rsidR="00B66E78" w:rsidRDefault="00B66E78" w:rsidP="009B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C" w:rsidRDefault="009B25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C" w:rsidRDefault="009B25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C" w:rsidRDefault="009B2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5F7"/>
    <w:multiLevelType w:val="hybridMultilevel"/>
    <w:tmpl w:val="42D676CE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DE66BB7"/>
    <w:multiLevelType w:val="hybridMultilevel"/>
    <w:tmpl w:val="445E20C4"/>
    <w:lvl w:ilvl="0" w:tplc="23B079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66A0"/>
    <w:multiLevelType w:val="multilevel"/>
    <w:tmpl w:val="062C478E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31B76DEC"/>
    <w:multiLevelType w:val="multilevel"/>
    <w:tmpl w:val="6F7A19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4D0E6A"/>
    <w:multiLevelType w:val="hybridMultilevel"/>
    <w:tmpl w:val="2CC25A9C"/>
    <w:lvl w:ilvl="0" w:tplc="C54EEF6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8A3942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F7287"/>
    <w:multiLevelType w:val="hybridMultilevel"/>
    <w:tmpl w:val="240C6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1A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3247"/>
    <w:multiLevelType w:val="hybridMultilevel"/>
    <w:tmpl w:val="E0E08F2A"/>
    <w:lvl w:ilvl="0" w:tplc="241A0011">
      <w:start w:val="1"/>
      <w:numFmt w:val="decimal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C9623D7"/>
    <w:multiLevelType w:val="hybridMultilevel"/>
    <w:tmpl w:val="7BF87702"/>
    <w:lvl w:ilvl="0" w:tplc="23B079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1C3716"/>
    <w:multiLevelType w:val="hybridMultilevel"/>
    <w:tmpl w:val="741CF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728A"/>
    <w:rsid w:val="0002787A"/>
    <w:rsid w:val="00065150"/>
    <w:rsid w:val="000D359E"/>
    <w:rsid w:val="00112868"/>
    <w:rsid w:val="001955D3"/>
    <w:rsid w:val="001E71FF"/>
    <w:rsid w:val="002D13A9"/>
    <w:rsid w:val="002F2592"/>
    <w:rsid w:val="003C3DBB"/>
    <w:rsid w:val="003E240E"/>
    <w:rsid w:val="003F71B3"/>
    <w:rsid w:val="0046728A"/>
    <w:rsid w:val="004A20AD"/>
    <w:rsid w:val="0050342B"/>
    <w:rsid w:val="0051159A"/>
    <w:rsid w:val="005E050F"/>
    <w:rsid w:val="005E6BE6"/>
    <w:rsid w:val="0062599B"/>
    <w:rsid w:val="006A12FD"/>
    <w:rsid w:val="006B4B79"/>
    <w:rsid w:val="007E4CA7"/>
    <w:rsid w:val="007F1EEE"/>
    <w:rsid w:val="00802896"/>
    <w:rsid w:val="00826B88"/>
    <w:rsid w:val="00864AA9"/>
    <w:rsid w:val="00866461"/>
    <w:rsid w:val="0088359A"/>
    <w:rsid w:val="008B4379"/>
    <w:rsid w:val="00917012"/>
    <w:rsid w:val="00970D82"/>
    <w:rsid w:val="009716DA"/>
    <w:rsid w:val="009B258C"/>
    <w:rsid w:val="00A56807"/>
    <w:rsid w:val="00A94D05"/>
    <w:rsid w:val="00A95AEF"/>
    <w:rsid w:val="00AF33B2"/>
    <w:rsid w:val="00B10533"/>
    <w:rsid w:val="00B66E78"/>
    <w:rsid w:val="00B70E4A"/>
    <w:rsid w:val="00B7778C"/>
    <w:rsid w:val="00C20298"/>
    <w:rsid w:val="00CD4591"/>
    <w:rsid w:val="00D32958"/>
    <w:rsid w:val="00D653CF"/>
    <w:rsid w:val="00EF07ED"/>
    <w:rsid w:val="00F33CA2"/>
    <w:rsid w:val="00F37F41"/>
    <w:rsid w:val="00F8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41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2F2592"/>
  </w:style>
  <w:style w:type="paragraph" w:styleId="ListParagraph">
    <w:name w:val="List Paragraph"/>
    <w:basedOn w:val="Normal"/>
    <w:uiPriority w:val="34"/>
    <w:qFormat/>
    <w:rsid w:val="002F2592"/>
    <w:pPr>
      <w:ind w:left="720"/>
      <w:contextualSpacing/>
    </w:pPr>
  </w:style>
  <w:style w:type="character" w:styleId="Hyperlink">
    <w:name w:val="Hyperlink"/>
    <w:uiPriority w:val="99"/>
    <w:unhideWhenUsed/>
    <w:rsid w:val="002F2592"/>
    <w:rPr>
      <w:color w:val="0000FF"/>
      <w:u w:val="single"/>
    </w:rPr>
  </w:style>
  <w:style w:type="paragraph" w:customStyle="1" w:styleId="Text1">
    <w:name w:val="Text 1"/>
    <w:basedOn w:val="Normal"/>
    <w:rsid w:val="002F2592"/>
    <w:pPr>
      <w:spacing w:after="240" w:line="240" w:lineRule="auto"/>
      <w:ind w:left="482"/>
      <w:jc w:val="both"/>
    </w:pPr>
    <w:rPr>
      <w:rFonts w:ascii="Times New Roman" w:hAnsi="Times New Roman"/>
      <w:snapToGrid w:val="0"/>
      <w:sz w:val="24"/>
      <w:szCs w:val="20"/>
      <w:lang w:val="sr-Latn-C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B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58C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B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58C"/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41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2F2592"/>
  </w:style>
  <w:style w:type="paragraph" w:styleId="ListParagraph">
    <w:name w:val="List Paragraph"/>
    <w:basedOn w:val="Normal"/>
    <w:uiPriority w:val="34"/>
    <w:qFormat/>
    <w:rsid w:val="002F2592"/>
    <w:pPr>
      <w:ind w:left="720"/>
      <w:contextualSpacing/>
    </w:pPr>
  </w:style>
  <w:style w:type="character" w:styleId="Hyperlink">
    <w:name w:val="Hyperlink"/>
    <w:uiPriority w:val="99"/>
    <w:unhideWhenUsed/>
    <w:rsid w:val="002F2592"/>
    <w:rPr>
      <w:color w:val="0000FF"/>
      <w:u w:val="single"/>
    </w:rPr>
  </w:style>
  <w:style w:type="paragraph" w:customStyle="1" w:styleId="Text1">
    <w:name w:val="Text 1"/>
    <w:basedOn w:val="Normal"/>
    <w:rsid w:val="002F2592"/>
    <w:pPr>
      <w:spacing w:after="240" w:line="240" w:lineRule="auto"/>
      <w:ind w:left="482"/>
      <w:jc w:val="both"/>
    </w:pPr>
    <w:rPr>
      <w:rFonts w:ascii="Times New Roman" w:hAnsi="Times New Roman"/>
      <w:snapToGrid w:val="0"/>
      <w:sz w:val="24"/>
      <w:szCs w:val="20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r.gov.r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riv.gov.r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r.gov.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priv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duzetnickiservis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Savovic</dc:creator>
  <cp:lastModifiedBy>jovan</cp:lastModifiedBy>
  <cp:revision>2</cp:revision>
  <cp:lastPrinted>2015-09-18T11:36:00Z</cp:lastPrinted>
  <dcterms:created xsi:type="dcterms:W3CDTF">2015-09-22T09:12:00Z</dcterms:created>
  <dcterms:modified xsi:type="dcterms:W3CDTF">2015-09-22T09:12:00Z</dcterms:modified>
</cp:coreProperties>
</file>