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62" w:rsidRPr="00415E5C" w:rsidRDefault="00996762" w:rsidP="001A4396">
      <w:pPr>
        <w:tabs>
          <w:tab w:val="center" w:pos="4320"/>
          <w:tab w:val="left" w:pos="7155"/>
        </w:tabs>
        <w:rPr>
          <w:i/>
          <w:iCs/>
          <w:noProof/>
          <w:lang w:val="sr-Latn-CS"/>
        </w:rPr>
      </w:pPr>
      <w:bookmarkStart w:id="0" w:name="_GoBack"/>
      <w:bookmarkEnd w:id="0"/>
    </w:p>
    <w:p w:rsidR="00996762" w:rsidRPr="00415E5C" w:rsidRDefault="00996762" w:rsidP="007262AF">
      <w:pPr>
        <w:tabs>
          <w:tab w:val="center" w:pos="0"/>
        </w:tabs>
        <w:jc w:val="both"/>
        <w:rPr>
          <w:noProof/>
          <w:lang w:val="sr-Latn-CS"/>
        </w:rPr>
      </w:pPr>
      <w:r w:rsidRPr="00415E5C">
        <w:rPr>
          <w:noProof/>
          <w:lang w:val="sr-Latn-CS"/>
        </w:rPr>
        <w:tab/>
      </w:r>
      <w:r w:rsidR="00415E5C">
        <w:rPr>
          <w:noProof/>
          <w:lang w:val="sr-Latn-CS"/>
        </w:rPr>
        <w:t>Na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osnovu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člana</w:t>
      </w:r>
      <w:r w:rsidRPr="00415E5C">
        <w:rPr>
          <w:noProof/>
          <w:lang w:val="sr-Latn-CS"/>
        </w:rPr>
        <w:t xml:space="preserve"> 82. </w:t>
      </w:r>
      <w:r w:rsidR="00415E5C">
        <w:rPr>
          <w:noProof/>
          <w:lang w:val="sr-Latn-CS"/>
        </w:rPr>
        <w:t>Zakona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o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železnici</w:t>
      </w:r>
      <w:r w:rsidRPr="00415E5C">
        <w:rPr>
          <w:noProof/>
          <w:lang w:val="sr-Latn-CS"/>
        </w:rPr>
        <w:t xml:space="preserve"> („</w:t>
      </w:r>
      <w:r w:rsidR="00415E5C">
        <w:rPr>
          <w:noProof/>
          <w:lang w:val="sr-Latn-CS"/>
        </w:rPr>
        <w:t>Službeni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glasnik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RS</w:t>
      </w:r>
      <w:r w:rsidR="00D00626" w:rsidRPr="00415E5C">
        <w:rPr>
          <w:noProof/>
          <w:lang w:val="sr-Latn-CS"/>
        </w:rPr>
        <w:t xml:space="preserve">”, </w:t>
      </w:r>
      <w:r w:rsidR="00415E5C">
        <w:rPr>
          <w:noProof/>
          <w:lang w:val="sr-Latn-CS"/>
        </w:rPr>
        <w:t>broj</w:t>
      </w:r>
      <w:r w:rsidR="00D00626" w:rsidRPr="00415E5C">
        <w:rPr>
          <w:noProof/>
          <w:lang w:val="sr-Latn-CS"/>
        </w:rPr>
        <w:t xml:space="preserve"> 45/</w:t>
      </w:r>
      <w:r w:rsidRPr="00415E5C">
        <w:rPr>
          <w:noProof/>
          <w:lang w:val="sr-Latn-CS"/>
        </w:rPr>
        <w:t xml:space="preserve">13) </w:t>
      </w:r>
      <w:r w:rsidR="00415E5C">
        <w:rPr>
          <w:noProof/>
          <w:lang w:val="sr-Latn-CS"/>
        </w:rPr>
        <w:t>i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član</w:t>
      </w:r>
      <w:r w:rsidRPr="00415E5C">
        <w:rPr>
          <w:noProof/>
          <w:lang w:val="sr-Latn-CS"/>
        </w:rPr>
        <w:t xml:space="preserve">a 42. </w:t>
      </w:r>
      <w:r w:rsidR="00415E5C">
        <w:rPr>
          <w:noProof/>
          <w:lang w:val="sr-Latn-CS"/>
        </w:rPr>
        <w:t>stav</w:t>
      </w:r>
      <w:r w:rsidRPr="00415E5C">
        <w:rPr>
          <w:noProof/>
          <w:lang w:val="sr-Latn-CS"/>
        </w:rPr>
        <w:t xml:space="preserve"> 1. </w:t>
      </w:r>
      <w:r w:rsidR="00415E5C">
        <w:rPr>
          <w:noProof/>
          <w:lang w:val="sr-Latn-CS"/>
        </w:rPr>
        <w:t>Zakona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o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Vladi</w:t>
      </w:r>
      <w:r w:rsidRPr="00415E5C">
        <w:rPr>
          <w:noProof/>
          <w:lang w:val="sr-Latn-CS"/>
        </w:rPr>
        <w:t xml:space="preserve"> („</w:t>
      </w:r>
      <w:r w:rsidR="00415E5C">
        <w:rPr>
          <w:noProof/>
          <w:lang w:val="sr-Latn-CS"/>
        </w:rPr>
        <w:t>Službeni</w:t>
      </w:r>
      <w:r w:rsidR="00D00626"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glasnik</w:t>
      </w:r>
      <w:r w:rsidR="00D00626"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RS</w:t>
      </w:r>
      <w:r w:rsidR="00D00626" w:rsidRPr="00415E5C">
        <w:rPr>
          <w:noProof/>
          <w:lang w:val="sr-Latn-CS"/>
        </w:rPr>
        <w:t xml:space="preserve">”, </w:t>
      </w:r>
      <w:r w:rsidR="00415E5C">
        <w:rPr>
          <w:noProof/>
          <w:lang w:val="sr-Latn-CS"/>
        </w:rPr>
        <w:t>br</w:t>
      </w:r>
      <w:r w:rsidR="00D00626" w:rsidRPr="00415E5C">
        <w:rPr>
          <w:noProof/>
          <w:lang w:val="sr-Latn-CS"/>
        </w:rPr>
        <w:t>. 55/05,</w:t>
      </w:r>
      <w:r w:rsidRPr="00415E5C">
        <w:rPr>
          <w:noProof/>
          <w:lang w:val="sr-Latn-CS"/>
        </w:rPr>
        <w:t xml:space="preserve"> 71/05 – </w:t>
      </w:r>
      <w:r w:rsidR="00415E5C">
        <w:rPr>
          <w:noProof/>
          <w:lang w:val="sr-Latn-CS"/>
        </w:rPr>
        <w:t>ispravka</w:t>
      </w:r>
      <w:r w:rsidRPr="00415E5C">
        <w:rPr>
          <w:noProof/>
          <w:lang w:val="sr-Latn-CS"/>
        </w:rPr>
        <w:t xml:space="preserve">, 101/07, 65/08, 16/11, 68/12 – </w:t>
      </w:r>
      <w:r w:rsidR="00415E5C">
        <w:rPr>
          <w:noProof/>
          <w:lang w:val="sr-Latn-CS"/>
        </w:rPr>
        <w:t>US</w:t>
      </w:r>
      <w:r w:rsidRPr="00415E5C">
        <w:rPr>
          <w:noProof/>
          <w:lang w:val="sr-Latn-CS"/>
        </w:rPr>
        <w:t xml:space="preserve">, 72/12, 7/14 – </w:t>
      </w:r>
      <w:r w:rsidR="00415E5C">
        <w:rPr>
          <w:noProof/>
          <w:lang w:val="sr-Latn-CS"/>
        </w:rPr>
        <w:t>US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i</w:t>
      </w:r>
      <w:r w:rsidRPr="00415E5C">
        <w:rPr>
          <w:noProof/>
          <w:lang w:val="sr-Latn-CS"/>
        </w:rPr>
        <w:t xml:space="preserve"> 44/14), </w:t>
      </w:r>
    </w:p>
    <w:p w:rsidR="00996762" w:rsidRPr="00415E5C" w:rsidRDefault="00996762" w:rsidP="007262AF">
      <w:pPr>
        <w:tabs>
          <w:tab w:val="center" w:pos="0"/>
          <w:tab w:val="left" w:pos="3060"/>
        </w:tabs>
        <w:jc w:val="both"/>
        <w:rPr>
          <w:i/>
          <w:iCs/>
          <w:noProof/>
          <w:lang w:val="sr-Latn-CS"/>
        </w:rPr>
      </w:pPr>
      <w:r w:rsidRPr="00415E5C">
        <w:rPr>
          <w:i/>
          <w:iCs/>
          <w:noProof/>
          <w:lang w:val="sr-Latn-CS"/>
        </w:rPr>
        <w:t xml:space="preserve"> </w:t>
      </w:r>
      <w:r w:rsidRPr="00415E5C">
        <w:rPr>
          <w:i/>
          <w:iCs/>
          <w:noProof/>
          <w:lang w:val="sr-Latn-CS"/>
        </w:rPr>
        <w:tab/>
      </w:r>
    </w:p>
    <w:p w:rsidR="00996762" w:rsidRPr="00415E5C" w:rsidRDefault="00415E5C" w:rsidP="00806887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996762" w:rsidRPr="00415E5C">
        <w:rPr>
          <w:noProof/>
          <w:lang w:val="sr-Latn-CS"/>
        </w:rPr>
        <w:t xml:space="preserve"> </w:t>
      </w:r>
      <w:r w:rsidR="00996762" w:rsidRPr="00415E5C">
        <w:rPr>
          <w:noProof/>
          <w:lang w:val="sr-Latn-CS"/>
        </w:rPr>
        <w:tab/>
      </w:r>
      <w:r w:rsidR="00996762" w:rsidRPr="00415E5C">
        <w:rPr>
          <w:noProof/>
          <w:lang w:val="sr-Latn-CS"/>
        </w:rPr>
        <w:tab/>
      </w:r>
    </w:p>
    <w:p w:rsidR="00996762" w:rsidRPr="00415E5C" w:rsidRDefault="00996762" w:rsidP="007262AF">
      <w:pPr>
        <w:tabs>
          <w:tab w:val="left" w:pos="2908"/>
        </w:tabs>
        <w:jc w:val="both"/>
        <w:rPr>
          <w:b/>
          <w:bCs/>
          <w:caps/>
          <w:noProof/>
          <w:lang w:val="sr-Latn-CS"/>
        </w:rPr>
      </w:pPr>
      <w:r w:rsidRPr="00415E5C">
        <w:rPr>
          <w:b/>
          <w:bCs/>
          <w:caps/>
          <w:noProof/>
          <w:lang w:val="sr-Latn-CS"/>
        </w:rPr>
        <w:tab/>
      </w:r>
    </w:p>
    <w:p w:rsidR="00996762" w:rsidRPr="00415E5C" w:rsidRDefault="00996762" w:rsidP="007262AF">
      <w:pPr>
        <w:tabs>
          <w:tab w:val="left" w:pos="2908"/>
        </w:tabs>
        <w:jc w:val="both"/>
        <w:rPr>
          <w:b/>
          <w:bCs/>
          <w:caps/>
          <w:noProof/>
          <w:lang w:val="sr-Latn-CS"/>
        </w:rPr>
      </w:pPr>
    </w:p>
    <w:p w:rsidR="00996762" w:rsidRPr="00415E5C" w:rsidRDefault="00415E5C" w:rsidP="008C3F0C">
      <w:pPr>
        <w:jc w:val="center"/>
        <w:rPr>
          <w:caps/>
          <w:noProof/>
          <w:lang w:val="sr-Latn-CS"/>
        </w:rPr>
      </w:pPr>
      <w:r>
        <w:rPr>
          <w:caps/>
          <w:noProof/>
          <w:lang w:val="sr-Latn-CS"/>
        </w:rPr>
        <w:t>U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R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E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D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B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U</w:t>
      </w:r>
    </w:p>
    <w:p w:rsidR="00996762" w:rsidRPr="00415E5C" w:rsidRDefault="00415E5C" w:rsidP="008C3F0C">
      <w:pPr>
        <w:jc w:val="center"/>
        <w:rPr>
          <w:caps/>
          <w:noProof/>
          <w:lang w:val="sr-Latn-CS"/>
        </w:rPr>
      </w:pPr>
      <w:r>
        <w:rPr>
          <w:caps/>
          <w:noProof/>
          <w:lang w:val="sr-Latn-CS"/>
        </w:rPr>
        <w:t>O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ODVIJANJU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KOMBINOVANOG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TRANSPORTA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DO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I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OD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TERMINALA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ZA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KOMBINOVANI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TRANSPORT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KOJI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SE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NALAZI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NA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ŽELEZNIČKOJ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MREŽI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I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ODREĐIVANJU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DOKUMENATA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KOJE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DRUMSKI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PREVOZNIK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TREBA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DA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POSEDUJE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U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OBAVLJANJU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TOG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VIDA</w:t>
      </w:r>
      <w:r w:rsidR="00996762" w:rsidRPr="00415E5C">
        <w:rPr>
          <w:caps/>
          <w:noProof/>
          <w:lang w:val="sr-Latn-CS"/>
        </w:rPr>
        <w:t xml:space="preserve"> </w:t>
      </w:r>
      <w:r>
        <w:rPr>
          <w:caps/>
          <w:noProof/>
          <w:lang w:val="sr-Latn-CS"/>
        </w:rPr>
        <w:t>TRANSPORTA</w:t>
      </w:r>
    </w:p>
    <w:p w:rsidR="00996762" w:rsidRPr="00415E5C" w:rsidRDefault="00996762" w:rsidP="008C3F0C">
      <w:pPr>
        <w:jc w:val="center"/>
        <w:rPr>
          <w:caps/>
          <w:noProof/>
          <w:lang w:val="sr-Latn-CS"/>
        </w:rPr>
      </w:pPr>
    </w:p>
    <w:p w:rsidR="00996762" w:rsidRPr="00415E5C" w:rsidRDefault="00996762" w:rsidP="00774B4A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noProof/>
          <w:lang w:val="sr-Latn-CS"/>
        </w:rPr>
      </w:pPr>
    </w:p>
    <w:p w:rsidR="00D62B2C" w:rsidRPr="00415E5C" w:rsidRDefault="00D62B2C" w:rsidP="008C3F0C">
      <w:pPr>
        <w:jc w:val="center"/>
        <w:rPr>
          <w:noProof/>
          <w:lang w:val="sr-Latn-CS"/>
        </w:rPr>
      </w:pPr>
    </w:p>
    <w:p w:rsidR="00D62B2C" w:rsidRPr="00415E5C" w:rsidRDefault="00415E5C" w:rsidP="00D62B2C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D62B2C" w:rsidRPr="00415E5C">
        <w:rPr>
          <w:rFonts w:ascii="Times New Roman" w:hAnsi="Times New Roman" w:cs="Times New Roman"/>
          <w:noProof/>
          <w:lang w:val="sr-Latn-CS"/>
        </w:rPr>
        <w:t xml:space="preserve"> 1.</w:t>
      </w:r>
    </w:p>
    <w:p w:rsidR="00D62B2C" w:rsidRPr="00415E5C" w:rsidRDefault="00D62B2C" w:rsidP="00D62B2C">
      <w:pPr>
        <w:jc w:val="both"/>
        <w:rPr>
          <w:noProof/>
          <w:lang w:val="sr-Latn-CS"/>
        </w:rPr>
      </w:pPr>
      <w:r w:rsidRPr="00415E5C">
        <w:rPr>
          <w:noProof/>
          <w:lang w:val="sr-Latn-CS"/>
        </w:rPr>
        <w:tab/>
      </w:r>
      <w:r w:rsidR="00415E5C">
        <w:rPr>
          <w:noProof/>
          <w:lang w:val="sr-Latn-CS"/>
        </w:rPr>
        <w:t>Ovom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uredbom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bliže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se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uređuje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odvijanje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kombinovanog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transporta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do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i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od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terminala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za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kombinovani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transport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koji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se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nalazi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na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železničkoj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mreži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i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određivanju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dokumenata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koje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drumski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prevoznik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treba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da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poseduje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u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obavljanju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tog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vida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transporta</w:t>
      </w:r>
      <w:r w:rsidRPr="00415E5C">
        <w:rPr>
          <w:noProof/>
          <w:lang w:val="sr-Latn-CS"/>
        </w:rPr>
        <w:t>.</w:t>
      </w:r>
    </w:p>
    <w:p w:rsidR="00D62B2C" w:rsidRPr="00415E5C" w:rsidRDefault="00D62B2C" w:rsidP="008C3F0C">
      <w:pPr>
        <w:jc w:val="center"/>
        <w:rPr>
          <w:noProof/>
          <w:lang w:val="sr-Latn-CS"/>
        </w:rPr>
      </w:pPr>
    </w:p>
    <w:p w:rsidR="00996762" w:rsidRPr="00415E5C" w:rsidRDefault="00415E5C" w:rsidP="008C3F0C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96762" w:rsidRPr="00415E5C">
        <w:rPr>
          <w:noProof/>
          <w:lang w:val="sr-Latn-CS"/>
        </w:rPr>
        <w:t xml:space="preserve"> 2.</w:t>
      </w:r>
    </w:p>
    <w:p w:rsidR="00996762" w:rsidRPr="00415E5C" w:rsidRDefault="00996762" w:rsidP="00927668">
      <w:pPr>
        <w:jc w:val="both"/>
        <w:rPr>
          <w:noProof/>
          <w:lang w:val="sr-Latn-CS"/>
        </w:rPr>
      </w:pPr>
    </w:p>
    <w:p w:rsidR="00996762" w:rsidRPr="00415E5C" w:rsidRDefault="00415E5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Pojedini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izrazi</w:t>
      </w:r>
      <w:r w:rsidR="00996762" w:rsidRPr="00415E5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ov</w:t>
      </w:r>
      <w:r w:rsidR="00996762" w:rsidRPr="00415E5C">
        <w:rPr>
          <w:noProof/>
          <w:lang w:val="sr-Latn-CS"/>
        </w:rPr>
        <w:t xml:space="preserve">e </w:t>
      </w:r>
      <w:r>
        <w:rPr>
          <w:noProof/>
          <w:lang w:val="sr-Latn-CS"/>
        </w:rPr>
        <w:t>uredbe</w:t>
      </w:r>
      <w:r w:rsidR="00996762" w:rsidRPr="00415E5C">
        <w:rPr>
          <w:noProof/>
          <w:lang w:val="sr-Latn-CS"/>
        </w:rPr>
        <w:t xml:space="preserve">, </w:t>
      </w:r>
      <w:r>
        <w:rPr>
          <w:noProof/>
          <w:lang w:val="sr-Latn-CS"/>
        </w:rPr>
        <w:t>imaju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značenje</w:t>
      </w:r>
      <w:r w:rsidR="00996762" w:rsidRPr="00415E5C">
        <w:rPr>
          <w:noProof/>
          <w:lang w:val="sr-Latn-CS"/>
        </w:rPr>
        <w:t>:</w:t>
      </w:r>
    </w:p>
    <w:p w:rsidR="00996762" w:rsidRPr="00415E5C" w:rsidRDefault="00415E5C" w:rsidP="00BE1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noProof/>
          <w:lang w:val="sr-Latn-CS"/>
        </w:rPr>
        <w:t>intermodalna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označava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izmenjivi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sud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kontener</w:t>
      </w:r>
      <w:r w:rsidR="00996762" w:rsidRPr="00415E5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poluprikolicu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prikolicu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pogodnu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dizanje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dizalicom</w:t>
      </w:r>
      <w:r w:rsidR="00996762" w:rsidRPr="00415E5C">
        <w:rPr>
          <w:noProof/>
          <w:lang w:val="sr-Latn-CS"/>
        </w:rPr>
        <w:t>;</w:t>
      </w:r>
    </w:p>
    <w:p w:rsidR="00996762" w:rsidRPr="00415E5C" w:rsidRDefault="00415E5C" w:rsidP="00BE1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noProof/>
          <w:lang w:val="sr-Latn-CS"/>
        </w:rPr>
        <w:t>terminal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označava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mesto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intermodalnih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transportnih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vid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996762" w:rsidRPr="00415E5C">
        <w:rPr>
          <w:noProof/>
          <w:lang w:val="sr-Latn-CS"/>
        </w:rPr>
        <w:t>;</w:t>
      </w:r>
    </w:p>
    <w:p w:rsidR="00996762" w:rsidRPr="00415E5C" w:rsidRDefault="00415E5C" w:rsidP="00507BC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noProof/>
          <w:lang w:val="sr-Latn-CS"/>
        </w:rPr>
        <w:t>transport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996762" w:rsidRPr="00415E5C">
        <w:rPr>
          <w:noProof/>
          <w:lang w:val="sr-Latn-CS"/>
        </w:rPr>
        <w:t xml:space="preserve">  </w:t>
      </w:r>
      <w:r>
        <w:rPr>
          <w:noProof/>
          <w:lang w:val="sr-Latn-CS"/>
        </w:rPr>
        <w:t>za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996762" w:rsidRPr="00415E5C">
        <w:rPr>
          <w:noProof/>
          <w:lang w:val="sr-Latn-CS"/>
        </w:rPr>
        <w:t xml:space="preserve"> (</w:t>
      </w:r>
      <w:r>
        <w:rPr>
          <w:noProof/>
          <w:lang w:val="sr-Latn-CS"/>
        </w:rPr>
        <w:t>početni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završni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prevoznog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996762" w:rsidRPr="00415E5C">
        <w:rPr>
          <w:noProof/>
          <w:lang w:val="sr-Latn-CS"/>
        </w:rPr>
        <w:t xml:space="preserve">) </w:t>
      </w:r>
      <w:r>
        <w:rPr>
          <w:noProof/>
          <w:lang w:val="sr-Latn-CS"/>
        </w:rPr>
        <w:t>označava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intermodalnih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transportnih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996762" w:rsidRPr="00415E5C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graničnog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prelaza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otpreme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najbližeg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996762" w:rsidRPr="00415E5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najbližeg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graničnog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prelaza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odredišta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određenom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putnom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996762" w:rsidRPr="00415E5C">
        <w:rPr>
          <w:noProof/>
          <w:lang w:val="sr-Latn-CS"/>
        </w:rPr>
        <w:t>;</w:t>
      </w:r>
    </w:p>
    <w:p w:rsidR="00996762" w:rsidRPr="00415E5C" w:rsidRDefault="00415E5C" w:rsidP="00507BC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noProof/>
          <w:lang w:val="sr-Latn-CS"/>
        </w:rPr>
        <w:t>izmenjivi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sud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označava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tovarnu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jedinicu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prilagođenu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dimenzijama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ugrađenom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opremom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različitih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996762" w:rsidRPr="00415E5C">
        <w:rPr>
          <w:noProof/>
          <w:lang w:val="sr-Latn-CS"/>
        </w:rPr>
        <w:t xml:space="preserve"> (</w:t>
      </w:r>
      <w:r>
        <w:rPr>
          <w:noProof/>
          <w:lang w:val="sr-Latn-CS"/>
        </w:rPr>
        <w:t>drumski</w:t>
      </w:r>
      <w:r w:rsidR="00996762" w:rsidRPr="00415E5C">
        <w:rPr>
          <w:noProof/>
          <w:lang w:val="sr-Latn-CS"/>
        </w:rPr>
        <w:t>/</w:t>
      </w:r>
      <w:r>
        <w:rPr>
          <w:noProof/>
          <w:lang w:val="sr-Latn-CS"/>
        </w:rPr>
        <w:t>železnički</w:t>
      </w:r>
      <w:r w:rsidR="00996762" w:rsidRPr="00415E5C">
        <w:rPr>
          <w:noProof/>
          <w:lang w:val="sr-Latn-CS"/>
        </w:rPr>
        <w:t>);</w:t>
      </w:r>
    </w:p>
    <w:p w:rsidR="00996762" w:rsidRPr="00415E5C" w:rsidRDefault="00415E5C" w:rsidP="003656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noProof/>
          <w:lang w:val="sr-Latn-CS"/>
        </w:rPr>
        <w:t>CMR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tovarni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list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996762" w:rsidRPr="00415E5C">
        <w:rPr>
          <w:noProof/>
          <w:lang w:val="sr-Latn-CS"/>
        </w:rPr>
        <w:t>;</w:t>
      </w:r>
    </w:p>
    <w:p w:rsidR="00996762" w:rsidRPr="00415E5C" w:rsidRDefault="00415E5C" w:rsidP="00BE1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noProof/>
          <w:lang w:val="sr-Latn-CS"/>
        </w:rPr>
        <w:t>otpremnica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stvari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prevozi</w:t>
      </w:r>
      <w:r w:rsidR="00996762" w:rsidRPr="00415E5C">
        <w:rPr>
          <w:noProof/>
          <w:lang w:val="sr-Latn-CS"/>
        </w:rPr>
        <w:t>;</w:t>
      </w:r>
    </w:p>
    <w:p w:rsidR="00996762" w:rsidRPr="00415E5C" w:rsidRDefault="00415E5C" w:rsidP="000F775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noProof/>
          <w:lang w:val="sr-Latn-CS"/>
        </w:rPr>
        <w:t>pretovarni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kolosek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kolosek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intermodalnih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transportnih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996762" w:rsidRPr="00415E5C">
        <w:rPr>
          <w:noProof/>
          <w:lang w:val="sr-Latn-CS"/>
        </w:rPr>
        <w:t>;</w:t>
      </w:r>
    </w:p>
    <w:p w:rsidR="00996762" w:rsidRPr="00415E5C" w:rsidRDefault="00415E5C" w:rsidP="00BE1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noProof/>
          <w:lang w:val="sr-Latn-CS"/>
        </w:rPr>
        <w:t>domaći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</w:t>
      </w:r>
      <w:r w:rsidR="00CA095C" w:rsidRPr="00415E5C">
        <w:rPr>
          <w:noProof/>
          <w:lang w:val="sr-Latn-CS"/>
        </w:rPr>
        <w:t>,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prebivalište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96762" w:rsidRPr="00415E5C">
        <w:rPr>
          <w:noProof/>
          <w:lang w:val="sr-Latn-CS"/>
        </w:rPr>
        <w:t>;</w:t>
      </w:r>
    </w:p>
    <w:p w:rsidR="00996762" w:rsidRPr="00415E5C" w:rsidRDefault="00415E5C" w:rsidP="00BE1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noProof/>
          <w:lang w:val="sr-Latn-CS"/>
        </w:rPr>
        <w:t>strani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</w:t>
      </w:r>
      <w:r w:rsidR="00CA095C" w:rsidRPr="00415E5C">
        <w:rPr>
          <w:noProof/>
          <w:lang w:val="sr-Latn-CS"/>
        </w:rPr>
        <w:t>,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prebivalište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996762" w:rsidRPr="00415E5C">
        <w:rPr>
          <w:noProof/>
          <w:lang w:val="sr-Latn-CS"/>
        </w:rPr>
        <w:t>;</w:t>
      </w:r>
    </w:p>
    <w:p w:rsidR="00996762" w:rsidRPr="00415E5C" w:rsidRDefault="00996762" w:rsidP="00F26B1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lang w:val="sr-Latn-CS"/>
        </w:rPr>
      </w:pP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nagradna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dozvola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je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javna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isprava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kojom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se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stranom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prevozniku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dozvoljava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pristup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i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kretanje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na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teritoriji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Republike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Srbije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pod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uslovima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propisanim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u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dozvoli</w:t>
      </w:r>
      <w:r w:rsidRPr="00415E5C">
        <w:rPr>
          <w:noProof/>
          <w:lang w:val="sr-Latn-CS"/>
        </w:rPr>
        <w:t>.</w:t>
      </w:r>
    </w:p>
    <w:p w:rsidR="00996762" w:rsidRPr="00415E5C" w:rsidRDefault="00996762" w:rsidP="008839B1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noProof/>
          <w:lang w:val="sr-Latn-CS"/>
        </w:rPr>
      </w:pPr>
    </w:p>
    <w:p w:rsidR="00996762" w:rsidRPr="00415E5C" w:rsidRDefault="00415E5C" w:rsidP="00ED4CB9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3.</w:t>
      </w:r>
    </w:p>
    <w:p w:rsidR="00996762" w:rsidRPr="00415E5C" w:rsidRDefault="00996762" w:rsidP="00ED4CB9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 w:cs="Times New Roman"/>
          <w:noProof/>
          <w:lang w:val="sr-Latn-CS"/>
        </w:rPr>
      </w:pPr>
    </w:p>
    <w:p w:rsidR="00996762" w:rsidRPr="00415E5C" w:rsidRDefault="00415E5C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 w:cs="Times New Roman"/>
          <w:noProof/>
          <w:color w:val="FF0000"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Kombinovani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transport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odvija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preko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terminala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kombinovani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transport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nalaze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železničkoj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mreži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opremljeni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pretovarnim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kolosecima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opremom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pretovar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jednog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vid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prevoza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površinom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privremeno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skladištenje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intermodalnih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transportnih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jedinica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itd</w:t>
      </w:r>
      <w:r w:rsidR="00996762" w:rsidRPr="00415E5C">
        <w:rPr>
          <w:rFonts w:ascii="Times New Roman" w:hAnsi="Times New Roman" w:cs="Times New Roman"/>
          <w:noProof/>
          <w:lang w:val="sr-Latn-CS"/>
        </w:rPr>
        <w:t>.</w:t>
      </w:r>
    </w:p>
    <w:p w:rsidR="00996762" w:rsidRPr="00415E5C" w:rsidRDefault="00415E5C" w:rsidP="00DE1451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Ministar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nadležan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saobraćaja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određuje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terminale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kombinovani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transport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železničkoj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mreži</w:t>
      </w:r>
      <w:r w:rsidR="00996762" w:rsidRPr="00415E5C">
        <w:rPr>
          <w:rFonts w:ascii="Times New Roman" w:hAnsi="Times New Roman" w:cs="Times New Roman"/>
          <w:noProof/>
          <w:lang w:val="sr-Latn-CS"/>
        </w:rPr>
        <w:t>.</w:t>
      </w:r>
    </w:p>
    <w:p w:rsidR="00996762" w:rsidRPr="00415E5C" w:rsidRDefault="00996762" w:rsidP="008C3F0C">
      <w:pPr>
        <w:pStyle w:val="Header"/>
        <w:jc w:val="center"/>
        <w:rPr>
          <w:rFonts w:ascii="Times New Roman" w:hAnsi="Times New Roman" w:cs="Times New Roman"/>
          <w:noProof/>
          <w:lang w:val="sr-Latn-CS"/>
        </w:rPr>
      </w:pPr>
    </w:p>
    <w:p w:rsidR="00996762" w:rsidRPr="00415E5C" w:rsidRDefault="00415E5C" w:rsidP="008C3F0C">
      <w:pPr>
        <w:pStyle w:val="Header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4.</w:t>
      </w:r>
    </w:p>
    <w:p w:rsidR="00996762" w:rsidRPr="00415E5C" w:rsidRDefault="00996762" w:rsidP="00927668">
      <w:pPr>
        <w:pStyle w:val="Header"/>
        <w:rPr>
          <w:rFonts w:ascii="Times New Roman" w:hAnsi="Times New Roman" w:cs="Times New Roman"/>
          <w:noProof/>
          <w:lang w:val="sr-Latn-CS"/>
        </w:rPr>
      </w:pPr>
    </w:p>
    <w:p w:rsidR="00996762" w:rsidRPr="00415E5C" w:rsidRDefault="00415E5C" w:rsidP="005F438D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Transport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prevozom</w:t>
      </w:r>
      <w:r w:rsidR="00996762" w:rsidRPr="00415E5C">
        <w:rPr>
          <w:noProof/>
          <w:lang w:val="sr-Latn-CS"/>
        </w:rPr>
        <w:t xml:space="preserve"> (</w:t>
      </w:r>
      <w:r>
        <w:rPr>
          <w:noProof/>
          <w:lang w:val="sr-Latn-CS"/>
        </w:rPr>
        <w:t>početni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završni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prevoznog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996762" w:rsidRPr="00415E5C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duži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96762" w:rsidRPr="00415E5C">
        <w:rPr>
          <w:noProof/>
          <w:lang w:val="sr-Latn-CS"/>
        </w:rPr>
        <w:t xml:space="preserve"> 150 km </w:t>
      </w:r>
      <w:r>
        <w:rPr>
          <w:noProof/>
          <w:lang w:val="sr-Latn-CS"/>
        </w:rPr>
        <w:t>u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996762" w:rsidRPr="00415E5C">
        <w:rPr>
          <w:noProof/>
          <w:lang w:val="sr-Latn-CS"/>
        </w:rPr>
        <w:t>.</w:t>
      </w:r>
    </w:p>
    <w:p w:rsidR="00996762" w:rsidRPr="00415E5C" w:rsidRDefault="00996762" w:rsidP="00BF26BE">
      <w:pPr>
        <w:pStyle w:val="Header"/>
        <w:tabs>
          <w:tab w:val="clear" w:pos="4320"/>
          <w:tab w:val="clear" w:pos="8640"/>
          <w:tab w:val="center" w:pos="0"/>
        </w:tabs>
        <w:jc w:val="left"/>
        <w:rPr>
          <w:noProof/>
          <w:lang w:val="sr-Latn-CS"/>
        </w:rPr>
      </w:pPr>
      <w:r w:rsidRPr="00415E5C">
        <w:rPr>
          <w:noProof/>
          <w:lang w:val="sr-Latn-CS"/>
        </w:rPr>
        <w:tab/>
      </w:r>
      <w:r w:rsidR="00415E5C">
        <w:rPr>
          <w:noProof/>
          <w:lang w:val="sr-Latn-CS"/>
        </w:rPr>
        <w:t>Transport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do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i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od</w:t>
      </w:r>
      <w:r w:rsidRPr="00415E5C">
        <w:rPr>
          <w:noProof/>
          <w:lang w:val="sr-Latn-CS"/>
        </w:rPr>
        <w:t xml:space="preserve"> </w:t>
      </w:r>
      <w:r w:rsidR="00415E5C">
        <w:rPr>
          <w:noProof/>
          <w:lang w:val="sr-Latn-CS"/>
        </w:rPr>
        <w:t>terminala</w:t>
      </w:r>
      <w:r w:rsidRPr="00415E5C">
        <w:rPr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iz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stava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1. </w:t>
      </w:r>
      <w:r w:rsidR="00415E5C">
        <w:rPr>
          <w:rFonts w:ascii="Times New Roman" w:hAnsi="Times New Roman" w:cs="Times New Roman"/>
          <w:noProof/>
          <w:lang w:val="sr-Latn-CS"/>
        </w:rPr>
        <w:t>ovog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člana</w:t>
      </w:r>
      <w:r w:rsidRPr="00415E5C">
        <w:rPr>
          <w:noProof/>
          <w:lang w:val="sr-Latn-CS"/>
        </w:rPr>
        <w:t>:</w:t>
      </w:r>
    </w:p>
    <w:p w:rsidR="00996762" w:rsidRPr="00415E5C" w:rsidRDefault="00415E5C" w:rsidP="0092766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podlaže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zabranama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saobraćaja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putevima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snazi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subotom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nedeljom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državnim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praznicima</w:t>
      </w:r>
      <w:r w:rsidR="00996762" w:rsidRPr="00415E5C">
        <w:rPr>
          <w:rFonts w:ascii="Times New Roman" w:hAnsi="Times New Roman" w:cs="Times New Roman"/>
          <w:noProof/>
          <w:lang w:val="sr-Latn-CS"/>
        </w:rPr>
        <w:t>;</w:t>
      </w:r>
    </w:p>
    <w:p w:rsidR="00996762" w:rsidRPr="00415E5C" w:rsidRDefault="00415E5C" w:rsidP="0092766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omogućava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prevoz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drumskim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vozilima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bruto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mase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44 t; </w:t>
      </w:r>
    </w:p>
    <w:p w:rsidR="00996762" w:rsidRPr="00415E5C" w:rsidRDefault="00415E5C" w:rsidP="0092766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oslobođen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potrebe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posedovanja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dozvole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obavljanje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međunarodnog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drumskog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prevoza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stvari</w:t>
      </w:r>
      <w:r w:rsidR="00996762" w:rsidRPr="00415E5C">
        <w:rPr>
          <w:rFonts w:ascii="Times New Roman" w:hAnsi="Times New Roman" w:cs="Times New Roman"/>
          <w:noProof/>
          <w:lang w:val="sr-Latn-CS"/>
        </w:rPr>
        <w:t>;</w:t>
      </w:r>
    </w:p>
    <w:p w:rsidR="00996762" w:rsidRPr="00415E5C" w:rsidRDefault="00415E5C" w:rsidP="0092766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omogućava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nagradne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dozvole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stranim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prevoznicima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osnovu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korišćenja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kombinovanog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transporta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skladu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međunarodnim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ugovorima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drugim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međunarodno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pravnim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aktima</w:t>
      </w:r>
      <w:r w:rsidR="00996762" w:rsidRPr="00415E5C">
        <w:rPr>
          <w:rFonts w:ascii="Times New Roman" w:hAnsi="Times New Roman" w:cs="Times New Roman"/>
          <w:noProof/>
          <w:lang w:val="sr-Latn-CS"/>
        </w:rPr>
        <w:t>;</w:t>
      </w:r>
    </w:p>
    <w:p w:rsidR="00996762" w:rsidRPr="00415E5C" w:rsidRDefault="00415E5C" w:rsidP="00AC415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oslobađa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ograničenja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saobraćaja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putevima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utvrđena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posebnim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propisom</w:t>
      </w:r>
      <w:r w:rsidR="00996762" w:rsidRPr="00415E5C">
        <w:rPr>
          <w:rFonts w:ascii="Times New Roman" w:hAnsi="Times New Roman" w:cs="Times New Roman"/>
          <w:noProof/>
          <w:lang w:val="sr-Latn-CS"/>
        </w:rPr>
        <w:t>.</w:t>
      </w:r>
    </w:p>
    <w:p w:rsidR="00996762" w:rsidRPr="00415E5C" w:rsidRDefault="00415E5C" w:rsidP="00774B4A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Ministar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nadležan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saobraćaja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određuje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putne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pravce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transport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terminala</w:t>
      </w:r>
      <w:r w:rsidR="00996762" w:rsidRPr="00415E5C">
        <w:rPr>
          <w:rFonts w:ascii="Times New Roman" w:hAnsi="Times New Roman" w:cs="Times New Roman"/>
          <w:noProof/>
          <w:lang w:val="sr-Latn-CS"/>
        </w:rPr>
        <w:t>.</w:t>
      </w:r>
    </w:p>
    <w:p w:rsidR="00996762" w:rsidRPr="00415E5C" w:rsidRDefault="00996762" w:rsidP="00AC415A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noProof/>
          <w:lang w:val="sr-Latn-CS"/>
        </w:rPr>
      </w:pPr>
    </w:p>
    <w:p w:rsidR="00996762" w:rsidRPr="00415E5C" w:rsidRDefault="00415E5C" w:rsidP="00AC415A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5.</w:t>
      </w:r>
    </w:p>
    <w:p w:rsidR="00996762" w:rsidRPr="00415E5C" w:rsidRDefault="00996762" w:rsidP="00927668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noProof/>
          <w:lang w:val="sr-Latn-CS"/>
        </w:rPr>
      </w:pPr>
    </w:p>
    <w:p w:rsidR="00996762" w:rsidRPr="00415E5C" w:rsidRDefault="00415E5C" w:rsidP="005F438D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Dokumenta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domaći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strani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drumski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prevoznik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treba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poseduje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dokazuje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obavlja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transport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terminala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kombinovani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transport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CMR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tovarni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list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drugi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međunarodno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priznati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tovarni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dokument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otpremnica</w:t>
      </w:r>
      <w:r w:rsidR="00996762" w:rsidRPr="00415E5C">
        <w:rPr>
          <w:rFonts w:ascii="Times New Roman" w:hAnsi="Times New Roman" w:cs="Times New Roman"/>
          <w:noProof/>
          <w:lang w:val="sr-Latn-CS"/>
        </w:rPr>
        <w:t>.</w:t>
      </w:r>
    </w:p>
    <w:p w:rsidR="00996762" w:rsidRPr="00415E5C" w:rsidRDefault="00415E5C" w:rsidP="00BF26BE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Dokumenta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moraju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čuvati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drumskom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vozilu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pokazati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uvid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nadležnom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organu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. </w:t>
      </w:r>
    </w:p>
    <w:p w:rsidR="00996762" w:rsidRPr="00415E5C" w:rsidRDefault="00996762" w:rsidP="008839B1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noProof/>
          <w:lang w:val="sr-Latn-CS"/>
        </w:rPr>
      </w:pPr>
    </w:p>
    <w:p w:rsidR="00996762" w:rsidRPr="00415E5C" w:rsidRDefault="00415E5C" w:rsidP="00BE14CF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6.</w:t>
      </w:r>
    </w:p>
    <w:p w:rsidR="00996762" w:rsidRPr="00415E5C" w:rsidRDefault="00996762" w:rsidP="00927668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 w:cs="Times New Roman"/>
          <w:noProof/>
          <w:lang w:val="sr-Latn-CS"/>
        </w:rPr>
      </w:pPr>
    </w:p>
    <w:p w:rsidR="00996762" w:rsidRPr="00415E5C" w:rsidRDefault="00415E5C" w:rsidP="007262AF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Propis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4.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hAnsi="Times New Roman" w:cs="Times New Roman"/>
          <w:noProof/>
          <w:lang w:val="sr-Latn-CS"/>
        </w:rPr>
        <w:t>doneće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30. </w:t>
      </w:r>
      <w:r>
        <w:rPr>
          <w:rFonts w:ascii="Times New Roman" w:hAnsi="Times New Roman" w:cs="Times New Roman"/>
          <w:noProof/>
          <w:lang w:val="sr-Latn-CS"/>
        </w:rPr>
        <w:t>juna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lang w:val="sr-Latn-CS"/>
        </w:rPr>
        <w:t>godine</w:t>
      </w:r>
      <w:r w:rsidR="00996762" w:rsidRPr="00415E5C">
        <w:rPr>
          <w:rFonts w:ascii="Times New Roman" w:hAnsi="Times New Roman" w:cs="Times New Roman"/>
          <w:noProof/>
          <w:lang w:val="sr-Latn-CS"/>
        </w:rPr>
        <w:t>.</w:t>
      </w:r>
    </w:p>
    <w:p w:rsidR="00BF1624" w:rsidRPr="00415E5C" w:rsidRDefault="00BF1624" w:rsidP="007262AF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 w:cs="Times New Roman"/>
          <w:noProof/>
          <w:lang w:val="sr-Latn-CS"/>
        </w:rPr>
      </w:pPr>
    </w:p>
    <w:p w:rsidR="00BF1624" w:rsidRPr="00415E5C" w:rsidRDefault="00BF1624" w:rsidP="007262AF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 w:cs="Times New Roman"/>
          <w:noProof/>
          <w:lang w:val="sr-Latn-CS"/>
        </w:rPr>
      </w:pPr>
    </w:p>
    <w:p w:rsidR="00996762" w:rsidRPr="00415E5C" w:rsidRDefault="00996762" w:rsidP="008839B1">
      <w:pPr>
        <w:pStyle w:val="Header"/>
        <w:tabs>
          <w:tab w:val="clear" w:pos="4320"/>
          <w:tab w:val="clear" w:pos="8640"/>
          <w:tab w:val="left" w:pos="4334"/>
        </w:tabs>
        <w:ind w:left="360"/>
        <w:rPr>
          <w:rFonts w:ascii="Times New Roman" w:hAnsi="Times New Roman" w:cs="Times New Roman"/>
          <w:noProof/>
          <w:lang w:val="sr-Latn-CS"/>
        </w:rPr>
      </w:pPr>
    </w:p>
    <w:p w:rsidR="00996762" w:rsidRPr="00415E5C" w:rsidRDefault="00415E5C" w:rsidP="00C6237F">
      <w:pPr>
        <w:pStyle w:val="Header"/>
        <w:ind w:left="36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996762" w:rsidRPr="00415E5C">
        <w:rPr>
          <w:rFonts w:ascii="Times New Roman" w:hAnsi="Times New Roman" w:cs="Times New Roman"/>
          <w:noProof/>
          <w:lang w:val="sr-Latn-CS"/>
        </w:rPr>
        <w:t xml:space="preserve"> 7.</w:t>
      </w:r>
    </w:p>
    <w:p w:rsidR="00996762" w:rsidRPr="00415E5C" w:rsidRDefault="00996762" w:rsidP="007262AF">
      <w:pPr>
        <w:pStyle w:val="Header"/>
        <w:tabs>
          <w:tab w:val="clear" w:pos="4320"/>
        </w:tabs>
        <w:ind w:firstLine="720"/>
        <w:rPr>
          <w:rFonts w:ascii="Times New Roman" w:hAnsi="Times New Roman" w:cs="Times New Roman"/>
          <w:noProof/>
          <w:lang w:val="sr-Latn-CS"/>
        </w:rPr>
      </w:pPr>
      <w:r w:rsidRPr="00415E5C">
        <w:rPr>
          <w:rFonts w:ascii="Times New Roman" w:hAnsi="Times New Roman" w:cs="Times New Roman"/>
          <w:noProof/>
          <w:lang w:val="sr-Latn-CS"/>
        </w:rPr>
        <w:tab/>
      </w:r>
      <w:r w:rsidR="00415E5C">
        <w:rPr>
          <w:rFonts w:ascii="Times New Roman" w:hAnsi="Times New Roman" w:cs="Times New Roman"/>
          <w:noProof/>
          <w:lang w:val="sr-Latn-CS"/>
        </w:rPr>
        <w:t>Ova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uredba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stupa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na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snagu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osmog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dana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od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dana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objavljivanja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u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„</w:t>
      </w:r>
      <w:r w:rsidR="00415E5C">
        <w:rPr>
          <w:rFonts w:ascii="Times New Roman" w:hAnsi="Times New Roman" w:cs="Times New Roman"/>
          <w:noProof/>
          <w:lang w:val="sr-Latn-CS"/>
        </w:rPr>
        <w:t>Službenom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glasniku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Republike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Srbije</w:t>
      </w:r>
      <w:r w:rsidRPr="00415E5C">
        <w:rPr>
          <w:rFonts w:ascii="Times New Roman" w:hAnsi="Times New Roman" w:cs="Times New Roman"/>
          <w:noProof/>
          <w:lang w:val="sr-Latn-CS"/>
        </w:rPr>
        <w:t xml:space="preserve">”,  </w:t>
      </w:r>
      <w:r w:rsidR="00415E5C">
        <w:rPr>
          <w:rFonts w:ascii="Times New Roman" w:hAnsi="Times New Roman" w:cs="Times New Roman"/>
          <w:noProof/>
          <w:lang w:val="sr-Latn-CS"/>
        </w:rPr>
        <w:t>a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primenjuje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se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</w:t>
      </w:r>
      <w:r w:rsidR="00415E5C">
        <w:rPr>
          <w:rFonts w:ascii="Times New Roman" w:hAnsi="Times New Roman" w:cs="Times New Roman"/>
          <w:noProof/>
          <w:lang w:val="sr-Latn-CS"/>
        </w:rPr>
        <w:t>od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1. </w:t>
      </w:r>
      <w:r w:rsidR="00415E5C">
        <w:rPr>
          <w:rFonts w:ascii="Times New Roman" w:hAnsi="Times New Roman" w:cs="Times New Roman"/>
          <w:noProof/>
          <w:lang w:val="sr-Latn-CS"/>
        </w:rPr>
        <w:t>januara</w:t>
      </w:r>
      <w:r w:rsidRPr="00415E5C">
        <w:rPr>
          <w:rFonts w:ascii="Times New Roman" w:hAnsi="Times New Roman" w:cs="Times New Roman"/>
          <w:noProof/>
          <w:lang w:val="sr-Latn-CS"/>
        </w:rPr>
        <w:t xml:space="preserve"> 2018. </w:t>
      </w:r>
      <w:r w:rsidR="00415E5C">
        <w:rPr>
          <w:rFonts w:ascii="Times New Roman" w:hAnsi="Times New Roman" w:cs="Times New Roman"/>
          <w:noProof/>
          <w:lang w:val="sr-Latn-CS"/>
        </w:rPr>
        <w:t>godine</w:t>
      </w:r>
      <w:r w:rsidRPr="00415E5C">
        <w:rPr>
          <w:rFonts w:ascii="Times New Roman" w:hAnsi="Times New Roman" w:cs="Times New Roman"/>
          <w:noProof/>
          <w:lang w:val="sr-Latn-CS"/>
        </w:rPr>
        <w:t>.</w:t>
      </w:r>
    </w:p>
    <w:p w:rsidR="00996762" w:rsidRPr="00415E5C" w:rsidRDefault="00996762" w:rsidP="007262AF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 w:cs="Times New Roman"/>
          <w:noProof/>
          <w:lang w:val="sr-Latn-CS"/>
        </w:rPr>
      </w:pPr>
      <w:r w:rsidRPr="00415E5C">
        <w:rPr>
          <w:rFonts w:ascii="Times New Roman" w:hAnsi="Times New Roman" w:cs="Times New Roman"/>
          <w:noProof/>
          <w:lang w:val="sr-Latn-CS"/>
        </w:rPr>
        <w:tab/>
      </w:r>
    </w:p>
    <w:p w:rsidR="00996762" w:rsidRPr="00415E5C" w:rsidRDefault="00996762" w:rsidP="00BD6039">
      <w:pPr>
        <w:pStyle w:val="BodyTextIndent2"/>
        <w:ind w:left="0"/>
        <w:rPr>
          <w:noProof/>
          <w:lang w:val="sr-Latn-CS"/>
        </w:rPr>
      </w:pPr>
    </w:p>
    <w:p w:rsidR="00996762" w:rsidRPr="00415E5C" w:rsidRDefault="00996762" w:rsidP="00BD6039">
      <w:pPr>
        <w:pStyle w:val="BodyTextIndent2"/>
        <w:ind w:left="0"/>
        <w:rPr>
          <w:noProof/>
          <w:lang w:val="sr-Latn-CS"/>
        </w:rPr>
      </w:pPr>
    </w:p>
    <w:p w:rsidR="00996762" w:rsidRPr="00415E5C" w:rsidRDefault="00996762" w:rsidP="00BD6039">
      <w:pPr>
        <w:pStyle w:val="BodyTextIndent2"/>
        <w:ind w:left="0"/>
        <w:rPr>
          <w:noProof/>
          <w:lang w:val="sr-Latn-CS"/>
        </w:rPr>
      </w:pPr>
    </w:p>
    <w:p w:rsidR="00996762" w:rsidRPr="00415E5C" w:rsidRDefault="00996762" w:rsidP="00BD6039">
      <w:pPr>
        <w:pStyle w:val="BodyTextIndent2"/>
        <w:ind w:left="0"/>
        <w:rPr>
          <w:noProof/>
          <w:lang w:val="sr-Latn-CS"/>
        </w:rPr>
      </w:pPr>
    </w:p>
    <w:p w:rsidR="00996762" w:rsidRPr="00415E5C" w:rsidRDefault="00996762" w:rsidP="00BD6039">
      <w:pPr>
        <w:pStyle w:val="BodyTextIndent2"/>
        <w:ind w:left="0"/>
        <w:rPr>
          <w:noProof/>
          <w:lang w:val="sr-Latn-CS"/>
        </w:rPr>
      </w:pPr>
      <w:r w:rsidRPr="00415E5C">
        <w:rPr>
          <w:noProof/>
          <w:lang w:val="sr-Latn-CS"/>
        </w:rPr>
        <w:t xml:space="preserve">05 </w:t>
      </w:r>
      <w:r w:rsidR="00415E5C">
        <w:rPr>
          <w:noProof/>
          <w:lang w:val="sr-Latn-CS"/>
        </w:rPr>
        <w:t>Broj</w:t>
      </w:r>
      <w:r w:rsidRPr="00415E5C">
        <w:rPr>
          <w:noProof/>
          <w:lang w:val="sr-Latn-CS"/>
        </w:rPr>
        <w:t xml:space="preserve">: </w:t>
      </w:r>
    </w:p>
    <w:p w:rsidR="00996762" w:rsidRPr="00415E5C" w:rsidRDefault="00415E5C" w:rsidP="00BD6039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96762" w:rsidRPr="00415E5C">
        <w:rPr>
          <w:noProof/>
          <w:lang w:val="sr-Latn-CS"/>
        </w:rPr>
        <w:t xml:space="preserve">,    </w:t>
      </w:r>
      <w:r w:rsidR="00996762" w:rsidRPr="00415E5C">
        <w:rPr>
          <w:noProof/>
          <w:lang w:val="sr-Latn-CS"/>
        </w:rPr>
        <w:tab/>
        <w:t xml:space="preserve">2015. </w:t>
      </w:r>
      <w:r>
        <w:rPr>
          <w:noProof/>
          <w:lang w:val="sr-Latn-CS"/>
        </w:rPr>
        <w:t>godine</w:t>
      </w:r>
    </w:p>
    <w:p w:rsidR="00996762" w:rsidRPr="00415E5C" w:rsidRDefault="00996762" w:rsidP="00BD6039">
      <w:pPr>
        <w:rPr>
          <w:noProof/>
          <w:lang w:val="sr-Latn-CS"/>
        </w:rPr>
      </w:pPr>
    </w:p>
    <w:p w:rsidR="00996762" w:rsidRPr="00415E5C" w:rsidRDefault="00415E5C" w:rsidP="00BD6039">
      <w:pPr>
        <w:pStyle w:val="BodyTextIndent2"/>
        <w:spacing w:line="360" w:lineRule="auto"/>
        <w:ind w:left="720"/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996762" w:rsidRPr="00415E5C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996762" w:rsidRPr="00415E5C">
        <w:rPr>
          <w:noProof/>
          <w:lang w:val="sr-Latn-CS"/>
        </w:rPr>
        <w:t xml:space="preserve"> </w:t>
      </w:r>
    </w:p>
    <w:p w:rsidR="00996762" w:rsidRPr="00415E5C" w:rsidRDefault="00996762" w:rsidP="00BD6039">
      <w:pPr>
        <w:rPr>
          <w:noProof/>
          <w:lang w:val="sr-Latn-CS"/>
        </w:rPr>
      </w:pPr>
    </w:p>
    <w:p w:rsidR="00996762" w:rsidRPr="00415E5C" w:rsidRDefault="00996762" w:rsidP="00BD6039">
      <w:pPr>
        <w:rPr>
          <w:noProof/>
          <w:lang w:val="sr-Latn-CS"/>
        </w:rPr>
      </w:pPr>
    </w:p>
    <w:p w:rsidR="00996762" w:rsidRPr="00415E5C" w:rsidRDefault="00996762" w:rsidP="00BD6039">
      <w:pPr>
        <w:jc w:val="right"/>
        <w:rPr>
          <w:noProof/>
          <w:lang w:val="sr-Latn-CS"/>
        </w:rPr>
      </w:pPr>
      <w:r w:rsidRPr="00415E5C">
        <w:rPr>
          <w:noProof/>
          <w:lang w:val="sr-Latn-CS"/>
        </w:rPr>
        <w:tab/>
      </w:r>
      <w:r w:rsidRPr="00415E5C">
        <w:rPr>
          <w:noProof/>
          <w:lang w:val="sr-Latn-CS"/>
        </w:rPr>
        <w:tab/>
      </w:r>
      <w:r w:rsidRPr="00415E5C">
        <w:rPr>
          <w:noProof/>
          <w:lang w:val="sr-Latn-CS"/>
        </w:rPr>
        <w:tab/>
      </w:r>
      <w:r w:rsidRPr="00415E5C">
        <w:rPr>
          <w:noProof/>
          <w:lang w:val="sr-Latn-CS"/>
        </w:rPr>
        <w:tab/>
      </w:r>
      <w:r w:rsidRPr="00415E5C">
        <w:rPr>
          <w:noProof/>
          <w:lang w:val="sr-Latn-CS"/>
        </w:rPr>
        <w:tab/>
      </w:r>
      <w:r w:rsidR="00415E5C">
        <w:rPr>
          <w:noProof/>
          <w:lang w:val="sr-Latn-CS"/>
        </w:rPr>
        <w:t>PREDSEDNIK</w:t>
      </w:r>
    </w:p>
    <w:p w:rsidR="00996762" w:rsidRPr="00415E5C" w:rsidRDefault="00996762" w:rsidP="00DE1C0C">
      <w:pPr>
        <w:pStyle w:val="Header"/>
        <w:tabs>
          <w:tab w:val="clear" w:pos="4320"/>
          <w:tab w:val="clear" w:pos="8640"/>
          <w:tab w:val="left" w:pos="1509"/>
        </w:tabs>
        <w:rPr>
          <w:rFonts w:ascii="Times New Roman" w:hAnsi="Times New Roman" w:cs="Times New Roman"/>
          <w:noProof/>
          <w:color w:val="FF0000"/>
          <w:lang w:val="sr-Latn-CS"/>
        </w:rPr>
      </w:pPr>
    </w:p>
    <w:sectPr w:rsidR="00996762" w:rsidRPr="00415E5C" w:rsidSect="00774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C7" w:rsidRDefault="006B4FC7">
      <w:r>
        <w:separator/>
      </w:r>
    </w:p>
  </w:endnote>
  <w:endnote w:type="continuationSeparator" w:id="0">
    <w:p w:rsidR="006B4FC7" w:rsidRDefault="006B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5C" w:rsidRDefault="00415E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62" w:rsidRDefault="00996762" w:rsidP="00D03BE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5C" w:rsidRDefault="00415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C7" w:rsidRDefault="006B4FC7">
      <w:r>
        <w:separator/>
      </w:r>
    </w:p>
  </w:footnote>
  <w:footnote w:type="continuationSeparator" w:id="0">
    <w:p w:rsidR="006B4FC7" w:rsidRDefault="006B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5C" w:rsidRDefault="00415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5C" w:rsidRDefault="00415E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5C" w:rsidRDefault="00415E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D62"/>
    <w:multiLevelType w:val="hybridMultilevel"/>
    <w:tmpl w:val="EB4C80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0430AC"/>
    <w:multiLevelType w:val="hybridMultilevel"/>
    <w:tmpl w:val="D6307A04"/>
    <w:lvl w:ilvl="0" w:tplc="8E6660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76847"/>
    <w:multiLevelType w:val="hybridMultilevel"/>
    <w:tmpl w:val="62B65A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5730"/>
    <w:multiLevelType w:val="hybridMultilevel"/>
    <w:tmpl w:val="0EB82D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0EC7"/>
    <w:multiLevelType w:val="hybridMultilevel"/>
    <w:tmpl w:val="D6307A04"/>
    <w:lvl w:ilvl="0" w:tplc="8E6660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6389"/>
    <w:multiLevelType w:val="hybridMultilevel"/>
    <w:tmpl w:val="656A2100"/>
    <w:lvl w:ilvl="0" w:tplc="8576A4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44ED8"/>
    <w:multiLevelType w:val="hybridMultilevel"/>
    <w:tmpl w:val="5FCC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45E9A"/>
    <w:multiLevelType w:val="hybridMultilevel"/>
    <w:tmpl w:val="527815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B6E18"/>
    <w:multiLevelType w:val="hybridMultilevel"/>
    <w:tmpl w:val="DF242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114A5"/>
    <w:multiLevelType w:val="hybridMultilevel"/>
    <w:tmpl w:val="3FEE1E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E2CC1"/>
    <w:multiLevelType w:val="hybridMultilevel"/>
    <w:tmpl w:val="B31841B0"/>
    <w:lvl w:ilvl="0" w:tplc="5E4E3A0E">
      <w:start w:val="1"/>
      <w:numFmt w:val="decimal"/>
      <w:lvlText w:val="(%1)"/>
      <w:lvlJc w:val="left"/>
      <w:pPr>
        <w:tabs>
          <w:tab w:val="num" w:pos="720"/>
        </w:tabs>
      </w:pPr>
      <w:rPr>
        <w:rFonts w:hint="default"/>
      </w:rPr>
    </w:lvl>
    <w:lvl w:ilvl="1" w:tplc="241A0011">
      <w:start w:val="1"/>
      <w:numFmt w:val="decimal"/>
      <w:lvlText w:val="%2)"/>
      <w:lvlJc w:val="left"/>
      <w:pPr>
        <w:tabs>
          <w:tab w:val="num" w:pos="1215"/>
        </w:tabs>
        <w:ind w:left="1215" w:hanging="675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BE38DA"/>
    <w:multiLevelType w:val="hybridMultilevel"/>
    <w:tmpl w:val="249E2E10"/>
    <w:lvl w:ilvl="0" w:tplc="0409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34436"/>
    <w:multiLevelType w:val="hybridMultilevel"/>
    <w:tmpl w:val="25D0F6AA"/>
    <w:lvl w:ilvl="0" w:tplc="1B4804D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5E3E60"/>
    <w:multiLevelType w:val="hybridMultilevel"/>
    <w:tmpl w:val="5FCC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3B"/>
    <w:rsid w:val="000002CD"/>
    <w:rsid w:val="000026A0"/>
    <w:rsid w:val="000127D9"/>
    <w:rsid w:val="00026056"/>
    <w:rsid w:val="0004058B"/>
    <w:rsid w:val="000672ED"/>
    <w:rsid w:val="00074372"/>
    <w:rsid w:val="000854B1"/>
    <w:rsid w:val="000868C2"/>
    <w:rsid w:val="000962CB"/>
    <w:rsid w:val="000A145B"/>
    <w:rsid w:val="000A408A"/>
    <w:rsid w:val="000A7749"/>
    <w:rsid w:val="000C05B4"/>
    <w:rsid w:val="000C11BD"/>
    <w:rsid w:val="000E11A6"/>
    <w:rsid w:val="000F12A5"/>
    <w:rsid w:val="000F3885"/>
    <w:rsid w:val="000F7751"/>
    <w:rsid w:val="00127114"/>
    <w:rsid w:val="001321AF"/>
    <w:rsid w:val="00136569"/>
    <w:rsid w:val="00161132"/>
    <w:rsid w:val="00163EDE"/>
    <w:rsid w:val="00164DE2"/>
    <w:rsid w:val="00166221"/>
    <w:rsid w:val="00177A99"/>
    <w:rsid w:val="00182F5D"/>
    <w:rsid w:val="00187D3B"/>
    <w:rsid w:val="001A1B03"/>
    <w:rsid w:val="001A3552"/>
    <w:rsid w:val="001A4396"/>
    <w:rsid w:val="001C2710"/>
    <w:rsid w:val="001D4C46"/>
    <w:rsid w:val="001E07E5"/>
    <w:rsid w:val="001E3BCE"/>
    <w:rsid w:val="001E4918"/>
    <w:rsid w:val="001F1003"/>
    <w:rsid w:val="001F12FD"/>
    <w:rsid w:val="00242F7E"/>
    <w:rsid w:val="00243CD6"/>
    <w:rsid w:val="00281701"/>
    <w:rsid w:val="002876B4"/>
    <w:rsid w:val="0029135B"/>
    <w:rsid w:val="00295F40"/>
    <w:rsid w:val="00296936"/>
    <w:rsid w:val="002F1D42"/>
    <w:rsid w:val="003050A3"/>
    <w:rsid w:val="003065B5"/>
    <w:rsid w:val="0031103F"/>
    <w:rsid w:val="0031124F"/>
    <w:rsid w:val="00323610"/>
    <w:rsid w:val="0034414F"/>
    <w:rsid w:val="003444AD"/>
    <w:rsid w:val="00345726"/>
    <w:rsid w:val="0035529B"/>
    <w:rsid w:val="00364B11"/>
    <w:rsid w:val="00365696"/>
    <w:rsid w:val="003C62CA"/>
    <w:rsid w:val="003D4656"/>
    <w:rsid w:val="003D7B40"/>
    <w:rsid w:val="003F03DA"/>
    <w:rsid w:val="00404FDC"/>
    <w:rsid w:val="00415E5C"/>
    <w:rsid w:val="00421C88"/>
    <w:rsid w:val="0042620E"/>
    <w:rsid w:val="00454B71"/>
    <w:rsid w:val="004724FB"/>
    <w:rsid w:val="00495CB1"/>
    <w:rsid w:val="004C1588"/>
    <w:rsid w:val="004C4B56"/>
    <w:rsid w:val="004C6D88"/>
    <w:rsid w:val="004D120E"/>
    <w:rsid w:val="004D41AC"/>
    <w:rsid w:val="004D788C"/>
    <w:rsid w:val="004E573C"/>
    <w:rsid w:val="004F449E"/>
    <w:rsid w:val="005018D1"/>
    <w:rsid w:val="00507BC9"/>
    <w:rsid w:val="005110FA"/>
    <w:rsid w:val="00512ACD"/>
    <w:rsid w:val="00521B9C"/>
    <w:rsid w:val="0056148A"/>
    <w:rsid w:val="005756DB"/>
    <w:rsid w:val="00584F3A"/>
    <w:rsid w:val="00587B76"/>
    <w:rsid w:val="00587D3B"/>
    <w:rsid w:val="005C3577"/>
    <w:rsid w:val="005C3F68"/>
    <w:rsid w:val="005C5401"/>
    <w:rsid w:val="005C5ECF"/>
    <w:rsid w:val="005C7D61"/>
    <w:rsid w:val="005D6623"/>
    <w:rsid w:val="005D6D72"/>
    <w:rsid w:val="005F438D"/>
    <w:rsid w:val="005F78E1"/>
    <w:rsid w:val="00601DE9"/>
    <w:rsid w:val="00603B3B"/>
    <w:rsid w:val="00653703"/>
    <w:rsid w:val="006573D2"/>
    <w:rsid w:val="00660C8C"/>
    <w:rsid w:val="00661D46"/>
    <w:rsid w:val="00670C5C"/>
    <w:rsid w:val="006730E0"/>
    <w:rsid w:val="0067574B"/>
    <w:rsid w:val="00684B0A"/>
    <w:rsid w:val="00687C85"/>
    <w:rsid w:val="0069295A"/>
    <w:rsid w:val="00695B42"/>
    <w:rsid w:val="006A6C35"/>
    <w:rsid w:val="006B4FC7"/>
    <w:rsid w:val="006B5A55"/>
    <w:rsid w:val="006D00A9"/>
    <w:rsid w:val="006D4F1E"/>
    <w:rsid w:val="006E3A9D"/>
    <w:rsid w:val="00712544"/>
    <w:rsid w:val="0072483F"/>
    <w:rsid w:val="007262AF"/>
    <w:rsid w:val="007262CC"/>
    <w:rsid w:val="007301ED"/>
    <w:rsid w:val="007315D6"/>
    <w:rsid w:val="0073569C"/>
    <w:rsid w:val="00735C67"/>
    <w:rsid w:val="0074267B"/>
    <w:rsid w:val="00745338"/>
    <w:rsid w:val="007516A9"/>
    <w:rsid w:val="00765AEE"/>
    <w:rsid w:val="00774B4A"/>
    <w:rsid w:val="00796D74"/>
    <w:rsid w:val="007B4331"/>
    <w:rsid w:val="007C51FC"/>
    <w:rsid w:val="007E10B4"/>
    <w:rsid w:val="007F2342"/>
    <w:rsid w:val="007F477E"/>
    <w:rsid w:val="00803B90"/>
    <w:rsid w:val="00806887"/>
    <w:rsid w:val="008118A9"/>
    <w:rsid w:val="00816D10"/>
    <w:rsid w:val="00823259"/>
    <w:rsid w:val="00825272"/>
    <w:rsid w:val="00826F85"/>
    <w:rsid w:val="00853B74"/>
    <w:rsid w:val="0086581B"/>
    <w:rsid w:val="00872733"/>
    <w:rsid w:val="008839B1"/>
    <w:rsid w:val="008A028F"/>
    <w:rsid w:val="008A2647"/>
    <w:rsid w:val="008A333A"/>
    <w:rsid w:val="008B32AE"/>
    <w:rsid w:val="008C3F0C"/>
    <w:rsid w:val="00904F09"/>
    <w:rsid w:val="00915A19"/>
    <w:rsid w:val="00927668"/>
    <w:rsid w:val="00941426"/>
    <w:rsid w:val="00941CA0"/>
    <w:rsid w:val="00942771"/>
    <w:rsid w:val="0094300D"/>
    <w:rsid w:val="00947022"/>
    <w:rsid w:val="00972663"/>
    <w:rsid w:val="00973B74"/>
    <w:rsid w:val="00974FB9"/>
    <w:rsid w:val="00980847"/>
    <w:rsid w:val="00996762"/>
    <w:rsid w:val="0099785F"/>
    <w:rsid w:val="009A5A93"/>
    <w:rsid w:val="009A643F"/>
    <w:rsid w:val="009B22FE"/>
    <w:rsid w:val="009B3DA5"/>
    <w:rsid w:val="009B5DD8"/>
    <w:rsid w:val="009D6A5E"/>
    <w:rsid w:val="009E1AA2"/>
    <w:rsid w:val="009E73DE"/>
    <w:rsid w:val="00A00A67"/>
    <w:rsid w:val="00A04C36"/>
    <w:rsid w:val="00A20594"/>
    <w:rsid w:val="00A2163F"/>
    <w:rsid w:val="00A22CA7"/>
    <w:rsid w:val="00A26A81"/>
    <w:rsid w:val="00A36A8C"/>
    <w:rsid w:val="00A415D5"/>
    <w:rsid w:val="00A52A66"/>
    <w:rsid w:val="00A62D78"/>
    <w:rsid w:val="00A8080F"/>
    <w:rsid w:val="00A824A2"/>
    <w:rsid w:val="00AB7A4C"/>
    <w:rsid w:val="00AC415A"/>
    <w:rsid w:val="00AD45C2"/>
    <w:rsid w:val="00AD777B"/>
    <w:rsid w:val="00AF603B"/>
    <w:rsid w:val="00B02828"/>
    <w:rsid w:val="00B037F2"/>
    <w:rsid w:val="00B05F5F"/>
    <w:rsid w:val="00B12756"/>
    <w:rsid w:val="00B17CD5"/>
    <w:rsid w:val="00B2509A"/>
    <w:rsid w:val="00B32B3D"/>
    <w:rsid w:val="00B344F3"/>
    <w:rsid w:val="00B42454"/>
    <w:rsid w:val="00B54B35"/>
    <w:rsid w:val="00BA3A19"/>
    <w:rsid w:val="00BB0A00"/>
    <w:rsid w:val="00BB2106"/>
    <w:rsid w:val="00BD6039"/>
    <w:rsid w:val="00BE14CF"/>
    <w:rsid w:val="00BF1624"/>
    <w:rsid w:val="00BF26BE"/>
    <w:rsid w:val="00BF5A20"/>
    <w:rsid w:val="00C010CF"/>
    <w:rsid w:val="00C131B6"/>
    <w:rsid w:val="00C152E2"/>
    <w:rsid w:val="00C32B72"/>
    <w:rsid w:val="00C33DF8"/>
    <w:rsid w:val="00C372D2"/>
    <w:rsid w:val="00C4221D"/>
    <w:rsid w:val="00C6237F"/>
    <w:rsid w:val="00C75B4A"/>
    <w:rsid w:val="00C81772"/>
    <w:rsid w:val="00CA095C"/>
    <w:rsid w:val="00CA4ACA"/>
    <w:rsid w:val="00CA619A"/>
    <w:rsid w:val="00CA71D6"/>
    <w:rsid w:val="00CA76A4"/>
    <w:rsid w:val="00CB4379"/>
    <w:rsid w:val="00CB4FAD"/>
    <w:rsid w:val="00CE6745"/>
    <w:rsid w:val="00CE7E28"/>
    <w:rsid w:val="00CF4675"/>
    <w:rsid w:val="00D00626"/>
    <w:rsid w:val="00D03BED"/>
    <w:rsid w:val="00D222A1"/>
    <w:rsid w:val="00D3141B"/>
    <w:rsid w:val="00D34F7B"/>
    <w:rsid w:val="00D36520"/>
    <w:rsid w:val="00D408A7"/>
    <w:rsid w:val="00D52B69"/>
    <w:rsid w:val="00D62B2C"/>
    <w:rsid w:val="00D669D8"/>
    <w:rsid w:val="00D67E70"/>
    <w:rsid w:val="00D71009"/>
    <w:rsid w:val="00D752F4"/>
    <w:rsid w:val="00D80813"/>
    <w:rsid w:val="00DB76EE"/>
    <w:rsid w:val="00DC62CB"/>
    <w:rsid w:val="00DE1451"/>
    <w:rsid w:val="00DE1C0C"/>
    <w:rsid w:val="00E013AA"/>
    <w:rsid w:val="00E05806"/>
    <w:rsid w:val="00E06B4B"/>
    <w:rsid w:val="00E15414"/>
    <w:rsid w:val="00E27A59"/>
    <w:rsid w:val="00E456E6"/>
    <w:rsid w:val="00E52CAF"/>
    <w:rsid w:val="00E60A11"/>
    <w:rsid w:val="00E7128E"/>
    <w:rsid w:val="00E83A8B"/>
    <w:rsid w:val="00EC0314"/>
    <w:rsid w:val="00EC20CA"/>
    <w:rsid w:val="00ED4CB9"/>
    <w:rsid w:val="00EE2383"/>
    <w:rsid w:val="00F014AA"/>
    <w:rsid w:val="00F03C75"/>
    <w:rsid w:val="00F12986"/>
    <w:rsid w:val="00F21D7D"/>
    <w:rsid w:val="00F26B13"/>
    <w:rsid w:val="00F52F6F"/>
    <w:rsid w:val="00F773DA"/>
    <w:rsid w:val="00F969FD"/>
    <w:rsid w:val="00FB69A1"/>
    <w:rsid w:val="00FE5636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E03B89F-88C9-4B24-9DB6-A9913EC9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6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74B"/>
    <w:pPr>
      <w:tabs>
        <w:tab w:val="center" w:pos="4320"/>
        <w:tab w:val="right" w:pos="8640"/>
      </w:tabs>
      <w:jc w:val="both"/>
    </w:pPr>
    <w:rPr>
      <w:rFonts w:ascii="CTimesRoman" w:hAnsi="CTimesRoman" w:cs="CTimesRoman"/>
    </w:rPr>
  </w:style>
  <w:style w:type="character" w:customStyle="1" w:styleId="HeaderChar">
    <w:name w:val="Header Char"/>
    <w:link w:val="Header"/>
    <w:uiPriority w:val="99"/>
    <w:locked/>
    <w:rsid w:val="000A7749"/>
    <w:rPr>
      <w:rFonts w:ascii="CTimesRoman" w:hAnsi="CTimesRoman" w:cs="CTimes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C62CA"/>
  </w:style>
  <w:style w:type="paragraph" w:styleId="Footer">
    <w:name w:val="footer"/>
    <w:basedOn w:val="Normal"/>
    <w:link w:val="FooterChar"/>
    <w:uiPriority w:val="99"/>
    <w:rsid w:val="00D03B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95F4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03BED"/>
  </w:style>
  <w:style w:type="character" w:styleId="CommentReference">
    <w:name w:val="annotation reference"/>
    <w:uiPriority w:val="99"/>
    <w:semiHidden/>
    <w:rsid w:val="00735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56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356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569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73569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3569C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99"/>
    <w:qFormat/>
    <w:rsid w:val="00823259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1E07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07E5"/>
  </w:style>
  <w:style w:type="character" w:styleId="FootnoteReference">
    <w:name w:val="footnote reference"/>
    <w:uiPriority w:val="99"/>
    <w:semiHidden/>
    <w:rsid w:val="001E07E5"/>
    <w:rPr>
      <w:vertAlign w:val="superscript"/>
    </w:rPr>
  </w:style>
  <w:style w:type="character" w:styleId="Strong">
    <w:name w:val="Strong"/>
    <w:uiPriority w:val="99"/>
    <w:qFormat/>
    <w:locked/>
    <w:rsid w:val="004262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BD6039"/>
    <w:pPr>
      <w:ind w:left="-360"/>
      <w:jc w:val="both"/>
    </w:pPr>
    <w:rPr>
      <w:lang w:val="sr-Cyrl-CS"/>
    </w:rPr>
  </w:style>
  <w:style w:type="character" w:customStyle="1" w:styleId="BodyTextIndent2Char">
    <w:name w:val="Body Text Indent 2 Char"/>
    <w:link w:val="BodyTextIndent2"/>
    <w:uiPriority w:val="99"/>
    <w:locked/>
    <w:rsid w:val="00BD6039"/>
    <w:rPr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3C75-63E7-4951-9FC5-BB6883D1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Уредба о одвијању комбинованог транспорта до и од терминала за комбиновани транспорт који се налази на железничкој мрежи и одређују документа које друмски превозник треба да поседује у обављању тог вида транспорта - на основу члана 82</vt:lpstr>
    </vt:vector>
  </TitlesOfParts>
  <Company>UZZPRO/ERC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Уредба о одвијању комбинованог транспорта до и од терминала за комбиновани транспорт који се налази на железничкој мрежи и одређују документа које друмски превозник треба да поседује у обављању тог вида транспорта - на основу члана 82</dc:title>
  <dc:creator>Korisnik</dc:creator>
  <cp:lastModifiedBy>Bojan Grgic</cp:lastModifiedBy>
  <cp:revision>2</cp:revision>
  <cp:lastPrinted>2015-07-16T08:43:00Z</cp:lastPrinted>
  <dcterms:created xsi:type="dcterms:W3CDTF">2015-07-16T13:23:00Z</dcterms:created>
  <dcterms:modified xsi:type="dcterms:W3CDTF">2015-07-16T13:23:00Z</dcterms:modified>
</cp:coreProperties>
</file>