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DC" w:rsidRPr="00CF2EE2" w:rsidRDefault="00CF2EE2" w:rsidP="006B78DC">
      <w:pPr>
        <w:autoSpaceDE w:val="0"/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6B78DC" w:rsidRPr="00CF2EE2">
        <w:rPr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osnovu</w:t>
      </w:r>
      <w:r w:rsidR="006B78DC" w:rsidRPr="00CF2EE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6B78DC" w:rsidRPr="00CF2EE2">
        <w:rPr>
          <w:noProof/>
          <w:sz w:val="24"/>
          <w:szCs w:val="24"/>
          <w:lang w:val="sr-Latn-CS"/>
        </w:rPr>
        <w:t xml:space="preserve"> 362. </w:t>
      </w:r>
      <w:r>
        <w:rPr>
          <w:noProof/>
          <w:sz w:val="24"/>
          <w:szCs w:val="24"/>
          <w:lang w:val="sr-Latn-CS"/>
        </w:rPr>
        <w:t>stav</w:t>
      </w:r>
      <w:r w:rsidR="006B78DC" w:rsidRPr="00CF2EE2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Zakona</w:t>
      </w:r>
      <w:r w:rsidR="006B78DC" w:rsidRPr="00CF2EE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6B78DC" w:rsidRPr="00CF2EE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energetici</w:t>
      </w:r>
      <w:r w:rsidR="006B78DC" w:rsidRPr="00CF2EE2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6B78DC" w:rsidRPr="00CF2EE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6B78DC" w:rsidRPr="00CF2EE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6B78DC" w:rsidRPr="00CF2EE2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broj</w:t>
      </w:r>
      <w:r w:rsidR="006B78DC" w:rsidRPr="00CF2EE2">
        <w:rPr>
          <w:noProof/>
          <w:sz w:val="24"/>
          <w:szCs w:val="24"/>
          <w:lang w:val="sr-Latn-CS"/>
        </w:rPr>
        <w:t xml:space="preserve"> 145/14) </w:t>
      </w:r>
      <w:r>
        <w:rPr>
          <w:noProof/>
          <w:sz w:val="24"/>
          <w:szCs w:val="24"/>
          <w:lang w:val="sr-Latn-CS"/>
        </w:rPr>
        <w:t>i</w:t>
      </w:r>
      <w:r w:rsidR="006B78DC" w:rsidRPr="00CF2EE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6B78DC" w:rsidRPr="00CF2EE2">
        <w:rPr>
          <w:noProof/>
          <w:sz w:val="24"/>
          <w:szCs w:val="24"/>
          <w:lang w:val="sr-Latn-CS"/>
        </w:rPr>
        <w:t xml:space="preserve">  42. </w:t>
      </w:r>
      <w:r>
        <w:rPr>
          <w:noProof/>
          <w:sz w:val="24"/>
          <w:szCs w:val="24"/>
          <w:lang w:val="sr-Latn-CS"/>
        </w:rPr>
        <w:t>stav</w:t>
      </w:r>
      <w:r w:rsidR="006B78DC" w:rsidRPr="00CF2EE2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Zakona</w:t>
      </w:r>
      <w:r w:rsidR="006B78DC" w:rsidRPr="00CF2EE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6B78DC" w:rsidRPr="00CF2EE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6B78DC" w:rsidRPr="00CF2EE2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6B78DC" w:rsidRPr="00CF2EE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6B78DC" w:rsidRPr="00CF2EE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6B78DC" w:rsidRPr="00CF2EE2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6B78DC" w:rsidRPr="00CF2EE2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6B78DC" w:rsidRPr="00CF2EE2">
        <w:rPr>
          <w:noProof/>
          <w:sz w:val="24"/>
          <w:szCs w:val="24"/>
          <w:lang w:val="sr-Latn-CS"/>
        </w:rPr>
        <w:t>, 101/07, 65/08, 16/11, 68/12-</w:t>
      </w:r>
      <w:r>
        <w:rPr>
          <w:noProof/>
          <w:sz w:val="24"/>
          <w:szCs w:val="24"/>
          <w:lang w:val="sr-Latn-CS"/>
        </w:rPr>
        <w:t>US</w:t>
      </w:r>
      <w:r w:rsidR="006B78DC" w:rsidRPr="00CF2EE2">
        <w:rPr>
          <w:noProof/>
          <w:sz w:val="24"/>
          <w:szCs w:val="24"/>
          <w:lang w:val="sr-Latn-CS"/>
        </w:rPr>
        <w:t>, 72/12, 7</w:t>
      </w:r>
      <w:bookmarkStart w:id="0" w:name="_GoBack"/>
      <w:bookmarkEnd w:id="0"/>
      <w:r w:rsidR="006B78DC" w:rsidRPr="00CF2EE2">
        <w:rPr>
          <w:noProof/>
          <w:sz w:val="24"/>
          <w:szCs w:val="24"/>
          <w:lang w:val="sr-Latn-CS"/>
        </w:rPr>
        <w:t>/14-</w:t>
      </w:r>
      <w:r>
        <w:rPr>
          <w:noProof/>
          <w:sz w:val="24"/>
          <w:szCs w:val="24"/>
          <w:lang w:val="sr-Latn-CS"/>
        </w:rPr>
        <w:t>US</w:t>
      </w:r>
      <w:r w:rsidR="006B78DC" w:rsidRPr="00CF2EE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6B78DC" w:rsidRPr="00CF2EE2">
        <w:rPr>
          <w:noProof/>
          <w:sz w:val="24"/>
          <w:szCs w:val="24"/>
          <w:lang w:val="sr-Latn-CS"/>
        </w:rPr>
        <w:t xml:space="preserve"> 44/14),</w:t>
      </w:r>
    </w:p>
    <w:p w:rsidR="006B78DC" w:rsidRPr="00CF2EE2" w:rsidRDefault="006B78DC" w:rsidP="006B78DC">
      <w:pPr>
        <w:autoSpaceDE w:val="0"/>
        <w:ind w:firstLine="720"/>
        <w:jc w:val="both"/>
        <w:rPr>
          <w:noProof/>
          <w:sz w:val="24"/>
          <w:szCs w:val="24"/>
          <w:lang w:val="sr-Latn-CS"/>
        </w:rPr>
      </w:pPr>
    </w:p>
    <w:p w:rsidR="006B78DC" w:rsidRPr="00CF2EE2" w:rsidRDefault="00CF2EE2" w:rsidP="006B78DC">
      <w:pPr>
        <w:autoSpaceDE w:val="0"/>
        <w:ind w:firstLine="720"/>
        <w:jc w:val="both"/>
        <w:rPr>
          <w:strike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6B78DC" w:rsidRPr="00CF2EE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  <w:r w:rsidR="006B78DC" w:rsidRPr="00CF2EE2">
        <w:rPr>
          <w:noProof/>
          <w:sz w:val="24"/>
          <w:szCs w:val="24"/>
          <w:lang w:val="sr-Latn-CS"/>
        </w:rPr>
        <w:t xml:space="preserve"> </w:t>
      </w:r>
    </w:p>
    <w:p w:rsidR="006B78DC" w:rsidRPr="00CF2EE2" w:rsidRDefault="006B78DC" w:rsidP="006B78DC">
      <w:pPr>
        <w:autoSpaceDE w:val="0"/>
        <w:jc w:val="both"/>
        <w:rPr>
          <w:b/>
          <w:bCs/>
          <w:noProof/>
          <w:sz w:val="24"/>
          <w:szCs w:val="24"/>
          <w:lang w:val="sr-Latn-CS"/>
        </w:rPr>
      </w:pPr>
    </w:p>
    <w:p w:rsidR="006B78DC" w:rsidRPr="00CF2EE2" w:rsidRDefault="00CF2EE2" w:rsidP="006B78DC">
      <w:pPr>
        <w:autoSpaceDE w:val="0"/>
        <w:jc w:val="center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U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R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E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B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</w:t>
      </w:r>
    </w:p>
    <w:p w:rsidR="006B78DC" w:rsidRPr="00CF2EE2" w:rsidRDefault="00CF2EE2" w:rsidP="006B78DC">
      <w:pPr>
        <w:tabs>
          <w:tab w:val="left" w:pos="709"/>
        </w:tabs>
        <w:autoSpaceDE w:val="0"/>
        <w:jc w:val="center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O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UTVRĐIVANJU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METODOLOGIJE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ODREĐIVANJE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CENE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SNABDEVANJA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KRAJNJEG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KUPCA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TOPLOTNOM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ENERGIJOM</w:t>
      </w:r>
    </w:p>
    <w:p w:rsidR="006B78DC" w:rsidRPr="00CF2EE2" w:rsidRDefault="006B78DC" w:rsidP="006B78DC">
      <w:pPr>
        <w:autoSpaceDE w:val="0"/>
        <w:jc w:val="center"/>
        <w:rPr>
          <w:bCs/>
          <w:noProof/>
          <w:sz w:val="24"/>
          <w:szCs w:val="24"/>
          <w:lang w:val="sr-Latn-CS"/>
        </w:rPr>
      </w:pPr>
    </w:p>
    <w:p w:rsidR="006B78DC" w:rsidRPr="00CF2EE2" w:rsidRDefault="00CF2EE2" w:rsidP="006B78DC">
      <w:pPr>
        <w:autoSpaceDE w:val="0"/>
        <w:jc w:val="center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Član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1.</w:t>
      </w:r>
    </w:p>
    <w:p w:rsidR="006B78DC" w:rsidRPr="00CF2EE2" w:rsidRDefault="006B78DC" w:rsidP="006B78DC">
      <w:pPr>
        <w:autoSpaceDE w:val="0"/>
        <w:jc w:val="center"/>
        <w:rPr>
          <w:b/>
          <w:bCs/>
          <w:noProof/>
          <w:sz w:val="24"/>
          <w:szCs w:val="24"/>
          <w:lang w:val="sr-Latn-CS"/>
        </w:rPr>
      </w:pPr>
    </w:p>
    <w:p w:rsidR="006B78DC" w:rsidRPr="00CF2EE2" w:rsidRDefault="00CF2EE2" w:rsidP="006B78DC">
      <w:pPr>
        <w:autoSpaceDE w:val="0"/>
        <w:ind w:firstLine="720"/>
        <w:jc w:val="both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Ovom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uredbom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utvrđuje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se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Metodologija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određivanje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cene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snabdevanja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krajnjeg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kupca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toplotnom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energijom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koja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je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odštampana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uz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ovu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uredbu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čini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njen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sastavni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deo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(</w:t>
      </w:r>
      <w:r>
        <w:rPr>
          <w:bCs/>
          <w:noProof/>
          <w:sz w:val="24"/>
          <w:szCs w:val="24"/>
          <w:lang w:val="sr-Latn-CS"/>
        </w:rPr>
        <w:t>u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daljem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tekstu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:  </w:t>
      </w:r>
      <w:r>
        <w:rPr>
          <w:bCs/>
          <w:noProof/>
          <w:sz w:val="24"/>
          <w:szCs w:val="24"/>
          <w:lang w:val="sr-Latn-CS"/>
        </w:rPr>
        <w:t>Metodologija</w:t>
      </w:r>
      <w:r w:rsidR="006B78DC" w:rsidRPr="00CF2EE2">
        <w:rPr>
          <w:bCs/>
          <w:noProof/>
          <w:sz w:val="24"/>
          <w:szCs w:val="24"/>
          <w:lang w:val="sr-Latn-CS"/>
        </w:rPr>
        <w:t>).</w:t>
      </w:r>
    </w:p>
    <w:p w:rsidR="006B78DC" w:rsidRPr="00CF2EE2" w:rsidRDefault="006B78DC" w:rsidP="006B78DC">
      <w:pPr>
        <w:autoSpaceDE w:val="0"/>
        <w:jc w:val="both"/>
        <w:rPr>
          <w:bCs/>
          <w:noProof/>
          <w:sz w:val="24"/>
          <w:szCs w:val="24"/>
          <w:lang w:val="sr-Latn-CS"/>
        </w:rPr>
      </w:pPr>
    </w:p>
    <w:p w:rsidR="006B78DC" w:rsidRPr="00CF2EE2" w:rsidRDefault="006B78DC" w:rsidP="006B78DC">
      <w:pPr>
        <w:autoSpaceDE w:val="0"/>
        <w:jc w:val="both"/>
        <w:rPr>
          <w:bCs/>
          <w:noProof/>
          <w:sz w:val="24"/>
          <w:szCs w:val="24"/>
          <w:lang w:val="sr-Latn-CS"/>
        </w:rPr>
      </w:pPr>
      <w:r w:rsidRPr="00CF2EE2">
        <w:rPr>
          <w:bCs/>
          <w:noProof/>
          <w:sz w:val="24"/>
          <w:szCs w:val="24"/>
          <w:lang w:val="sr-Latn-CS"/>
        </w:rPr>
        <w:tab/>
        <w:t xml:space="preserve"> </w:t>
      </w:r>
    </w:p>
    <w:p w:rsidR="006B78DC" w:rsidRPr="00CF2EE2" w:rsidRDefault="00CF2EE2" w:rsidP="006B78DC">
      <w:pPr>
        <w:autoSpaceDE w:val="0"/>
        <w:jc w:val="center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Član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2.</w:t>
      </w:r>
    </w:p>
    <w:p w:rsidR="006B78DC" w:rsidRPr="00CF2EE2" w:rsidRDefault="006B78DC" w:rsidP="006B78DC">
      <w:pPr>
        <w:autoSpaceDE w:val="0"/>
        <w:jc w:val="both"/>
        <w:rPr>
          <w:bCs/>
          <w:noProof/>
          <w:sz w:val="24"/>
          <w:szCs w:val="24"/>
          <w:lang w:val="sr-Latn-CS"/>
        </w:rPr>
      </w:pPr>
      <w:r w:rsidRPr="00CF2EE2">
        <w:rPr>
          <w:bCs/>
          <w:noProof/>
          <w:sz w:val="24"/>
          <w:szCs w:val="24"/>
          <w:lang w:val="sr-Latn-CS"/>
        </w:rPr>
        <w:tab/>
      </w:r>
    </w:p>
    <w:p w:rsidR="006B78DC" w:rsidRPr="00CF2EE2" w:rsidRDefault="00CF2EE2" w:rsidP="006B78DC">
      <w:pPr>
        <w:autoSpaceDE w:val="0"/>
        <w:ind w:firstLine="720"/>
        <w:jc w:val="both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Energetski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subjekti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koji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obavljaju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delatnost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snabdevanja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toplotnom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energijom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utvrdiće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cene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snabdevanja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krajnjeg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kupca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toplotnom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energijom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osnovu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Metodologije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najkasnije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do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1. </w:t>
      </w:r>
      <w:r>
        <w:rPr>
          <w:bCs/>
          <w:noProof/>
          <w:sz w:val="24"/>
          <w:szCs w:val="24"/>
          <w:lang w:val="sr-Latn-CS"/>
        </w:rPr>
        <w:t>oktobra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 2015. </w:t>
      </w:r>
      <w:r>
        <w:rPr>
          <w:bCs/>
          <w:noProof/>
          <w:sz w:val="24"/>
          <w:szCs w:val="24"/>
          <w:lang w:val="sr-Latn-CS"/>
        </w:rPr>
        <w:t>godine</w:t>
      </w:r>
      <w:r w:rsidR="006B78DC" w:rsidRPr="00CF2EE2">
        <w:rPr>
          <w:bCs/>
          <w:noProof/>
          <w:sz w:val="24"/>
          <w:szCs w:val="24"/>
          <w:lang w:val="sr-Latn-CS"/>
        </w:rPr>
        <w:t>.</w:t>
      </w:r>
      <w:r w:rsidR="006B78DC" w:rsidRPr="00CF2EE2">
        <w:rPr>
          <w:bCs/>
          <w:noProof/>
          <w:sz w:val="24"/>
          <w:szCs w:val="24"/>
          <w:lang w:val="sr-Latn-CS"/>
        </w:rPr>
        <w:tab/>
      </w:r>
    </w:p>
    <w:p w:rsidR="006B78DC" w:rsidRPr="00CF2EE2" w:rsidRDefault="006B78DC" w:rsidP="006B78DC">
      <w:pPr>
        <w:autoSpaceDE w:val="0"/>
        <w:ind w:firstLine="720"/>
        <w:jc w:val="both"/>
        <w:rPr>
          <w:bCs/>
          <w:noProof/>
          <w:sz w:val="24"/>
          <w:szCs w:val="24"/>
          <w:lang w:val="sr-Latn-CS"/>
        </w:rPr>
      </w:pPr>
    </w:p>
    <w:p w:rsidR="006B78DC" w:rsidRPr="00CF2EE2" w:rsidRDefault="00CF2EE2" w:rsidP="006B78DC">
      <w:pPr>
        <w:autoSpaceDE w:val="0"/>
        <w:jc w:val="center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Član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3.</w:t>
      </w:r>
    </w:p>
    <w:p w:rsidR="006B78DC" w:rsidRPr="00CF2EE2" w:rsidRDefault="006B78DC" w:rsidP="006B78DC">
      <w:pPr>
        <w:autoSpaceDE w:val="0"/>
        <w:jc w:val="center"/>
        <w:rPr>
          <w:b/>
          <w:bCs/>
          <w:noProof/>
          <w:sz w:val="24"/>
          <w:szCs w:val="24"/>
          <w:lang w:val="sr-Latn-CS"/>
        </w:rPr>
      </w:pPr>
    </w:p>
    <w:p w:rsidR="006B78DC" w:rsidRPr="00CF2EE2" w:rsidRDefault="00CF2EE2" w:rsidP="006B78DC">
      <w:pPr>
        <w:tabs>
          <w:tab w:val="left" w:pos="709"/>
        </w:tabs>
        <w:autoSpaceDE w:val="0"/>
        <w:ind w:firstLine="720"/>
        <w:jc w:val="both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Ova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uredba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stupa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snagu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osmog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dana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od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dana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objavljivanja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„</w:t>
      </w:r>
      <w:r>
        <w:rPr>
          <w:bCs/>
          <w:noProof/>
          <w:sz w:val="24"/>
          <w:szCs w:val="24"/>
          <w:lang w:val="sr-Latn-CS"/>
        </w:rPr>
        <w:t>Službenom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glasniku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Republike</w:t>
      </w:r>
      <w:r w:rsidR="006B78DC" w:rsidRPr="00CF2EE2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Srbije</w:t>
      </w:r>
      <w:r w:rsidR="006B78DC" w:rsidRPr="00CF2EE2">
        <w:rPr>
          <w:bCs/>
          <w:noProof/>
          <w:sz w:val="24"/>
          <w:szCs w:val="24"/>
          <w:lang w:val="sr-Latn-CS"/>
        </w:rPr>
        <w:t>”.</w:t>
      </w:r>
    </w:p>
    <w:p w:rsidR="006B78DC" w:rsidRPr="00CF2EE2" w:rsidRDefault="006B78DC" w:rsidP="006B78DC">
      <w:pPr>
        <w:autoSpaceDE w:val="0"/>
        <w:jc w:val="both"/>
        <w:rPr>
          <w:bCs/>
          <w:noProof/>
          <w:sz w:val="24"/>
          <w:szCs w:val="24"/>
          <w:lang w:val="sr-Latn-CS"/>
        </w:rPr>
      </w:pPr>
    </w:p>
    <w:p w:rsidR="006B78DC" w:rsidRPr="00CF2EE2" w:rsidRDefault="006B78DC" w:rsidP="006B78DC">
      <w:pPr>
        <w:autoSpaceDE w:val="0"/>
        <w:jc w:val="both"/>
        <w:rPr>
          <w:bCs/>
          <w:noProof/>
          <w:sz w:val="24"/>
          <w:szCs w:val="24"/>
          <w:lang w:val="sr-Latn-CS"/>
        </w:rPr>
      </w:pPr>
    </w:p>
    <w:p w:rsidR="006B78DC" w:rsidRPr="00CF2EE2" w:rsidRDefault="006B78DC" w:rsidP="006B78DC">
      <w:pPr>
        <w:shd w:val="clear" w:color="auto" w:fill="FFFFFF"/>
        <w:suppressAutoHyphens w:val="0"/>
        <w:rPr>
          <w:bCs/>
          <w:noProof/>
          <w:color w:val="000000"/>
          <w:sz w:val="24"/>
          <w:szCs w:val="24"/>
          <w:lang w:val="sr-Latn-CS"/>
        </w:rPr>
      </w:pPr>
      <w:r w:rsidRPr="00CF2EE2">
        <w:rPr>
          <w:bCs/>
          <w:noProof/>
          <w:color w:val="000000"/>
          <w:sz w:val="24"/>
          <w:szCs w:val="24"/>
          <w:lang w:val="sr-Latn-CS"/>
        </w:rPr>
        <w:t xml:space="preserve">        </w:t>
      </w:r>
      <w:r w:rsidR="00CF2EE2">
        <w:rPr>
          <w:bCs/>
          <w:noProof/>
          <w:color w:val="000000"/>
          <w:sz w:val="24"/>
          <w:szCs w:val="24"/>
          <w:lang w:val="sr-Latn-CS"/>
        </w:rPr>
        <w:t>Broj</w:t>
      </w:r>
      <w:r w:rsidRPr="00CF2EE2">
        <w:rPr>
          <w:bCs/>
          <w:noProof/>
          <w:color w:val="000000"/>
          <w:sz w:val="24"/>
          <w:szCs w:val="24"/>
          <w:lang w:val="sr-Latn-CS"/>
        </w:rPr>
        <w:t>:</w:t>
      </w:r>
    </w:p>
    <w:p w:rsidR="006B78DC" w:rsidRPr="00CF2EE2" w:rsidRDefault="006B78DC" w:rsidP="006B78DC">
      <w:pPr>
        <w:shd w:val="clear" w:color="auto" w:fill="FFFFFF"/>
        <w:suppressAutoHyphens w:val="0"/>
        <w:rPr>
          <w:bCs/>
          <w:noProof/>
          <w:color w:val="000000"/>
          <w:sz w:val="24"/>
          <w:szCs w:val="24"/>
          <w:lang w:val="sr-Latn-CS"/>
        </w:rPr>
      </w:pPr>
      <w:r w:rsidRPr="00CF2EE2">
        <w:rPr>
          <w:bCs/>
          <w:noProof/>
          <w:color w:val="000000"/>
          <w:sz w:val="24"/>
          <w:szCs w:val="24"/>
          <w:lang w:val="sr-Latn-CS"/>
        </w:rPr>
        <w:t xml:space="preserve">        </w:t>
      </w:r>
      <w:r w:rsidR="00CF2EE2">
        <w:rPr>
          <w:bCs/>
          <w:noProof/>
          <w:color w:val="000000"/>
          <w:sz w:val="24"/>
          <w:szCs w:val="24"/>
          <w:lang w:val="sr-Latn-CS"/>
        </w:rPr>
        <w:t>U</w:t>
      </w:r>
      <w:r w:rsidRPr="00CF2EE2">
        <w:rPr>
          <w:bCs/>
          <w:noProof/>
          <w:color w:val="000000"/>
          <w:sz w:val="24"/>
          <w:szCs w:val="24"/>
          <w:lang w:val="sr-Latn-CS"/>
        </w:rPr>
        <w:t xml:space="preserve"> </w:t>
      </w:r>
      <w:r w:rsidR="00CF2EE2">
        <w:rPr>
          <w:bCs/>
          <w:noProof/>
          <w:color w:val="000000"/>
          <w:sz w:val="24"/>
          <w:szCs w:val="24"/>
          <w:lang w:val="sr-Latn-CS"/>
        </w:rPr>
        <w:t>Beogradu</w:t>
      </w:r>
      <w:r w:rsidRPr="00CF2EE2">
        <w:rPr>
          <w:bCs/>
          <w:noProof/>
          <w:color w:val="000000"/>
          <w:sz w:val="24"/>
          <w:szCs w:val="24"/>
          <w:lang w:val="sr-Latn-CS"/>
        </w:rPr>
        <w:t xml:space="preserve">, 10. </w:t>
      </w:r>
      <w:r w:rsidR="00CF2EE2">
        <w:rPr>
          <w:bCs/>
          <w:noProof/>
          <w:color w:val="000000"/>
          <w:sz w:val="24"/>
          <w:szCs w:val="24"/>
          <w:lang w:val="sr-Latn-CS"/>
        </w:rPr>
        <w:t>jula</w:t>
      </w:r>
      <w:r w:rsidRPr="00CF2EE2">
        <w:rPr>
          <w:bCs/>
          <w:noProof/>
          <w:color w:val="000000"/>
          <w:sz w:val="24"/>
          <w:szCs w:val="24"/>
          <w:lang w:val="sr-Latn-CS"/>
        </w:rPr>
        <w:t xml:space="preserve"> 2015. </w:t>
      </w:r>
      <w:r w:rsidR="00CF2EE2">
        <w:rPr>
          <w:bCs/>
          <w:noProof/>
          <w:color w:val="000000"/>
          <w:sz w:val="24"/>
          <w:szCs w:val="24"/>
          <w:lang w:val="sr-Latn-CS"/>
        </w:rPr>
        <w:t>godine</w:t>
      </w:r>
    </w:p>
    <w:p w:rsidR="006B78DC" w:rsidRPr="00CF2EE2" w:rsidRDefault="006B78DC" w:rsidP="006B78DC">
      <w:pPr>
        <w:shd w:val="clear" w:color="auto" w:fill="FFFFFF"/>
        <w:suppressAutoHyphens w:val="0"/>
        <w:rPr>
          <w:bCs/>
          <w:noProof/>
          <w:color w:val="000000"/>
          <w:sz w:val="24"/>
          <w:szCs w:val="24"/>
          <w:lang w:val="sr-Latn-CS"/>
        </w:rPr>
      </w:pPr>
    </w:p>
    <w:p w:rsidR="006B78DC" w:rsidRPr="00CF2EE2" w:rsidRDefault="006B78DC" w:rsidP="006B78DC">
      <w:pPr>
        <w:shd w:val="clear" w:color="auto" w:fill="FFFFFF"/>
        <w:suppressAutoHyphens w:val="0"/>
        <w:rPr>
          <w:bCs/>
          <w:noProof/>
          <w:color w:val="000000"/>
          <w:sz w:val="24"/>
          <w:szCs w:val="24"/>
          <w:lang w:val="sr-Latn-CS"/>
        </w:rPr>
      </w:pPr>
    </w:p>
    <w:p w:rsidR="006B78DC" w:rsidRPr="00CF2EE2" w:rsidRDefault="006B78DC" w:rsidP="006B78DC">
      <w:pPr>
        <w:shd w:val="clear" w:color="auto" w:fill="FFFFFF"/>
        <w:suppressAutoHyphens w:val="0"/>
        <w:jc w:val="center"/>
        <w:rPr>
          <w:bCs/>
          <w:noProof/>
          <w:color w:val="000000"/>
          <w:sz w:val="24"/>
          <w:szCs w:val="24"/>
          <w:lang w:val="sr-Latn-CS"/>
        </w:rPr>
      </w:pPr>
    </w:p>
    <w:p w:rsidR="006B78DC" w:rsidRPr="00CF2EE2" w:rsidRDefault="00CF2EE2" w:rsidP="006B78DC">
      <w:pPr>
        <w:shd w:val="clear" w:color="auto" w:fill="FFFFFF"/>
        <w:suppressAutoHyphens w:val="0"/>
        <w:jc w:val="center"/>
        <w:rPr>
          <w:bCs/>
          <w:noProof/>
          <w:color w:val="000000"/>
          <w:sz w:val="24"/>
          <w:szCs w:val="24"/>
          <w:lang w:val="sr-Latn-CS"/>
        </w:rPr>
      </w:pPr>
      <w:r>
        <w:rPr>
          <w:bCs/>
          <w:noProof/>
          <w:color w:val="000000"/>
          <w:sz w:val="24"/>
          <w:szCs w:val="24"/>
          <w:lang w:val="sr-Latn-CS"/>
        </w:rPr>
        <w:t>VLADA</w:t>
      </w:r>
    </w:p>
    <w:p w:rsidR="006B78DC" w:rsidRPr="00CF2EE2" w:rsidRDefault="006B78DC" w:rsidP="006B78DC">
      <w:pPr>
        <w:shd w:val="clear" w:color="auto" w:fill="FFFFFF"/>
        <w:suppressAutoHyphens w:val="0"/>
        <w:jc w:val="center"/>
        <w:rPr>
          <w:bCs/>
          <w:noProof/>
          <w:color w:val="000000"/>
          <w:sz w:val="24"/>
          <w:szCs w:val="24"/>
          <w:lang w:val="sr-Latn-CS"/>
        </w:rPr>
      </w:pPr>
    </w:p>
    <w:p w:rsidR="006B78DC" w:rsidRPr="00CF2EE2" w:rsidRDefault="006B78DC" w:rsidP="006B78DC">
      <w:pPr>
        <w:shd w:val="clear" w:color="auto" w:fill="FFFFFF"/>
        <w:suppressAutoHyphens w:val="0"/>
        <w:jc w:val="center"/>
        <w:rPr>
          <w:bCs/>
          <w:noProof/>
          <w:color w:val="000000"/>
          <w:sz w:val="24"/>
          <w:szCs w:val="24"/>
          <w:lang w:val="sr-Latn-CS"/>
        </w:rPr>
      </w:pPr>
    </w:p>
    <w:p w:rsidR="006B78DC" w:rsidRPr="00CF2EE2" w:rsidRDefault="006B78DC" w:rsidP="006B78DC">
      <w:pPr>
        <w:shd w:val="clear" w:color="auto" w:fill="FFFFFF"/>
        <w:tabs>
          <w:tab w:val="left" w:pos="7230"/>
        </w:tabs>
        <w:suppressAutoHyphens w:val="0"/>
        <w:rPr>
          <w:bCs/>
          <w:noProof/>
          <w:color w:val="000000"/>
          <w:sz w:val="24"/>
          <w:szCs w:val="24"/>
          <w:lang w:val="sr-Latn-CS"/>
        </w:rPr>
      </w:pPr>
      <w:r w:rsidRPr="00CF2EE2">
        <w:rPr>
          <w:bCs/>
          <w:noProof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  <w:r w:rsidR="00CF2EE2">
        <w:rPr>
          <w:bCs/>
          <w:noProof/>
          <w:color w:val="000000"/>
          <w:sz w:val="24"/>
          <w:szCs w:val="24"/>
          <w:lang w:val="sr-Latn-CS"/>
        </w:rPr>
        <w:t>PREDSEDNIK</w:t>
      </w:r>
    </w:p>
    <w:p w:rsidR="006B78DC" w:rsidRPr="00CF2EE2" w:rsidRDefault="006B78DC" w:rsidP="006B78DC">
      <w:pPr>
        <w:suppressAutoHyphens w:val="0"/>
        <w:spacing w:line="276" w:lineRule="auto"/>
        <w:jc w:val="both"/>
        <w:rPr>
          <w:rFonts w:eastAsia="Calibri"/>
          <w:noProof/>
          <w:sz w:val="24"/>
          <w:szCs w:val="24"/>
          <w:lang w:val="sr-Latn-CS"/>
        </w:rPr>
      </w:pPr>
      <w:r w:rsidRPr="00CF2EE2">
        <w:rPr>
          <w:rFonts w:eastAsia="Calibri"/>
          <w:noProof/>
          <w:sz w:val="24"/>
          <w:szCs w:val="24"/>
          <w:lang w:val="sr-Latn-CS"/>
        </w:rPr>
        <w:tab/>
      </w:r>
      <w:r w:rsidRPr="00CF2EE2">
        <w:rPr>
          <w:rFonts w:eastAsia="Calibri"/>
          <w:noProof/>
          <w:sz w:val="24"/>
          <w:szCs w:val="24"/>
          <w:lang w:val="sr-Latn-CS"/>
        </w:rPr>
        <w:tab/>
      </w:r>
      <w:r w:rsidRPr="00CF2EE2">
        <w:rPr>
          <w:rFonts w:eastAsia="Calibri"/>
          <w:noProof/>
          <w:sz w:val="24"/>
          <w:szCs w:val="24"/>
          <w:lang w:val="sr-Latn-CS"/>
        </w:rPr>
        <w:tab/>
      </w:r>
      <w:r w:rsidRPr="00CF2EE2">
        <w:rPr>
          <w:rFonts w:eastAsia="Calibri"/>
          <w:noProof/>
          <w:sz w:val="24"/>
          <w:szCs w:val="24"/>
          <w:lang w:val="sr-Latn-CS"/>
        </w:rPr>
        <w:tab/>
      </w:r>
      <w:r w:rsidRPr="00CF2EE2">
        <w:rPr>
          <w:rFonts w:eastAsia="Calibri"/>
          <w:noProof/>
          <w:sz w:val="24"/>
          <w:szCs w:val="24"/>
          <w:lang w:val="sr-Latn-CS"/>
        </w:rPr>
        <w:tab/>
      </w:r>
      <w:r w:rsidRPr="00CF2EE2">
        <w:rPr>
          <w:rFonts w:eastAsia="Calibri"/>
          <w:noProof/>
          <w:sz w:val="24"/>
          <w:szCs w:val="24"/>
          <w:lang w:val="sr-Latn-CS"/>
        </w:rPr>
        <w:tab/>
      </w:r>
      <w:r w:rsidRPr="00CF2EE2">
        <w:rPr>
          <w:rFonts w:eastAsia="Calibri"/>
          <w:noProof/>
          <w:sz w:val="24"/>
          <w:szCs w:val="24"/>
          <w:lang w:val="sr-Latn-CS"/>
        </w:rPr>
        <w:tab/>
      </w:r>
      <w:r w:rsidRPr="00CF2EE2">
        <w:rPr>
          <w:rFonts w:eastAsia="Calibri"/>
          <w:noProof/>
          <w:sz w:val="24"/>
          <w:szCs w:val="24"/>
          <w:lang w:val="sr-Latn-CS"/>
        </w:rPr>
        <w:tab/>
      </w:r>
    </w:p>
    <w:p w:rsidR="006B78DC" w:rsidRPr="00CF2EE2" w:rsidRDefault="006B78DC" w:rsidP="006B78DC">
      <w:pPr>
        <w:autoSpaceDE w:val="0"/>
        <w:jc w:val="center"/>
        <w:rPr>
          <w:b/>
          <w:bCs/>
          <w:noProof/>
          <w:sz w:val="24"/>
          <w:szCs w:val="24"/>
          <w:lang w:val="sr-Latn-CS"/>
        </w:rPr>
      </w:pPr>
      <w:r w:rsidRPr="00CF2EE2">
        <w:rPr>
          <w:rFonts w:eastAsia="Calibri"/>
          <w:noProof/>
          <w:sz w:val="24"/>
          <w:szCs w:val="24"/>
          <w:lang w:val="sr-Latn-CS"/>
        </w:rPr>
        <w:tab/>
      </w:r>
      <w:r w:rsidRPr="00CF2EE2">
        <w:rPr>
          <w:rFonts w:eastAsia="Calibri"/>
          <w:noProof/>
          <w:sz w:val="24"/>
          <w:szCs w:val="24"/>
          <w:lang w:val="sr-Latn-CS"/>
        </w:rPr>
        <w:tab/>
      </w:r>
      <w:r w:rsidRPr="00CF2EE2">
        <w:rPr>
          <w:rFonts w:eastAsia="Calibri"/>
          <w:noProof/>
          <w:sz w:val="24"/>
          <w:szCs w:val="24"/>
          <w:lang w:val="sr-Latn-CS"/>
        </w:rPr>
        <w:tab/>
      </w:r>
      <w:r w:rsidRPr="00CF2EE2">
        <w:rPr>
          <w:rFonts w:eastAsia="Calibri"/>
          <w:noProof/>
          <w:sz w:val="24"/>
          <w:szCs w:val="24"/>
          <w:lang w:val="sr-Latn-CS"/>
        </w:rPr>
        <w:tab/>
      </w:r>
      <w:r w:rsidRPr="00CF2EE2">
        <w:rPr>
          <w:rFonts w:eastAsia="Calibri"/>
          <w:noProof/>
          <w:sz w:val="24"/>
          <w:szCs w:val="24"/>
          <w:lang w:val="sr-Latn-CS"/>
        </w:rPr>
        <w:tab/>
      </w:r>
      <w:r w:rsidRPr="00CF2EE2">
        <w:rPr>
          <w:rFonts w:eastAsia="Calibri"/>
          <w:noProof/>
          <w:sz w:val="24"/>
          <w:szCs w:val="24"/>
          <w:lang w:val="sr-Latn-CS"/>
        </w:rPr>
        <w:tab/>
      </w:r>
      <w:r w:rsidRPr="00CF2EE2">
        <w:rPr>
          <w:rFonts w:eastAsia="Calibri"/>
          <w:noProof/>
          <w:sz w:val="24"/>
          <w:szCs w:val="24"/>
          <w:lang w:val="sr-Latn-CS"/>
        </w:rPr>
        <w:tab/>
      </w:r>
      <w:r w:rsidRPr="00CF2EE2">
        <w:rPr>
          <w:rFonts w:eastAsia="Calibri"/>
          <w:noProof/>
          <w:sz w:val="24"/>
          <w:szCs w:val="24"/>
          <w:lang w:val="sr-Latn-CS"/>
        </w:rPr>
        <w:tab/>
      </w:r>
      <w:r w:rsidRPr="00CF2EE2">
        <w:rPr>
          <w:rFonts w:eastAsia="Calibri"/>
          <w:noProof/>
          <w:sz w:val="24"/>
          <w:szCs w:val="24"/>
          <w:lang w:val="sr-Latn-CS"/>
        </w:rPr>
        <w:tab/>
        <w:t xml:space="preserve">                                                                                </w:t>
      </w:r>
      <w:r w:rsidRPr="00CF2EE2">
        <w:rPr>
          <w:rFonts w:eastAsia="Calibri"/>
          <w:noProof/>
          <w:sz w:val="24"/>
          <w:szCs w:val="24"/>
          <w:lang w:val="sr-Latn-CS"/>
        </w:rPr>
        <w:tab/>
        <w:t xml:space="preserve">                                                                                               </w:t>
      </w:r>
      <w:r w:rsidR="00CF2EE2">
        <w:rPr>
          <w:rFonts w:eastAsia="Calibri"/>
          <w:noProof/>
          <w:sz w:val="24"/>
          <w:szCs w:val="24"/>
          <w:lang w:val="sr-Latn-CS"/>
        </w:rPr>
        <w:t>Aleksandar</w:t>
      </w:r>
      <w:r w:rsidRPr="00CF2EE2">
        <w:rPr>
          <w:rFonts w:eastAsia="Calibri"/>
          <w:noProof/>
          <w:sz w:val="24"/>
          <w:szCs w:val="24"/>
          <w:lang w:val="sr-Latn-CS"/>
        </w:rPr>
        <w:t xml:space="preserve"> </w:t>
      </w:r>
      <w:r w:rsidR="00CF2EE2">
        <w:rPr>
          <w:rFonts w:eastAsia="Calibri"/>
          <w:noProof/>
          <w:sz w:val="24"/>
          <w:szCs w:val="24"/>
          <w:lang w:val="sr-Latn-CS"/>
        </w:rPr>
        <w:t>Vučić</w:t>
      </w:r>
      <w:r w:rsidRPr="00CF2EE2">
        <w:rPr>
          <w:b/>
          <w:bCs/>
          <w:noProof/>
          <w:sz w:val="24"/>
          <w:szCs w:val="24"/>
          <w:lang w:val="sr-Latn-CS"/>
        </w:rPr>
        <w:t xml:space="preserve"> </w:t>
      </w:r>
    </w:p>
    <w:p w:rsidR="0050342B" w:rsidRPr="00CF2EE2" w:rsidRDefault="0050342B">
      <w:pPr>
        <w:rPr>
          <w:noProof/>
          <w:lang w:val="sr-Latn-CS"/>
        </w:rPr>
      </w:pPr>
    </w:p>
    <w:sectPr w:rsidR="0050342B" w:rsidRPr="00CF2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66" w:rsidRDefault="005D7F66" w:rsidP="00CF2EE2">
      <w:r>
        <w:separator/>
      </w:r>
    </w:p>
  </w:endnote>
  <w:endnote w:type="continuationSeparator" w:id="0">
    <w:p w:rsidR="005D7F66" w:rsidRDefault="005D7F66" w:rsidP="00CF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E2" w:rsidRDefault="00CF2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E2" w:rsidRDefault="00CF2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E2" w:rsidRDefault="00CF2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66" w:rsidRDefault="005D7F66" w:rsidP="00CF2EE2">
      <w:r>
        <w:separator/>
      </w:r>
    </w:p>
  </w:footnote>
  <w:footnote w:type="continuationSeparator" w:id="0">
    <w:p w:rsidR="005D7F66" w:rsidRDefault="005D7F66" w:rsidP="00CF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E2" w:rsidRDefault="00CF2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E2" w:rsidRDefault="00CF2E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E2" w:rsidRDefault="00CF2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83"/>
    <w:rsid w:val="0002787A"/>
    <w:rsid w:val="00065150"/>
    <w:rsid w:val="00112868"/>
    <w:rsid w:val="001955D3"/>
    <w:rsid w:val="001E71FF"/>
    <w:rsid w:val="002D13A9"/>
    <w:rsid w:val="003A4883"/>
    <w:rsid w:val="003C3DBB"/>
    <w:rsid w:val="003E240E"/>
    <w:rsid w:val="0050342B"/>
    <w:rsid w:val="0051159A"/>
    <w:rsid w:val="00535018"/>
    <w:rsid w:val="005D7F66"/>
    <w:rsid w:val="005E050F"/>
    <w:rsid w:val="005E6BE6"/>
    <w:rsid w:val="0062599B"/>
    <w:rsid w:val="006A12FD"/>
    <w:rsid w:val="006B4B79"/>
    <w:rsid w:val="006B78DC"/>
    <w:rsid w:val="007B3082"/>
    <w:rsid w:val="007E4CA7"/>
    <w:rsid w:val="007F1EEE"/>
    <w:rsid w:val="00826B88"/>
    <w:rsid w:val="00864AA9"/>
    <w:rsid w:val="0088359A"/>
    <w:rsid w:val="00917012"/>
    <w:rsid w:val="00970D82"/>
    <w:rsid w:val="009716DA"/>
    <w:rsid w:val="00A56807"/>
    <w:rsid w:val="00A82ADC"/>
    <w:rsid w:val="00A94D05"/>
    <w:rsid w:val="00AF33B2"/>
    <w:rsid w:val="00B10533"/>
    <w:rsid w:val="00B70E4A"/>
    <w:rsid w:val="00B7778C"/>
    <w:rsid w:val="00C20298"/>
    <w:rsid w:val="00CD4591"/>
    <w:rsid w:val="00CF2EE2"/>
    <w:rsid w:val="00D32958"/>
    <w:rsid w:val="00D653CF"/>
    <w:rsid w:val="00F07BA5"/>
    <w:rsid w:val="00F33CA2"/>
    <w:rsid w:val="00F5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2E6D4E-0F8D-49D9-B27D-715FD5CF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DC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EE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2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EE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Dragomir Savovic</dc:creator>
  <cp:lastModifiedBy>Bojan Grgic</cp:lastModifiedBy>
  <cp:revision>2</cp:revision>
  <cp:lastPrinted>2015-07-13T12:49:00Z</cp:lastPrinted>
  <dcterms:created xsi:type="dcterms:W3CDTF">2015-07-14T14:37:00Z</dcterms:created>
  <dcterms:modified xsi:type="dcterms:W3CDTF">2015-07-14T14:37:00Z</dcterms:modified>
</cp:coreProperties>
</file>