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1F" w:rsidRPr="00751CEC" w:rsidRDefault="00FB291F" w:rsidP="00FB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</w:pPr>
      <w:bookmarkStart w:id="0" w:name="_GoBack"/>
      <w:bookmarkEnd w:id="0"/>
    </w:p>
    <w:p w:rsidR="00FB291F" w:rsidRPr="00751CEC" w:rsidRDefault="00751CEC" w:rsidP="00FB29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O</w:t>
      </w:r>
      <w:r w:rsidR="00FB291F"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B</w:t>
      </w:r>
      <w:r w:rsidR="00FB291F"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</w:t>
      </w:r>
      <w:r w:rsidR="00FB291F"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A</w:t>
      </w:r>
      <w:r w:rsidR="00FB291F"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Z</w:t>
      </w:r>
      <w:r w:rsidR="00FB291F"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L</w:t>
      </w:r>
      <w:r w:rsidR="00FB291F"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O</w:t>
      </w:r>
      <w:r w:rsidR="00FB291F"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Ž</w:t>
      </w:r>
      <w:r w:rsidR="00FB291F"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E</w:t>
      </w:r>
      <w:r w:rsidR="00FB291F"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NJ</w:t>
      </w:r>
      <w:r w:rsidR="00FB291F"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E</w:t>
      </w:r>
    </w:p>
    <w:p w:rsidR="00FB291F" w:rsidRPr="00751CEC" w:rsidRDefault="00FB291F" w:rsidP="00FB291F">
      <w:pPr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FB291F" w:rsidRPr="00751CEC" w:rsidRDefault="00FB291F" w:rsidP="00FB291F">
      <w:pPr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FB291F" w:rsidRPr="00751CEC" w:rsidRDefault="00FB291F" w:rsidP="00FB291F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I.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USTAVNI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OSNOV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ZA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DONOŠENJE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ZAKONA</w:t>
      </w:r>
    </w:p>
    <w:p w:rsidR="00FB291F" w:rsidRPr="00751CEC" w:rsidRDefault="00FB291F" w:rsidP="00FB291F">
      <w:pPr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FB291F" w:rsidRPr="00751CEC" w:rsidRDefault="00FB291F" w:rsidP="00FB2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ab/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Ustavni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osnov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za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donošenje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ovog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zakona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sadržan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je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odredbi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člana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97.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tačka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6.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Ustava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Republike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Srbije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,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kojom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je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propisano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da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Republika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Srbija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,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između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ostalog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,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uređuje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i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obezbeđuje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bankarski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i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devizni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sistem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.</w:t>
      </w:r>
    </w:p>
    <w:p w:rsidR="00FB291F" w:rsidRPr="00751CEC" w:rsidRDefault="00FB291F" w:rsidP="00FB29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FB291F" w:rsidRPr="00751CEC" w:rsidRDefault="00FB291F" w:rsidP="00FB29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II.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RAZLOZI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ZA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DONOŠENJE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ZAKONA</w:t>
      </w:r>
    </w:p>
    <w:p w:rsidR="00FB291F" w:rsidRPr="00751CEC" w:rsidRDefault="00FB291F" w:rsidP="00FB29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FB291F" w:rsidRPr="00751CEC" w:rsidRDefault="00751CEC" w:rsidP="00FB291F">
      <w:pPr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Ovaj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ima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cilj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poboljšanje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položaja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deviznih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štediša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obezbeđenje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uslova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adekvatniju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bolju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primenu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već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postojećih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instituta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efikasnije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sprovođenje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postupka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utvrđivanje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isplatu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devizne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štednje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Uočeni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problemi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vezi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prikupljanja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potrebne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dokumentacije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doveli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potrebe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prvom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mestu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produži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rok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podnošenje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prijava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ali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prizna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pravo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naplatu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javnog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duga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građanima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kao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potvrdu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deviznoj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štednji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umesto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deviznih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štednih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knjižica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dobijali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kartice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deviznog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računa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Produženje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roka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podnošenje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prijava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potraživanja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ima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posledicu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pomeranje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rokova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dospelosti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obveznica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Pored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toga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određene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odredbe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dodatno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pojašnjene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čime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izbegnuta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potreba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tumačenjem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FB291F" w:rsidRPr="00751CEC" w:rsidRDefault="00FB291F" w:rsidP="00FB291F">
      <w:pPr>
        <w:spacing w:after="0" w:line="360" w:lineRule="auto"/>
        <w:ind w:firstLine="720"/>
        <w:jc w:val="both"/>
        <w:outlineLvl w:val="5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FB291F" w:rsidRPr="00751CEC" w:rsidRDefault="00FB291F" w:rsidP="00FB291F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III.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OBJAŠNJENJE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OSNOVNIH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PRAVNIH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INSTITUTA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I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POJEDINAČNIH</w:t>
      </w:r>
      <w:r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REŠENJA</w:t>
      </w:r>
    </w:p>
    <w:p w:rsidR="00FB291F" w:rsidRPr="00751CEC" w:rsidRDefault="00FB291F" w:rsidP="00FB2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FB291F" w:rsidRPr="00751CEC" w:rsidRDefault="00751CEC" w:rsidP="00FB291F">
      <w:pPr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Ovim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zakonom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vrše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izmene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dopune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regulisanju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duga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neisplaćene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devizne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štednje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građana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položene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banaka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sedište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teritoriji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njihovim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filijalama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teritorijama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bivših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republika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SFRJ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(„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Službeni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glasnik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RS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broj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108/16 -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daljem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tekstu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važeći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).</w:t>
      </w:r>
    </w:p>
    <w:p w:rsidR="00FB291F" w:rsidRPr="00751CEC" w:rsidRDefault="00751CEC" w:rsidP="00FB291F">
      <w:pPr>
        <w:spacing w:after="0" w:line="240" w:lineRule="auto"/>
        <w:ind w:firstLine="720"/>
        <w:jc w:val="both"/>
        <w:outlineLvl w:val="5"/>
        <w:rPr>
          <w:rFonts w:ascii="Calibri" w:eastAsia="Times New Roman" w:hAnsi="Calibri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Članom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menja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postojeći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važećeg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tako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što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precizira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pravilo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obračun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kamata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prema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kome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prema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predloženom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rešenju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podrazumeva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godina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ima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360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mesec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30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 w:rsidR="00FB291F" w:rsidRPr="00751CEC">
        <w:rPr>
          <w:rFonts w:ascii="Calibri" w:eastAsia="Times New Roman" w:hAnsi="Calibri" w:cs="Times New Roman"/>
          <w:noProof/>
          <w:lang w:val="sr-Latn-CS"/>
        </w:rPr>
        <w:t xml:space="preserve"> </w:t>
      </w:r>
    </w:p>
    <w:p w:rsidR="00FB291F" w:rsidRPr="00751CEC" w:rsidRDefault="00751CEC" w:rsidP="00FB291F">
      <w:pPr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Članom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menjaju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rokovi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naplatu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obveznica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utvrđeni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5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važećeg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to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tako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što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odlaže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početak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roka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isplate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obveznica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imajući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vidu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predlog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produženje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roka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prijavu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potraživanja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kroz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izmenu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11.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važećeg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FB291F" w:rsidRPr="00751CEC" w:rsidRDefault="00751CEC" w:rsidP="00FB291F">
      <w:pPr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Odredbom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produžava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rok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prijavu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potraživanja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dosadašnji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rok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godinu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određen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11.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važećeg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Naime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kako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ovaj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rok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ističe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23.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februara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najveći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deo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neisplaćene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devizne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štednje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čini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devizna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štednja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položena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filijalama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teritorijama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Hrvatske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Federacije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BiH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prvih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šest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meseci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primene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važećeg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nisu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ovlastile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organe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institucije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će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biti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nadležni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izdavanje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potvrda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tome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devizne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štediše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nisu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ostvarili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svoja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pravo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devizne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štednje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predlaže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produženje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roka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dodatnih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godinu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kako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svim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štedišama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omogućilo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podnošenje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prijava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 </w:t>
      </w:r>
    </w:p>
    <w:p w:rsidR="00FB291F" w:rsidRPr="00751CEC" w:rsidRDefault="00FB291F" w:rsidP="00FB291F">
      <w:pPr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FB291F" w:rsidRPr="00751CEC" w:rsidRDefault="00FB291F" w:rsidP="00FB291F">
      <w:pPr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FB291F" w:rsidRPr="00751CEC" w:rsidRDefault="00751CEC" w:rsidP="00FB291F">
      <w:pPr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lastRenderedPageBreak/>
        <w:t>Članom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menja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odredba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12.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važećeg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tako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što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kao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dokaz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posedovanju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stare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devizne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štednje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priznaje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kartica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deviznog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računa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taj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način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izjednačavaju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pravima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naplatu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javnog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duga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osnovu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stare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devizne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štednje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građani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koji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kao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dokaz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poseduju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štednu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knjižicu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koju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su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dobijali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prilikom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ulaganja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sredstava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štednju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građani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koji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kao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dokaz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poseduju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deviznu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karticu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koja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izdavala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prilikom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otvaranja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deviznog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računa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</w:p>
    <w:p w:rsidR="00FB291F" w:rsidRPr="00751CEC" w:rsidRDefault="00751CEC" w:rsidP="00FB291F">
      <w:pPr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ovom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članu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takođe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dodatno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precizira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osim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nadležnih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organa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bivših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SFRJ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izdavanje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potvrda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tome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devizni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štediša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ostvario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devizne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štednje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vršiti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njihove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institucije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depozitne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institucije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privatizaciju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).</w:t>
      </w:r>
    </w:p>
    <w:p w:rsidR="00FB291F" w:rsidRPr="00751CEC" w:rsidRDefault="00751CEC" w:rsidP="00FB291F">
      <w:pPr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Članom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menjaju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odredbe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važećeg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zbog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usklađivanja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gore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pomenutim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predloženim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izmenama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</w:p>
    <w:p w:rsidR="00FB291F" w:rsidRPr="00751CEC" w:rsidRDefault="00751CEC" w:rsidP="00FB291F">
      <w:pPr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Članom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6.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ovog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menja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17.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važećeg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skladu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izmenom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izvršenom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članu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12.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važećeg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koji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sad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predviđa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mogućnost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dostavljanja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kartice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deviznog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računa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</w:p>
    <w:p w:rsidR="00FB291F" w:rsidRPr="00751CEC" w:rsidRDefault="00751CEC" w:rsidP="00FB291F">
      <w:pPr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Članom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7.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propisano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stupanje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snagu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ovog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FB291F" w:rsidRPr="00751CEC" w:rsidRDefault="00FB291F" w:rsidP="00FB291F">
      <w:pPr>
        <w:spacing w:after="0" w:line="360" w:lineRule="auto"/>
        <w:ind w:firstLine="720"/>
        <w:jc w:val="both"/>
        <w:outlineLvl w:val="5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B291F" w:rsidRPr="00751CEC" w:rsidRDefault="00FB291F" w:rsidP="00FB291F">
      <w:pPr>
        <w:shd w:val="clear" w:color="auto" w:fill="FFFFFF"/>
        <w:tabs>
          <w:tab w:val="left" w:pos="709"/>
        </w:tabs>
        <w:spacing w:after="48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IV. </w:t>
      </w:r>
      <w:r w:rsid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PROCENA</w:t>
      </w:r>
      <w:r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IZNOSA</w:t>
      </w:r>
      <w:r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FINANSIJSKIH</w:t>
      </w:r>
      <w:r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POTREBNIH</w:t>
      </w:r>
      <w:r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SPROVOĐENJE</w:t>
      </w:r>
      <w:r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</w:p>
    <w:p w:rsidR="00FB291F" w:rsidRPr="00751CEC" w:rsidRDefault="00FB291F" w:rsidP="00FB291F">
      <w:pPr>
        <w:shd w:val="clear" w:color="auto" w:fill="FFFFFF"/>
        <w:tabs>
          <w:tab w:val="left" w:pos="709"/>
        </w:tabs>
        <w:spacing w:after="48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B291F" w:rsidRPr="00751CEC" w:rsidRDefault="00751CEC" w:rsidP="00FB291F">
      <w:pPr>
        <w:shd w:val="clear" w:color="auto" w:fill="FFFFFF"/>
        <w:tabs>
          <w:tab w:val="left" w:pos="709"/>
        </w:tabs>
        <w:spacing w:after="48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sprovođenje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budžetu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naredne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budžetske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budžetu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razdelu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B291F" w:rsidRPr="00751CEC" w:rsidRDefault="00FB291F" w:rsidP="00FB29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FB291F" w:rsidRPr="00751CEC" w:rsidRDefault="00FB291F" w:rsidP="00FB29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FB291F" w:rsidRPr="00751CEC" w:rsidRDefault="00FB291F" w:rsidP="00FB29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FB291F" w:rsidRPr="00751CEC" w:rsidRDefault="00FB291F" w:rsidP="00FB29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FB291F" w:rsidRPr="00751CEC" w:rsidRDefault="00FB291F" w:rsidP="00FB29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FB291F" w:rsidRPr="00751CEC" w:rsidRDefault="00FB291F" w:rsidP="00FB29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FB291F" w:rsidRPr="00751CEC" w:rsidRDefault="00FB291F" w:rsidP="00FB29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FB291F" w:rsidRPr="00751CEC" w:rsidRDefault="00FB291F" w:rsidP="00FB29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FB291F" w:rsidRPr="00751CEC" w:rsidRDefault="00FB291F" w:rsidP="00FB29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FB291F" w:rsidRPr="00751CEC" w:rsidRDefault="00FB291F" w:rsidP="00FB29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FB291F" w:rsidRPr="00751CEC" w:rsidRDefault="00FB291F" w:rsidP="00FB29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FB291F" w:rsidRPr="00751CEC" w:rsidRDefault="00FB291F" w:rsidP="00FB29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FB291F" w:rsidRPr="00751CEC" w:rsidRDefault="00FB291F" w:rsidP="00FB29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FB291F" w:rsidRPr="00751CEC" w:rsidRDefault="00FB291F" w:rsidP="00FB29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FB291F" w:rsidRPr="00751CEC" w:rsidRDefault="00FB291F" w:rsidP="00FB291F">
      <w:pPr>
        <w:tabs>
          <w:tab w:val="left" w:pos="9360"/>
        </w:tabs>
        <w:spacing w:after="0"/>
        <w:jc w:val="center"/>
        <w:outlineLvl w:val="5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lastRenderedPageBreak/>
        <w:t xml:space="preserve">V.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PREGLED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ODREDABA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REGULISANJU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JAVNOG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DUGA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REPUBLIKE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SRBIJE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OSNOVU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NEISPLAĆENE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DEVIZNE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ŠTEDNJE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GRAĐANA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POLOŽENE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KOD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BANAKA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ČIJE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SEDIŠTE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TERITORIJI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REPUBLIKE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SRBIJE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NJIHOVIM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FILIJALAMA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TERITORIJAMA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BIVŠIH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REPUBLIKA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SFRJ</w:t>
      </w:r>
    </w:p>
    <w:p w:rsidR="00FB291F" w:rsidRPr="00751CEC" w:rsidRDefault="00FB291F" w:rsidP="00FB29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KOJE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MENJAJU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DOPUNJUJU</w:t>
      </w:r>
    </w:p>
    <w:p w:rsidR="00FB291F" w:rsidRPr="00751CEC" w:rsidRDefault="00FB291F" w:rsidP="00FB29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FB291F" w:rsidRPr="00751CEC" w:rsidRDefault="00751CEC" w:rsidP="00FB29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4.</w:t>
      </w:r>
    </w:p>
    <w:p w:rsidR="00FB291F" w:rsidRPr="00751CEC" w:rsidRDefault="00751CEC" w:rsidP="00FB29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neisplaćene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devizne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štednje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310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miliona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evra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obuhvata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FB291F" w:rsidRPr="00751CEC" w:rsidRDefault="00FB291F" w:rsidP="00FB291F">
      <w:pPr>
        <w:shd w:val="clear" w:color="auto" w:fill="FFFFFF"/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deviznu</w:t>
      </w:r>
      <w:r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štednju</w:t>
      </w:r>
      <w:r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položenu</w:t>
      </w:r>
      <w:r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27. </w:t>
      </w:r>
      <w:r w:rsid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aprila</w:t>
      </w:r>
      <w:r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1992. </w:t>
      </w:r>
      <w:r w:rsid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umanjenu</w:t>
      </w:r>
      <w:r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izvršene</w:t>
      </w:r>
      <w:r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isplate</w:t>
      </w:r>
      <w:r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</w:t>
      </w:r>
      <w:r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FB291F" w:rsidRPr="00751CEC" w:rsidRDefault="00751CEC" w:rsidP="00FB291F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obračunatu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ugovorenoj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kamatnoj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stopi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kamatnoj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stopi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5%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utvrditi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ugovorena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stopa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decembra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1997.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FB291F" w:rsidRPr="00751CEC" w:rsidRDefault="00751CEC" w:rsidP="00FB291F">
      <w:pPr>
        <w:numPr>
          <w:ilvl w:val="0"/>
          <w:numId w:val="1"/>
        </w:numPr>
        <w:shd w:val="clear" w:color="auto" w:fill="FFFFFF"/>
        <w:tabs>
          <w:tab w:val="left" w:pos="990"/>
        </w:tabs>
        <w:spacing w:before="48" w:after="48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obračunatu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kamatnoj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stopi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2%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period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januara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1998.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maja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FB291F" w:rsidRPr="00751CEC" w:rsidRDefault="00751CEC" w:rsidP="00FB291F">
      <w:pPr>
        <w:numPr>
          <w:ilvl w:val="0"/>
          <w:numId w:val="1"/>
        </w:numPr>
        <w:shd w:val="clear" w:color="auto" w:fill="FFFFFF"/>
        <w:tabs>
          <w:tab w:val="left" w:pos="990"/>
        </w:tabs>
        <w:spacing w:before="48" w:after="48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obračunatu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kamatnoj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stopi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0,5%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period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juna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rokova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dospeća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rata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obveznica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B291F" w:rsidRPr="00751CEC" w:rsidRDefault="00751CEC" w:rsidP="00FB29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Obračun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primenom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prostog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interesnog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OBRAČUN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METODI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30/360.</w:t>
      </w:r>
    </w:p>
    <w:p w:rsidR="00FB291F" w:rsidRPr="00751CEC" w:rsidRDefault="00FB291F" w:rsidP="00FB2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FB291F" w:rsidRPr="00751CEC" w:rsidRDefault="00751CEC" w:rsidP="00FB29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5.</w:t>
      </w:r>
    </w:p>
    <w:p w:rsidR="00FB291F" w:rsidRPr="00751CEC" w:rsidRDefault="00751CEC" w:rsidP="00FB291F">
      <w:pPr>
        <w:shd w:val="clear" w:color="auto" w:fill="FFFFFF"/>
        <w:tabs>
          <w:tab w:val="left" w:pos="709"/>
        </w:tabs>
        <w:spacing w:after="48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licima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odredbama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prizna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isplatu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devizne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štednje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njihovim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naslednicima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devizne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štediše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izvršavaju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deset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jednakih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polugodišnjih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rata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dospevaju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svakog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avgusta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februara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počev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od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 xml:space="preserve"> 31.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avgusta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godine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zaključno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sa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 xml:space="preserve"> 28.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februarom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 xml:space="preserve"> 2023.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AVGUSTA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ZAKLJUČNO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FEBRUAROM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2024.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B291F" w:rsidRPr="00751CEC" w:rsidRDefault="00FB291F" w:rsidP="00FB291F">
      <w:pPr>
        <w:shd w:val="clear" w:color="auto" w:fill="FFFFFF"/>
        <w:tabs>
          <w:tab w:val="left" w:pos="709"/>
        </w:tabs>
        <w:spacing w:after="48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B291F" w:rsidRPr="00751CEC" w:rsidRDefault="00751CEC" w:rsidP="00FB29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11.</w:t>
      </w:r>
    </w:p>
    <w:p w:rsidR="00FB291F" w:rsidRPr="00751CEC" w:rsidRDefault="00751CEC" w:rsidP="00FB29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Prijava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potraživanja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može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podneti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roku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trike/>
          <w:noProof/>
          <w:sz w:val="24"/>
          <w:szCs w:val="24"/>
          <w:lang w:val="sr-Latn-CS"/>
        </w:rPr>
        <w:t>godinu</w:t>
      </w:r>
      <w:r w:rsidR="00FB291F" w:rsidRPr="00751CEC">
        <w:rPr>
          <w:rFonts w:ascii="Times New Roman" w:eastAsia="Times New Roman" w:hAnsi="Times New Roman" w:cs="Times New Roman"/>
          <w:bCs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strike/>
          <w:noProof/>
          <w:sz w:val="24"/>
          <w:szCs w:val="24"/>
          <w:lang w:val="sr-Latn-CS"/>
        </w:rPr>
        <w:t>dana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DVE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GODINE</w:t>
      </w:r>
      <w:r w:rsidR="00FB291F" w:rsidRPr="00751CE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objavljivanja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dnevnom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listu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distribuira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celoj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bivše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SFRJ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B291F" w:rsidRPr="00751CEC" w:rsidRDefault="00751CEC" w:rsidP="00FB291F">
      <w:pPr>
        <w:shd w:val="clear" w:color="auto" w:fill="FFFFFF"/>
        <w:tabs>
          <w:tab w:val="left" w:pos="1701"/>
        </w:tabs>
        <w:spacing w:after="48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isteku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gubi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potraživanje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neisplaćene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devizne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štednje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B291F" w:rsidRPr="00751CEC" w:rsidRDefault="00FB291F" w:rsidP="00FB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B291F" w:rsidRPr="00751CEC" w:rsidRDefault="00751CEC" w:rsidP="00FB2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12.</w:t>
      </w:r>
    </w:p>
    <w:p w:rsidR="00FB291F" w:rsidRPr="00751CEC" w:rsidRDefault="00751CEC" w:rsidP="00FB291F">
      <w:pPr>
        <w:shd w:val="clear" w:color="auto" w:fill="FFFFFF"/>
        <w:tabs>
          <w:tab w:val="left" w:pos="709"/>
        </w:tabs>
        <w:spacing w:after="48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potraživanja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posebnom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obrascu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B291F" w:rsidRPr="00751CEC" w:rsidRDefault="00751CEC" w:rsidP="00FB291F">
      <w:pPr>
        <w:shd w:val="clear" w:color="auto" w:fill="FFFFFF"/>
        <w:tabs>
          <w:tab w:val="left" w:pos="709"/>
        </w:tabs>
        <w:spacing w:after="48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potraživanja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overena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kopija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lične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karte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pasoša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original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štedne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knjižice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ORIGINAL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KARTICE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DEVIZNOG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pravnosnažnog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nasleđivanju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izjave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deviznog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štediše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date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krivičnom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materijalnom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odgovornošću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overene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preneo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deviznu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štednju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B291F" w:rsidRPr="00751CEC" w:rsidRDefault="00751CEC" w:rsidP="00FB291F">
      <w:pPr>
        <w:shd w:val="clear" w:color="auto" w:fill="FFFFFF"/>
        <w:tabs>
          <w:tab w:val="left" w:pos="709"/>
        </w:tabs>
        <w:spacing w:after="48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potraživanja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original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potvrde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nadležnih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organa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institucija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NADLEŽNIH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FINANSIJSKIH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INSTITUCIJA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bivših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SFRJ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tome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devizni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štediša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ostvario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devizne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štednje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niti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priznato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bivših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SFRJ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devizni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štediša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položio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deviznu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štednju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filijalama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teritorijama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bivših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SFRJ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prebivalište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tih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originale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potvrda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nadležnih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svih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bivših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SFRJ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čijoj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položio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deviznu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štednju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prebivalište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B291F" w:rsidRPr="00751CEC" w:rsidRDefault="00751CEC" w:rsidP="00FB291F">
      <w:pPr>
        <w:shd w:val="clear" w:color="auto" w:fill="FFFFFF"/>
        <w:tabs>
          <w:tab w:val="left" w:pos="709"/>
        </w:tabs>
        <w:spacing w:after="48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kada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devizne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štednje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ostvareno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delimično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potvrdi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unose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podaci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isplaćenih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datumima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tih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isplata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B291F" w:rsidRPr="00751CEC" w:rsidRDefault="00751CEC" w:rsidP="00FB291F">
      <w:pPr>
        <w:shd w:val="clear" w:color="auto" w:fill="FFFFFF"/>
        <w:tabs>
          <w:tab w:val="left" w:pos="709"/>
        </w:tabs>
        <w:spacing w:after="48" w:line="240" w:lineRule="auto"/>
        <w:ind w:firstLine="720"/>
        <w:jc w:val="both"/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Nadležni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organ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institucija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iz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stava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ovog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člana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jeste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organ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odnosno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institucija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koju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je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bivša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republika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SFRJ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ovlastila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da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izdaje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potvrde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iz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tog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stava</w:t>
      </w:r>
      <w:r w:rsidR="00FB291F" w:rsidRPr="00751CE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  <w:t>.</w:t>
      </w:r>
    </w:p>
    <w:p w:rsidR="00FB291F" w:rsidRPr="00751CEC" w:rsidRDefault="00751CEC" w:rsidP="00FB291F">
      <w:pPr>
        <w:shd w:val="clear" w:color="auto" w:fill="FFFFFF"/>
        <w:tabs>
          <w:tab w:val="left" w:pos="709"/>
        </w:tabs>
        <w:spacing w:after="48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INSTITUCIJA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JESTE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INSTITUCIJA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BIVŠA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SFRJ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OVLASTILA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IZDAJE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POTVRDE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B291F" w:rsidRPr="00751CEC" w:rsidRDefault="00FB291F" w:rsidP="00FB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B291F" w:rsidRPr="00751CEC" w:rsidRDefault="00751CEC" w:rsidP="00FB2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13.</w:t>
      </w:r>
    </w:p>
    <w:p w:rsidR="00FB291F" w:rsidRPr="00751CEC" w:rsidRDefault="00751CEC" w:rsidP="00FB291F">
      <w:pPr>
        <w:shd w:val="clear" w:color="auto" w:fill="FFFFFF"/>
        <w:tabs>
          <w:tab w:val="left" w:pos="709"/>
        </w:tabs>
        <w:spacing w:after="48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dostavljena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kompletna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tražiti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kompletira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tražiti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utvrđivanja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smislu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upozorenje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posledice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B291F" w:rsidRPr="00751CEC" w:rsidRDefault="00751CEC" w:rsidP="00FB291F">
      <w:pPr>
        <w:shd w:val="clear" w:color="auto" w:fill="FFFFFF"/>
        <w:tabs>
          <w:tab w:val="left" w:pos="709"/>
        </w:tabs>
        <w:spacing w:after="48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kad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podnosilac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original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štedne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knjižice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ORIGINAL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KARTICE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DEVIZNOG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B291F" w:rsidRPr="00751CEC" w:rsidRDefault="00751CEC" w:rsidP="00FB291F">
      <w:pPr>
        <w:shd w:val="clear" w:color="auto" w:fill="FFFFFF"/>
        <w:tabs>
          <w:tab w:val="left" w:pos="709"/>
        </w:tabs>
        <w:spacing w:after="48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kad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dostavljen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original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štedne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knjižice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ORIGINAL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KARTICE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DEVIZNOG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drugog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razloga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postoji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osnovana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sumnja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postojanju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potraživanja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njegove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uputiti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suda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Republici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pokrene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odgovarajući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utvrđivanje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postojanja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potraživanja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njegove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B291F" w:rsidRPr="00751CEC" w:rsidRDefault="00751CEC" w:rsidP="00FB291F">
      <w:pPr>
        <w:shd w:val="clear" w:color="auto" w:fill="FFFFFF"/>
        <w:tabs>
          <w:tab w:val="left" w:pos="709"/>
        </w:tabs>
        <w:spacing w:after="48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podnesak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podnosilac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nadležnom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sudu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kojom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nesumnjivo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dokazuje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potraživanje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štednog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uloga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njegove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B291F" w:rsidRPr="00751CEC" w:rsidRDefault="00751CEC" w:rsidP="00FB291F">
      <w:pPr>
        <w:shd w:val="clear" w:color="auto" w:fill="FFFFFF"/>
        <w:tabs>
          <w:tab w:val="left" w:pos="709"/>
        </w:tabs>
        <w:spacing w:after="48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Utvrđivanje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činjenica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nadležnim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sudom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smatra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prethodnim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pitanjem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upravnom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čemu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odgovarajući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zaključak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B291F" w:rsidRPr="00751CEC" w:rsidRDefault="00751CEC" w:rsidP="00FB291F">
      <w:pPr>
        <w:shd w:val="clear" w:color="auto" w:fill="FFFFFF"/>
        <w:tabs>
          <w:tab w:val="left" w:pos="709"/>
        </w:tabs>
        <w:spacing w:after="48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sudom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učestvuje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pravobranilac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B291F" w:rsidRPr="00751CEC" w:rsidRDefault="00751CEC" w:rsidP="00FB291F">
      <w:pPr>
        <w:shd w:val="clear" w:color="auto" w:fill="FFFFFF"/>
        <w:tabs>
          <w:tab w:val="left" w:pos="709"/>
        </w:tabs>
        <w:spacing w:after="48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pravnosnažne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suda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donete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postupku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Uprava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prijavi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deviznog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štediše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B291F" w:rsidRPr="00751CEC" w:rsidRDefault="00FB291F" w:rsidP="00FB29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B291F" w:rsidRPr="00751CEC" w:rsidRDefault="00751CEC" w:rsidP="00FB2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Član</w:t>
      </w:r>
      <w:r w:rsidR="00FB291F" w:rsidRPr="00751CE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17.</w:t>
      </w:r>
    </w:p>
    <w:p w:rsidR="00FB291F" w:rsidRPr="00751CEC" w:rsidRDefault="00751CEC" w:rsidP="00FB291F">
      <w:pPr>
        <w:shd w:val="clear" w:color="auto" w:fill="FFFFFF"/>
        <w:tabs>
          <w:tab w:val="left" w:pos="709"/>
        </w:tabs>
        <w:spacing w:after="48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pravnosnažnosti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rešenja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15.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Uprava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će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poništiti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original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štedne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knjižice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ORIGINAL</w:t>
      </w:r>
      <w:r w:rsidR="00FB291F" w:rsidRPr="00751C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KARTICE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DEVIZNOG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RAČUNA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</w:p>
    <w:p w:rsidR="00FB291F" w:rsidRPr="00751CEC" w:rsidRDefault="00751CEC" w:rsidP="00FB291F">
      <w:pPr>
        <w:shd w:val="clear" w:color="auto" w:fill="FFFFFF"/>
        <w:tabs>
          <w:tab w:val="left" w:pos="709"/>
        </w:tabs>
        <w:spacing w:after="48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pravnosnažnog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rešenja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15.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banke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kod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kojih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položena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devizna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štednja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njihovi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pravni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sledbenici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kao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banke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propisima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preuzele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poslove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vezi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isplatom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devizne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štednje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položene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kod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banaka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nad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kojima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pokrenut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postupak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stečaja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likvidacije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uz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prisustvo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deviznog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štediše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lica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poseduje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to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overeno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punomoćje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deviznog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štediše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stavljanja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uvid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poništene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štedne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knjižice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KARTICE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DEVIZNOG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RAČUNA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potvrde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Uprave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to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rešenje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doneto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odluke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suda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13.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3.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slučaju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kad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Upravi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nije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priložen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original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štedne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lastRenderedPageBreak/>
        <w:t>knjižice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ORIGINAL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KARTICE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DEVIZNOG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RAČUNA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otvaraju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deviznog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štedišu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vlasnički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račun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hartija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vrednosti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Centralnom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registru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FB291F" w:rsidRPr="00751CEC" w:rsidRDefault="00751CEC" w:rsidP="00FB291F">
      <w:pPr>
        <w:shd w:val="clear" w:color="auto" w:fill="FFFFFF"/>
        <w:tabs>
          <w:tab w:val="left" w:pos="709"/>
        </w:tabs>
        <w:spacing w:after="48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Istovremeno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otvaranjem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vlasničkog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računa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banke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deviznom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štediši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otvaraju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namenski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devizni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račun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rokovima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dospeća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prenose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sredstva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visini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dospele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rate</w:t>
      </w:r>
      <w:r w:rsidR="00FB291F" w:rsidRPr="00751C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FB291F" w:rsidRPr="00751CEC" w:rsidRDefault="00FB291F" w:rsidP="00FB291F">
      <w:pPr>
        <w:spacing w:after="0"/>
        <w:rPr>
          <w:rFonts w:ascii="Calibri" w:eastAsia="Times New Roman" w:hAnsi="Calibri" w:cs="Times New Roman"/>
          <w:noProof/>
          <w:lang w:val="sr-Latn-CS"/>
        </w:rPr>
      </w:pPr>
    </w:p>
    <w:p w:rsidR="00A22E6A" w:rsidRPr="00751CEC" w:rsidRDefault="00A22E6A">
      <w:pPr>
        <w:rPr>
          <w:noProof/>
          <w:lang w:val="sr-Latn-CS"/>
        </w:rPr>
      </w:pPr>
    </w:p>
    <w:sectPr w:rsidR="00A22E6A" w:rsidRPr="00751CEC" w:rsidSect="00D40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38C" w:rsidRDefault="0091438C" w:rsidP="00FB291F">
      <w:pPr>
        <w:spacing w:after="0" w:line="240" w:lineRule="auto"/>
      </w:pPr>
      <w:r>
        <w:separator/>
      </w:r>
    </w:p>
  </w:endnote>
  <w:endnote w:type="continuationSeparator" w:id="0">
    <w:p w:rsidR="0091438C" w:rsidRDefault="0091438C" w:rsidP="00FB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CEC" w:rsidRDefault="00751C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868838373"/>
      <w:docPartObj>
        <w:docPartGallery w:val="Page Numbers (Bottom of Page)"/>
        <w:docPartUnique/>
      </w:docPartObj>
    </w:sdtPr>
    <w:sdtEndPr/>
    <w:sdtContent>
      <w:p w:rsidR="00FB291F" w:rsidRPr="00751CEC" w:rsidRDefault="00FB291F">
        <w:pPr>
          <w:pStyle w:val="Footer"/>
          <w:jc w:val="right"/>
          <w:rPr>
            <w:noProof/>
            <w:lang w:val="sr-Latn-CS"/>
          </w:rPr>
        </w:pPr>
        <w:r w:rsidRPr="00751CEC">
          <w:rPr>
            <w:noProof/>
            <w:lang w:val="sr-Latn-CS"/>
          </w:rPr>
          <w:fldChar w:fldCharType="begin"/>
        </w:r>
        <w:r w:rsidRPr="00751CEC">
          <w:rPr>
            <w:noProof/>
            <w:lang w:val="sr-Latn-CS"/>
          </w:rPr>
          <w:instrText xml:space="preserve"> PAGE   \* MERGEFORMAT </w:instrText>
        </w:r>
        <w:r w:rsidRPr="00751CEC">
          <w:rPr>
            <w:noProof/>
            <w:lang w:val="sr-Latn-CS"/>
          </w:rPr>
          <w:fldChar w:fldCharType="separate"/>
        </w:r>
        <w:r w:rsidR="00751CEC">
          <w:rPr>
            <w:noProof/>
            <w:lang w:val="sr-Latn-CS"/>
          </w:rPr>
          <w:t>5</w:t>
        </w:r>
        <w:r w:rsidRPr="00751CEC">
          <w:rPr>
            <w:noProof/>
            <w:lang w:val="sr-Latn-CS"/>
          </w:rPr>
          <w:fldChar w:fldCharType="end"/>
        </w:r>
      </w:p>
    </w:sdtContent>
  </w:sdt>
  <w:p w:rsidR="00FB291F" w:rsidRPr="00751CEC" w:rsidRDefault="00FB291F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CEC" w:rsidRDefault="00751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38C" w:rsidRDefault="0091438C" w:rsidP="00FB291F">
      <w:pPr>
        <w:spacing w:after="0" w:line="240" w:lineRule="auto"/>
      </w:pPr>
      <w:r>
        <w:separator/>
      </w:r>
    </w:p>
  </w:footnote>
  <w:footnote w:type="continuationSeparator" w:id="0">
    <w:p w:rsidR="0091438C" w:rsidRDefault="0091438C" w:rsidP="00FB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CEC" w:rsidRDefault="00751C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CEC" w:rsidRDefault="00751C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CEC" w:rsidRDefault="00751C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00E83"/>
    <w:multiLevelType w:val="hybridMultilevel"/>
    <w:tmpl w:val="66EAB7AE"/>
    <w:lvl w:ilvl="0" w:tplc="4504F86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1F"/>
    <w:rsid w:val="0009523B"/>
    <w:rsid w:val="00751CEC"/>
    <w:rsid w:val="0091438C"/>
    <w:rsid w:val="00A22E6A"/>
    <w:rsid w:val="00CB0749"/>
    <w:rsid w:val="00FB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D0583D-A964-4574-8EB5-EF3ACFF6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9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B291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B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Kiurski</dc:creator>
  <cp:lastModifiedBy>Bojan Grgic</cp:lastModifiedBy>
  <cp:revision>2</cp:revision>
  <dcterms:created xsi:type="dcterms:W3CDTF">2017-11-21T13:26:00Z</dcterms:created>
  <dcterms:modified xsi:type="dcterms:W3CDTF">2017-11-21T13:26:00Z</dcterms:modified>
</cp:coreProperties>
</file>