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3D5" w:rsidRPr="000D06EF" w:rsidRDefault="001803D5">
      <w:pPr>
        <w:rPr>
          <w:rFonts w:ascii="Times New Roman" w:hAnsi="Times New Roman"/>
          <w:sz w:val="24"/>
        </w:rPr>
      </w:pPr>
      <w:r w:rsidRPr="000D06EF">
        <w:rPr>
          <w:rFonts w:ascii="Times New Roman" w:hAnsi="Times New Roman"/>
          <w:sz w:val="24"/>
        </w:rPr>
        <w:t>Прилог 1. Преглед  докумената јавних политика у Републици Србији, по утврђеним областима јавних политика</w:t>
      </w:r>
    </w:p>
    <w:p w:rsidR="001803D5" w:rsidRPr="000D06EF" w:rsidRDefault="001803D5" w:rsidP="000D06EF">
      <w:pPr>
        <w:jc w:val="both"/>
        <w:rPr>
          <w:rFonts w:ascii="Times New Roman" w:hAnsi="Times New Roman"/>
          <w:sz w:val="24"/>
          <w:lang w:val="sr-Cyrl-CS"/>
        </w:rPr>
      </w:pPr>
      <w:r w:rsidRPr="000D06EF">
        <w:rPr>
          <w:rFonts w:ascii="Times New Roman" w:hAnsi="Times New Roman"/>
          <w:b/>
          <w:sz w:val="24"/>
          <w:lang w:val="sr-Cyrl-CS"/>
        </w:rPr>
        <w:t>1) Правосуђе и правни систем</w:t>
      </w:r>
      <w:r w:rsidRPr="000D06EF">
        <w:rPr>
          <w:rFonts w:ascii="Times New Roman" w:hAnsi="Times New Roman"/>
          <w:sz w:val="24"/>
          <w:lang w:val="sr-Cyrl-CS"/>
        </w:rPr>
        <w:t xml:space="preserve"> обухвата питања владавине права, и јачање правосуђа и правосудног система (организације, независности и ефикасности правосуђа и мрежа судова, затворског система и коришћење алтернативних санкција), осигуравајући основна људска и мањинска права, борбу против корупције у јавном сектору и привреди као и подршку заштити људских и мањинских права. Три стратегије немају утврђен рок важења, док остале трају краће од 8 година. Иако је у свим стратегијама предвиђено доношење акционих планова, 5 садржи исти, при чему је за два истекао рок важења. Ниједан документ нема финансијски план спровођења мера и активности, док су једино у Националној стратегији за борбу против корупције у Републици Србији од 2013. до 2018. циљеви квантификовани што омогућава праћење остварења резултата.</w:t>
      </w:r>
    </w:p>
    <w:p w:rsidR="001803D5" w:rsidRPr="000D06EF" w:rsidRDefault="001803D5" w:rsidP="000D06EF">
      <w:pPr>
        <w:jc w:val="center"/>
        <w:rPr>
          <w:rFonts w:ascii="Times New Roman" w:hAnsi="Times New Roman"/>
          <w:sz w:val="18"/>
          <w:szCs w:val="18"/>
          <w:lang w:val="sr-Cyrl-CS"/>
        </w:rPr>
      </w:pPr>
      <w:r w:rsidRPr="000D06EF">
        <w:rPr>
          <w:rFonts w:ascii="Times New Roman" w:hAnsi="Times New Roman"/>
          <w:i/>
          <w:sz w:val="18"/>
          <w:szCs w:val="18"/>
          <w:lang w:val="sr-Cyrl-CS"/>
        </w:rPr>
        <w:t xml:space="preserve">Графикон </w:t>
      </w:r>
      <w:r>
        <w:rPr>
          <w:rFonts w:ascii="Times New Roman" w:hAnsi="Times New Roman"/>
          <w:i/>
          <w:sz w:val="18"/>
          <w:szCs w:val="18"/>
          <w:lang w:val="sr-Cyrl-CS"/>
        </w:rPr>
        <w:t>1</w:t>
      </w:r>
      <w:r w:rsidRPr="000D06EF">
        <w:rPr>
          <w:rFonts w:ascii="Times New Roman" w:hAnsi="Times New Roman"/>
          <w:sz w:val="18"/>
          <w:szCs w:val="18"/>
          <w:lang w:val="sr-Cyrl-CS"/>
        </w:rPr>
        <w:t xml:space="preserve">: </w:t>
      </w:r>
      <w:r w:rsidRPr="000D06EF">
        <w:rPr>
          <w:rFonts w:ascii="Times New Roman" w:hAnsi="Times New Roman"/>
          <w:b/>
          <w:color w:val="000000"/>
          <w:sz w:val="18"/>
          <w:szCs w:val="18"/>
          <w:lang w:val="sr-Cyrl-CS"/>
        </w:rPr>
        <w:t>Учешће важећих докумената у области правосуђе и правни систем</w:t>
      </w:r>
      <w:r w:rsidRPr="000D06EF">
        <w:rPr>
          <w:rFonts w:ascii="Times New Roman" w:hAnsi="Times New Roman"/>
          <w:b/>
          <w:color w:val="000000"/>
          <w:sz w:val="18"/>
          <w:szCs w:val="18"/>
        </w:rPr>
        <w:t xml:space="preserve"> са дефинисаним критеријумима</w:t>
      </w:r>
    </w:p>
    <w:p w:rsidR="001803D5" w:rsidRPr="000D06EF" w:rsidRDefault="001803D5" w:rsidP="000D06EF">
      <w:pPr>
        <w:jc w:val="center"/>
        <w:rPr>
          <w:rFonts w:ascii="Times New Roman" w:hAnsi="Times New Roman"/>
          <w:sz w:val="20"/>
          <w:szCs w:val="20"/>
          <w:lang w:val="sr-Cyrl-CS"/>
        </w:rPr>
      </w:pPr>
      <w:r w:rsidRPr="005444A2">
        <w:rPr>
          <w:rFonts w:ascii="Times New Roman" w:hAnsi="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299.25pt;height:191.25pt;visibility:visible">
            <v:imagedata r:id="rId6" o:title=""/>
          </v:shape>
        </w:pict>
      </w:r>
    </w:p>
    <w:p w:rsidR="001803D5" w:rsidRPr="000D06EF" w:rsidRDefault="001803D5" w:rsidP="000D06EF">
      <w:pPr>
        <w:spacing w:before="120" w:after="120"/>
        <w:rPr>
          <w:rFonts w:ascii="Times New Roman" w:hAnsi="Times New Roman"/>
          <w:b/>
          <w:sz w:val="18"/>
          <w:szCs w:val="18"/>
          <w:lang w:val="sr-Cyrl-CS"/>
        </w:rPr>
      </w:pPr>
      <w:r w:rsidRPr="000D06EF">
        <w:rPr>
          <w:rFonts w:ascii="Times New Roman" w:hAnsi="Times New Roman"/>
          <w:i/>
          <w:sz w:val="18"/>
          <w:szCs w:val="18"/>
          <w:lang w:val="sr-Cyrl-CS"/>
        </w:rPr>
        <w:t>Табела</w:t>
      </w:r>
      <w:r>
        <w:rPr>
          <w:rFonts w:ascii="Times New Roman" w:hAnsi="Times New Roman"/>
          <w:i/>
          <w:sz w:val="18"/>
          <w:szCs w:val="18"/>
          <w:lang w:val="sr-Cyrl-CS"/>
        </w:rPr>
        <w:t xml:space="preserve"> 1</w:t>
      </w:r>
      <w:r w:rsidRPr="000D06EF">
        <w:rPr>
          <w:rFonts w:ascii="Times New Roman" w:hAnsi="Times New Roman"/>
          <w:i/>
          <w:sz w:val="18"/>
          <w:szCs w:val="18"/>
          <w:lang w:val="sr-Cyrl-CS"/>
        </w:rPr>
        <w:t>:</w:t>
      </w:r>
      <w:r w:rsidRPr="000D06EF">
        <w:rPr>
          <w:rFonts w:ascii="Times New Roman" w:hAnsi="Times New Roman"/>
          <w:b/>
          <w:sz w:val="18"/>
          <w:szCs w:val="18"/>
          <w:lang w:val="sr-Cyrl-CS"/>
        </w:rPr>
        <w:t xml:space="preserve"> Правосуђе и правни систем – важећи документи јавних политика</w:t>
      </w:r>
    </w:p>
    <w:p w:rsidR="001803D5" w:rsidRPr="000D06EF" w:rsidRDefault="001803D5" w:rsidP="000D06EF">
      <w:pPr>
        <w:rPr>
          <w:rFonts w:ascii="Times New Roman" w:hAnsi="Times New Roman"/>
          <w:b/>
          <w:lang w:val="sr-Cyrl-CS"/>
        </w:rPr>
      </w:pPr>
      <w:r w:rsidRPr="005444A2">
        <w:rPr>
          <w:rFonts w:ascii="Times New Roman" w:hAnsi="Times New Roman"/>
          <w:b/>
          <w:noProof/>
        </w:rPr>
        <w:pict>
          <v:shape id="Picture 3" o:spid="_x0000_i1026" type="#_x0000_t75" style="width:421.5pt;height:222pt;visibility:visible">
            <v:imagedata r:id="rId7" o:title=""/>
          </v:shape>
        </w:pict>
      </w:r>
    </w:p>
    <w:p w:rsidR="001803D5" w:rsidRPr="000D06EF" w:rsidRDefault="001803D5" w:rsidP="000D06EF">
      <w:pPr>
        <w:jc w:val="both"/>
        <w:rPr>
          <w:rFonts w:ascii="Times New Roman" w:hAnsi="Times New Roman"/>
          <w:i/>
          <w:sz w:val="18"/>
          <w:szCs w:val="18"/>
          <w:lang w:val="sr-Cyrl-CS"/>
        </w:rPr>
      </w:pPr>
      <w:r w:rsidRPr="000D06EF">
        <w:rPr>
          <w:rFonts w:ascii="Times New Roman" w:hAnsi="Times New Roman"/>
          <w:b/>
          <w:lang w:val="sr-Cyrl-CS"/>
        </w:rPr>
        <w:tab/>
      </w:r>
      <w:r w:rsidRPr="000D06EF">
        <w:rPr>
          <w:rFonts w:ascii="Times New Roman" w:hAnsi="Times New Roman"/>
          <w:b/>
          <w:sz w:val="24"/>
          <w:lang w:val="sr-Cyrl-CS"/>
        </w:rPr>
        <w:t xml:space="preserve">2) </w:t>
      </w:r>
      <w:r>
        <w:rPr>
          <w:rFonts w:ascii="Times New Roman" w:hAnsi="Times New Roman"/>
          <w:b/>
          <w:sz w:val="24"/>
        </w:rPr>
        <w:t>Унутрашња</w:t>
      </w:r>
      <w:r w:rsidRPr="000D06EF">
        <w:rPr>
          <w:rFonts w:ascii="Times New Roman" w:hAnsi="Times New Roman"/>
          <w:b/>
          <w:sz w:val="24"/>
          <w:lang w:val="sr-Cyrl-CS"/>
        </w:rPr>
        <w:t xml:space="preserve"> безбедност. </w:t>
      </w:r>
      <w:r w:rsidRPr="000D06EF">
        <w:rPr>
          <w:rFonts w:ascii="Times New Roman" w:hAnsi="Times New Roman"/>
          <w:sz w:val="24"/>
          <w:lang w:val="sr-Cyrl-CS"/>
        </w:rPr>
        <w:t>Ова област покрива општу безбедност и сигурност, превенцију и одбрану од разних врста криминала, као и управљање и контролу граница, укључујући миграције и азил, заштиту од пожара, заштиту и спасавање у ванредним ситуацијама. Према броју донетих докумената јавних политика (</w:t>
      </w:r>
      <w:r>
        <w:rPr>
          <w:rFonts w:ascii="Times New Roman" w:hAnsi="Times New Roman"/>
          <w:sz w:val="24"/>
          <w:lang w:val="sr-Cyrl-CS"/>
        </w:rPr>
        <w:t>10</w:t>
      </w:r>
      <w:r w:rsidRPr="000D06EF">
        <w:rPr>
          <w:rFonts w:ascii="Times New Roman" w:hAnsi="Times New Roman"/>
          <w:sz w:val="24"/>
          <w:lang w:val="sr-Cyrl-CS"/>
        </w:rPr>
        <w:t>) ово је</w:t>
      </w:r>
      <w:r>
        <w:rPr>
          <w:rFonts w:ascii="Times New Roman" w:hAnsi="Times New Roman"/>
          <w:sz w:val="24"/>
          <w:lang w:val="sr-Cyrl-CS"/>
        </w:rPr>
        <w:t xml:space="preserve"> једна од</w:t>
      </w:r>
      <w:r w:rsidRPr="000D06EF">
        <w:rPr>
          <w:rFonts w:ascii="Times New Roman" w:hAnsi="Times New Roman"/>
          <w:sz w:val="24"/>
          <w:lang w:val="sr-Cyrl-CS"/>
        </w:rPr>
        <w:t xml:space="preserve"> најбројниј</w:t>
      </w:r>
      <w:r>
        <w:rPr>
          <w:rFonts w:ascii="Times New Roman" w:hAnsi="Times New Roman"/>
          <w:sz w:val="24"/>
          <w:lang w:val="sr-Cyrl-CS"/>
        </w:rPr>
        <w:t>их</w:t>
      </w:r>
      <w:r w:rsidRPr="000D06EF">
        <w:rPr>
          <w:rFonts w:ascii="Times New Roman" w:hAnsi="Times New Roman"/>
          <w:sz w:val="24"/>
          <w:lang w:val="sr-Cyrl-CS"/>
        </w:rPr>
        <w:t xml:space="preserve"> област</w:t>
      </w:r>
      <w:r>
        <w:rPr>
          <w:rFonts w:ascii="Times New Roman" w:hAnsi="Times New Roman"/>
          <w:sz w:val="24"/>
          <w:lang w:val="sr-Cyrl-CS"/>
        </w:rPr>
        <w:t>и</w:t>
      </w:r>
      <w:r w:rsidRPr="000D06EF">
        <w:rPr>
          <w:rFonts w:ascii="Times New Roman" w:hAnsi="Times New Roman"/>
          <w:sz w:val="24"/>
          <w:lang w:val="sr-Cyrl-CS"/>
        </w:rPr>
        <w:t xml:space="preserve">. Међутим, само три стратегије имају важеће акционе планове. Ниједна стратегија нема квантификоване циљеве, док су једино у Стратегији за управљање границама идентификована потребна финансијска средства. У </w:t>
      </w:r>
      <w:r>
        <w:rPr>
          <w:rFonts w:ascii="Times New Roman" w:hAnsi="Times New Roman"/>
          <w:sz w:val="24"/>
          <w:lang w:val="sr-Cyrl-CS"/>
        </w:rPr>
        <w:t>пет</w:t>
      </w:r>
      <w:r w:rsidRPr="000D06EF">
        <w:rPr>
          <w:rFonts w:ascii="Times New Roman" w:hAnsi="Times New Roman"/>
          <w:sz w:val="24"/>
          <w:lang w:val="sr-Cyrl-CS"/>
        </w:rPr>
        <w:t xml:space="preserve"> докумената није одређен рок важења.    </w:t>
      </w:r>
    </w:p>
    <w:p w:rsidR="001803D5" w:rsidRPr="000D06EF" w:rsidRDefault="001803D5" w:rsidP="000D06EF">
      <w:pPr>
        <w:jc w:val="center"/>
        <w:rPr>
          <w:rFonts w:ascii="Times New Roman" w:hAnsi="Times New Roman"/>
          <w:b/>
          <w:color w:val="000000"/>
          <w:sz w:val="18"/>
          <w:szCs w:val="18"/>
          <w:lang w:val="sr-Cyrl-CS"/>
        </w:rPr>
      </w:pPr>
      <w:r w:rsidRPr="000D06EF">
        <w:rPr>
          <w:rFonts w:ascii="Times New Roman" w:hAnsi="Times New Roman"/>
          <w:i/>
          <w:sz w:val="18"/>
          <w:szCs w:val="18"/>
          <w:lang w:val="sr-Cyrl-CS"/>
        </w:rPr>
        <w:t xml:space="preserve">Графикон </w:t>
      </w:r>
      <w:r>
        <w:rPr>
          <w:rFonts w:ascii="Times New Roman" w:hAnsi="Times New Roman"/>
          <w:i/>
          <w:sz w:val="18"/>
          <w:szCs w:val="18"/>
          <w:lang w:val="sr-Cyrl-CS"/>
        </w:rPr>
        <w:t>2</w:t>
      </w:r>
      <w:r w:rsidRPr="000D06EF">
        <w:rPr>
          <w:rFonts w:ascii="Times New Roman" w:hAnsi="Times New Roman"/>
          <w:i/>
          <w:sz w:val="18"/>
          <w:szCs w:val="18"/>
          <w:lang w:val="sr-Cyrl-CS"/>
        </w:rPr>
        <w:t>:</w:t>
      </w:r>
      <w:r w:rsidRPr="000D06EF">
        <w:rPr>
          <w:rFonts w:ascii="Times New Roman" w:hAnsi="Times New Roman"/>
          <w:b/>
          <w:color w:val="000000"/>
          <w:sz w:val="18"/>
          <w:szCs w:val="18"/>
          <w:lang w:val="sr-Cyrl-CS"/>
        </w:rPr>
        <w:t>Учешће важећих докумената у области јавна безбедност</w:t>
      </w:r>
      <w:r w:rsidRPr="000D06EF">
        <w:rPr>
          <w:rFonts w:ascii="Times New Roman" w:hAnsi="Times New Roman"/>
          <w:b/>
          <w:color w:val="000000"/>
          <w:sz w:val="18"/>
          <w:szCs w:val="18"/>
        </w:rPr>
        <w:t>са дефинисаним критеријумима</w:t>
      </w:r>
    </w:p>
    <w:p w:rsidR="001803D5" w:rsidRPr="000D06EF" w:rsidRDefault="001803D5" w:rsidP="000D06EF">
      <w:pPr>
        <w:jc w:val="center"/>
        <w:rPr>
          <w:rFonts w:ascii="Times New Roman" w:hAnsi="Times New Roman"/>
          <w:sz w:val="20"/>
          <w:szCs w:val="20"/>
          <w:lang w:val="sr-Cyrl-CS"/>
        </w:rPr>
      </w:pPr>
      <w:r w:rsidRPr="005444A2">
        <w:rPr>
          <w:noProof/>
          <w:szCs w:val="20"/>
        </w:rPr>
        <w:pict>
          <v:shape id="Picture 1" o:spid="_x0000_i1027" type="#_x0000_t75" style="width:333.75pt;height:207.75pt;visibility:visible">
            <v:imagedata r:id="rId8" o:title=""/>
          </v:shape>
        </w:pict>
      </w:r>
    </w:p>
    <w:p w:rsidR="001803D5" w:rsidRPr="000D06EF" w:rsidRDefault="001803D5" w:rsidP="000D06EF">
      <w:pPr>
        <w:spacing w:before="120" w:after="120"/>
        <w:rPr>
          <w:rFonts w:ascii="Times New Roman" w:hAnsi="Times New Roman"/>
          <w:b/>
          <w:sz w:val="18"/>
          <w:szCs w:val="18"/>
          <w:lang w:val="sr-Cyrl-CS"/>
        </w:rPr>
      </w:pPr>
      <w:r w:rsidRPr="000D06EF">
        <w:rPr>
          <w:rFonts w:ascii="Times New Roman" w:hAnsi="Times New Roman"/>
          <w:i/>
          <w:sz w:val="18"/>
          <w:szCs w:val="18"/>
          <w:lang w:val="sr-Cyrl-CS"/>
        </w:rPr>
        <w:t xml:space="preserve">Табела </w:t>
      </w:r>
      <w:r>
        <w:rPr>
          <w:rFonts w:ascii="Times New Roman" w:hAnsi="Times New Roman"/>
          <w:i/>
          <w:sz w:val="18"/>
          <w:szCs w:val="18"/>
          <w:lang w:val="sr-Cyrl-CS"/>
        </w:rPr>
        <w:t>2</w:t>
      </w:r>
      <w:r w:rsidRPr="000D06EF">
        <w:rPr>
          <w:rFonts w:ascii="Times New Roman" w:hAnsi="Times New Roman"/>
          <w:i/>
          <w:sz w:val="18"/>
          <w:szCs w:val="18"/>
          <w:lang w:val="sr-Cyrl-CS"/>
        </w:rPr>
        <w:t>:</w:t>
      </w:r>
      <w:r w:rsidRPr="000D06EF">
        <w:rPr>
          <w:rFonts w:ascii="Times New Roman" w:hAnsi="Times New Roman"/>
          <w:b/>
          <w:sz w:val="18"/>
          <w:szCs w:val="18"/>
          <w:lang w:val="sr-Cyrl-CS"/>
        </w:rPr>
        <w:t xml:space="preserve"> </w:t>
      </w:r>
      <w:r>
        <w:rPr>
          <w:rFonts w:ascii="Times New Roman" w:hAnsi="Times New Roman"/>
          <w:b/>
          <w:sz w:val="18"/>
          <w:szCs w:val="18"/>
          <w:lang w:val="sr-Cyrl-CS"/>
        </w:rPr>
        <w:t>Унутрашња</w:t>
      </w:r>
      <w:r w:rsidRPr="000D06EF">
        <w:rPr>
          <w:rFonts w:ascii="Times New Roman" w:hAnsi="Times New Roman"/>
          <w:b/>
          <w:sz w:val="18"/>
          <w:szCs w:val="18"/>
          <w:lang w:val="sr-Cyrl-CS"/>
        </w:rPr>
        <w:t xml:space="preserve"> безбедност – важећи документи јавних политика</w:t>
      </w:r>
    </w:p>
    <w:p w:rsidR="001803D5" w:rsidRPr="000D06EF" w:rsidRDefault="001803D5" w:rsidP="000D06EF">
      <w:pPr>
        <w:rPr>
          <w:rFonts w:ascii="Times New Roman" w:hAnsi="Times New Roman"/>
          <w:b/>
          <w:sz w:val="20"/>
          <w:szCs w:val="20"/>
          <w:lang w:val="sr-Cyrl-CS"/>
        </w:rPr>
      </w:pPr>
      <w:r w:rsidRPr="005444A2">
        <w:rPr>
          <w:noProof/>
          <w:szCs w:val="20"/>
        </w:rPr>
        <w:pict>
          <v:shape id="_x0000_i1028" type="#_x0000_t75" style="width:438.75pt;height:248.25pt;visibility:visible">
            <v:imagedata r:id="rId9" o:title=""/>
          </v:shape>
        </w:pict>
      </w:r>
    </w:p>
    <w:p w:rsidR="001803D5" w:rsidRDefault="001803D5" w:rsidP="000D06EF">
      <w:pPr>
        <w:pStyle w:val="NoSpacing"/>
        <w:spacing w:after="120"/>
        <w:jc w:val="both"/>
        <w:rPr>
          <w:rFonts w:ascii="Times New Roman" w:hAnsi="Times New Roman"/>
          <w:b/>
          <w:lang w:val="sr-Cyrl-CS"/>
        </w:rPr>
      </w:pPr>
      <w:r w:rsidRPr="000D06EF">
        <w:rPr>
          <w:rFonts w:ascii="Times New Roman" w:hAnsi="Times New Roman"/>
          <w:b/>
          <w:lang w:val="sr-Cyrl-CS"/>
        </w:rPr>
        <w:tab/>
      </w:r>
    </w:p>
    <w:p w:rsidR="001803D5" w:rsidRDefault="001803D5" w:rsidP="00752FBD">
      <w:pPr>
        <w:pStyle w:val="NoSpacing"/>
        <w:spacing w:after="120"/>
        <w:ind w:firstLine="708"/>
        <w:jc w:val="both"/>
        <w:rPr>
          <w:rFonts w:ascii="Times New Roman" w:hAnsi="Times New Roman"/>
          <w:b/>
          <w:lang w:val="sr-Cyrl-CS"/>
        </w:rPr>
      </w:pPr>
    </w:p>
    <w:p w:rsidR="001803D5" w:rsidRDefault="001803D5" w:rsidP="00752FBD">
      <w:pPr>
        <w:pStyle w:val="NoSpacing"/>
        <w:spacing w:after="120"/>
        <w:ind w:firstLine="708"/>
        <w:jc w:val="both"/>
        <w:rPr>
          <w:rFonts w:ascii="Times New Roman" w:hAnsi="Times New Roman"/>
          <w:sz w:val="24"/>
          <w:szCs w:val="24"/>
          <w:lang w:val="sr-Cyrl-CS"/>
        </w:rPr>
      </w:pPr>
      <w:r w:rsidRPr="00752FBD">
        <w:rPr>
          <w:rFonts w:ascii="Times New Roman" w:hAnsi="Times New Roman"/>
          <w:b/>
          <w:sz w:val="24"/>
          <w:szCs w:val="24"/>
          <w:lang w:val="sr-Cyrl-CS"/>
        </w:rPr>
        <w:t xml:space="preserve">3) Национална безбедност. </w:t>
      </w:r>
      <w:r w:rsidRPr="00752FBD">
        <w:rPr>
          <w:rFonts w:ascii="Times New Roman" w:hAnsi="Times New Roman"/>
          <w:sz w:val="24"/>
          <w:szCs w:val="24"/>
          <w:lang w:val="sr-Cyrl-CS"/>
        </w:rPr>
        <w:t>Ова област</w:t>
      </w:r>
      <w:r>
        <w:rPr>
          <w:rFonts w:ascii="Times New Roman" w:hAnsi="Times New Roman"/>
          <w:b/>
          <w:sz w:val="24"/>
          <w:szCs w:val="24"/>
          <w:lang w:val="sr-Cyrl-CS"/>
        </w:rPr>
        <w:t xml:space="preserve"> </w:t>
      </w:r>
      <w:r>
        <w:rPr>
          <w:rFonts w:ascii="Times New Roman" w:hAnsi="Times New Roman"/>
          <w:sz w:val="24"/>
          <w:szCs w:val="24"/>
          <w:lang w:val="sr-Cyrl-CS"/>
        </w:rPr>
        <w:t xml:space="preserve">се односи на </w:t>
      </w:r>
      <w:r w:rsidRPr="00752FBD">
        <w:rPr>
          <w:rFonts w:ascii="Times New Roman" w:hAnsi="Times New Roman"/>
          <w:sz w:val="24"/>
          <w:szCs w:val="24"/>
          <w:lang w:val="sr-Cyrl-CS"/>
        </w:rPr>
        <w:t>политику одбране и међународну сарадњу у области одбране и војне сарадње, планирање и припремање мобилизације уређивање и припремање територије Републике Србије за потребе одбране, истраживање, развој, производњу и промет наоружања и војне опреме, опремање и наоружавање Војске Србије и других снага одбране</w:t>
      </w:r>
      <w:r>
        <w:rPr>
          <w:rFonts w:ascii="Times New Roman" w:hAnsi="Times New Roman"/>
          <w:sz w:val="24"/>
          <w:szCs w:val="24"/>
          <w:lang w:val="sr-Cyrl-CS"/>
        </w:rPr>
        <w:t>. Важеће су две стратегије: Стратегија одбране Републике Србије и Стратегија националне безбедности. Обе стратегије имају усвојене акционе планове за спровођење, али ни једна стратегија нема квантификоване циљеве ни процењена финансијска средства, неопходна за реализацију утврђених мера и активности.</w:t>
      </w:r>
    </w:p>
    <w:p w:rsidR="001803D5" w:rsidRDefault="001803D5" w:rsidP="003B5A6A">
      <w:pPr>
        <w:spacing w:before="120" w:after="120"/>
        <w:rPr>
          <w:rFonts w:ascii="Times New Roman" w:hAnsi="Times New Roman"/>
          <w:i/>
          <w:sz w:val="18"/>
          <w:szCs w:val="18"/>
          <w:lang w:val="sr-Cyrl-CS"/>
        </w:rPr>
      </w:pPr>
    </w:p>
    <w:p w:rsidR="001803D5" w:rsidRPr="000D06EF" w:rsidRDefault="001803D5" w:rsidP="003B5A6A">
      <w:pPr>
        <w:spacing w:before="120" w:after="120"/>
        <w:rPr>
          <w:rFonts w:ascii="Times New Roman" w:hAnsi="Times New Roman"/>
          <w:b/>
          <w:sz w:val="18"/>
          <w:szCs w:val="18"/>
          <w:lang w:val="sr-Cyrl-CS"/>
        </w:rPr>
      </w:pPr>
      <w:r w:rsidRPr="00752FBD">
        <w:rPr>
          <w:rFonts w:ascii="Times New Roman" w:hAnsi="Times New Roman"/>
          <w:i/>
          <w:sz w:val="18"/>
          <w:szCs w:val="18"/>
          <w:lang w:val="sr-Cyrl-CS"/>
        </w:rPr>
        <w:t>Табела 3:</w:t>
      </w:r>
      <w:r w:rsidRPr="00752FBD">
        <w:rPr>
          <w:rFonts w:ascii="Times New Roman" w:hAnsi="Times New Roman"/>
          <w:b/>
          <w:sz w:val="18"/>
          <w:szCs w:val="18"/>
          <w:lang w:val="sr-Cyrl-CS"/>
        </w:rPr>
        <w:t xml:space="preserve"> </w:t>
      </w:r>
      <w:r>
        <w:rPr>
          <w:rFonts w:ascii="Times New Roman" w:hAnsi="Times New Roman"/>
          <w:b/>
          <w:sz w:val="18"/>
          <w:szCs w:val="18"/>
          <w:lang w:val="sr-Cyrl-CS"/>
        </w:rPr>
        <w:t>Национална безбедност</w:t>
      </w:r>
      <w:r w:rsidRPr="00752FBD">
        <w:rPr>
          <w:rFonts w:ascii="Times New Roman" w:hAnsi="Times New Roman"/>
          <w:b/>
          <w:sz w:val="18"/>
          <w:szCs w:val="18"/>
          <w:lang w:val="sr-Cyrl-CS"/>
        </w:rPr>
        <w:t xml:space="preserve"> – важећи документи јавних политика</w:t>
      </w:r>
    </w:p>
    <w:p w:rsidR="001803D5" w:rsidRPr="003B5A6A" w:rsidRDefault="001803D5" w:rsidP="003B5A6A">
      <w:pPr>
        <w:pStyle w:val="NoSpacing"/>
        <w:spacing w:after="120"/>
        <w:jc w:val="both"/>
        <w:rPr>
          <w:rFonts w:ascii="Times New Roman" w:hAnsi="Times New Roman"/>
          <w:sz w:val="24"/>
          <w:szCs w:val="24"/>
        </w:rPr>
      </w:pPr>
      <w:r w:rsidRPr="005444A2">
        <w:rPr>
          <w:noProof/>
          <w:szCs w:val="24"/>
        </w:rPr>
        <w:pict>
          <v:shape id="Picture 4" o:spid="_x0000_i1029" type="#_x0000_t75" style="width:433.5pt;height:65.25pt;visibility:visible">
            <v:imagedata r:id="rId10" o:title=""/>
          </v:shape>
        </w:pict>
      </w:r>
    </w:p>
    <w:p w:rsidR="001803D5" w:rsidRDefault="001803D5" w:rsidP="00752FBD">
      <w:pPr>
        <w:pStyle w:val="NoSpacing"/>
        <w:spacing w:after="120"/>
        <w:ind w:firstLine="708"/>
        <w:jc w:val="both"/>
        <w:rPr>
          <w:rFonts w:ascii="Times New Roman" w:hAnsi="Times New Roman"/>
          <w:b/>
          <w:sz w:val="24"/>
          <w:lang w:val="sr-Cyrl-CS"/>
        </w:rPr>
      </w:pPr>
    </w:p>
    <w:p w:rsidR="001803D5" w:rsidRPr="00752FBD" w:rsidRDefault="001803D5" w:rsidP="00752FBD">
      <w:pPr>
        <w:pStyle w:val="NoSpacing"/>
        <w:spacing w:after="120"/>
        <w:ind w:firstLine="708"/>
        <w:jc w:val="both"/>
        <w:rPr>
          <w:rFonts w:ascii="Times New Roman" w:hAnsi="Times New Roman"/>
          <w:sz w:val="24"/>
          <w:lang w:val="sr-Cyrl-CS"/>
        </w:rPr>
      </w:pPr>
      <w:r>
        <w:rPr>
          <w:rFonts w:ascii="Times New Roman" w:hAnsi="Times New Roman"/>
          <w:b/>
          <w:sz w:val="24"/>
          <w:lang w:val="sr-Cyrl-CS"/>
        </w:rPr>
        <w:t>4</w:t>
      </w:r>
      <w:r w:rsidRPr="000D06EF">
        <w:rPr>
          <w:rFonts w:ascii="Times New Roman" w:hAnsi="Times New Roman"/>
          <w:b/>
          <w:sz w:val="24"/>
          <w:lang w:val="sr-Cyrl-CS"/>
        </w:rPr>
        <w:t xml:space="preserve">) Јавна управа. </w:t>
      </w:r>
      <w:r w:rsidRPr="000D06EF">
        <w:rPr>
          <w:rFonts w:ascii="Times New Roman" w:hAnsi="Times New Roman"/>
          <w:sz w:val="24"/>
          <w:lang w:val="sr-Cyrl-CS"/>
        </w:rPr>
        <w:t xml:space="preserve">Ова област односи се на делотворно управљање и ефикасан рад управе на свим административним нивоима, као и управљање информацијама, статистиком, људским ресурсима. У овој области су важеће четири стратегије, при чему се као кровни документ намеће Стратегија реформе јавне управе. Три стратегије имају усвојене акционе планове. </w:t>
      </w:r>
      <w:r w:rsidRPr="00752FBD">
        <w:rPr>
          <w:rFonts w:ascii="Times New Roman" w:hAnsi="Times New Roman"/>
          <w:sz w:val="24"/>
          <w:lang w:val="sr-Cyrl-CS"/>
        </w:rPr>
        <w:t xml:space="preserve">Једино су у Стратегији реформе јавне управе (кроз Акциони план) </w:t>
      </w:r>
      <w:r w:rsidRPr="00752FBD">
        <w:rPr>
          <w:rFonts w:ascii="Times New Roman" w:hAnsi="Times New Roman"/>
          <w:sz w:val="24"/>
        </w:rPr>
        <w:t xml:space="preserve">и у Стратегији развоја електтронске управе у Републици Србији за период од 2015. до 2018. </w:t>
      </w:r>
      <w:r w:rsidRPr="00752FBD">
        <w:rPr>
          <w:rFonts w:ascii="Times New Roman" w:hAnsi="Times New Roman"/>
          <w:sz w:val="24"/>
          <w:lang w:val="sr-Cyrl-CS"/>
        </w:rPr>
        <w:t xml:space="preserve">детаљно постављени индикатори са базним и циљним вредностима на нивоу циљева и резултата, ради адекватног праћења успешности, и процењена потребна финансијска средства. Акционим планом за спровођење Програма Владе планирана је израда Стратегије функционалне </w:t>
      </w:r>
      <w:r>
        <w:rPr>
          <w:rFonts w:ascii="Times New Roman" w:hAnsi="Times New Roman"/>
          <w:sz w:val="24"/>
          <w:lang w:val="sr-Cyrl-CS"/>
        </w:rPr>
        <w:t xml:space="preserve">расподеле надлежности </w:t>
      </w:r>
      <w:r w:rsidRPr="00752FBD">
        <w:rPr>
          <w:rFonts w:ascii="Times New Roman" w:hAnsi="Times New Roman"/>
          <w:sz w:val="24"/>
          <w:lang w:val="sr-Cyrl-CS"/>
        </w:rPr>
        <w:t xml:space="preserve">у Републици Србији као и Стратегија развоја статистике у образовању и науци. </w:t>
      </w:r>
    </w:p>
    <w:p w:rsidR="001803D5" w:rsidRPr="000D06EF" w:rsidRDefault="001803D5" w:rsidP="000D06EF">
      <w:pPr>
        <w:jc w:val="center"/>
        <w:rPr>
          <w:rFonts w:ascii="Times New Roman" w:hAnsi="Times New Roman"/>
          <w:b/>
          <w:color w:val="000000"/>
          <w:sz w:val="18"/>
          <w:szCs w:val="18"/>
          <w:lang w:val="sr-Cyrl-CS"/>
        </w:rPr>
      </w:pPr>
      <w:r w:rsidRPr="00752FBD">
        <w:rPr>
          <w:rFonts w:ascii="Times New Roman" w:hAnsi="Times New Roman"/>
          <w:i/>
          <w:sz w:val="18"/>
          <w:szCs w:val="18"/>
          <w:lang w:val="sr-Cyrl-CS"/>
        </w:rPr>
        <w:t>Графикон 3:</w:t>
      </w:r>
      <w:r w:rsidRPr="00752FBD">
        <w:rPr>
          <w:rFonts w:ascii="Times New Roman" w:hAnsi="Times New Roman"/>
          <w:b/>
          <w:color w:val="000000"/>
          <w:sz w:val="18"/>
          <w:szCs w:val="18"/>
          <w:lang w:val="sr-Cyrl-CS"/>
        </w:rPr>
        <w:t>Учешће важећих докумената у области јавна управа</w:t>
      </w:r>
      <w:r w:rsidRPr="00752FBD">
        <w:rPr>
          <w:rFonts w:ascii="Times New Roman" w:hAnsi="Times New Roman"/>
          <w:b/>
          <w:color w:val="000000"/>
          <w:sz w:val="18"/>
          <w:szCs w:val="18"/>
        </w:rPr>
        <w:t>са дефинисаним критеријумима</w:t>
      </w:r>
    </w:p>
    <w:p w:rsidR="001803D5" w:rsidRPr="000D06EF" w:rsidRDefault="001803D5" w:rsidP="000D06EF">
      <w:pPr>
        <w:pStyle w:val="NoSpacing"/>
        <w:jc w:val="center"/>
        <w:rPr>
          <w:rFonts w:ascii="Times New Roman" w:hAnsi="Times New Roman"/>
          <w:sz w:val="20"/>
          <w:szCs w:val="20"/>
          <w:lang w:val="sr-Cyrl-CS"/>
        </w:rPr>
      </w:pPr>
      <w:r w:rsidRPr="005444A2">
        <w:rPr>
          <w:noProof/>
          <w:szCs w:val="20"/>
        </w:rPr>
        <w:pict>
          <v:shape id="_x0000_i1030" type="#_x0000_t75" style="width:342pt;height:210pt;visibility:visible">
            <v:imagedata r:id="rId11" o:title=""/>
          </v:shape>
        </w:pict>
      </w:r>
    </w:p>
    <w:p w:rsidR="001803D5" w:rsidRPr="000D06EF" w:rsidRDefault="001803D5" w:rsidP="000D06EF">
      <w:pPr>
        <w:pStyle w:val="NoSpacing"/>
        <w:rPr>
          <w:rFonts w:ascii="Times New Roman" w:hAnsi="Times New Roman"/>
          <w:b/>
          <w:sz w:val="20"/>
          <w:szCs w:val="20"/>
          <w:lang w:val="sr-Cyrl-CS"/>
        </w:rPr>
      </w:pPr>
    </w:p>
    <w:p w:rsidR="001803D5" w:rsidRDefault="001803D5" w:rsidP="000D06EF">
      <w:pPr>
        <w:spacing w:before="120" w:after="120"/>
        <w:rPr>
          <w:rFonts w:ascii="Times New Roman" w:hAnsi="Times New Roman"/>
          <w:i/>
          <w:sz w:val="18"/>
          <w:szCs w:val="18"/>
          <w:lang w:val="sr-Cyrl-CS"/>
        </w:rPr>
      </w:pPr>
    </w:p>
    <w:p w:rsidR="001803D5" w:rsidRDefault="001803D5" w:rsidP="000D06EF">
      <w:pPr>
        <w:spacing w:before="120" w:after="120"/>
        <w:rPr>
          <w:rFonts w:ascii="Times New Roman" w:hAnsi="Times New Roman"/>
          <w:i/>
          <w:sz w:val="18"/>
          <w:szCs w:val="18"/>
          <w:lang w:val="sr-Cyrl-CS"/>
        </w:rPr>
      </w:pPr>
    </w:p>
    <w:p w:rsidR="001803D5" w:rsidRPr="000D06EF" w:rsidRDefault="001803D5" w:rsidP="000D06EF">
      <w:pPr>
        <w:spacing w:before="120" w:after="120"/>
        <w:rPr>
          <w:rFonts w:ascii="Times New Roman" w:hAnsi="Times New Roman"/>
          <w:b/>
          <w:sz w:val="18"/>
          <w:szCs w:val="18"/>
          <w:lang w:val="sr-Cyrl-CS"/>
        </w:rPr>
      </w:pPr>
      <w:r w:rsidRPr="00752FBD">
        <w:rPr>
          <w:rFonts w:ascii="Times New Roman" w:hAnsi="Times New Roman"/>
          <w:i/>
          <w:sz w:val="18"/>
          <w:szCs w:val="18"/>
          <w:lang w:val="sr-Cyrl-CS"/>
        </w:rPr>
        <w:t xml:space="preserve">Табела </w:t>
      </w:r>
      <w:r>
        <w:rPr>
          <w:rFonts w:ascii="Times New Roman" w:hAnsi="Times New Roman"/>
          <w:i/>
          <w:sz w:val="18"/>
          <w:szCs w:val="18"/>
          <w:lang w:val="sr-Cyrl-CS"/>
        </w:rPr>
        <w:t>4</w:t>
      </w:r>
      <w:r w:rsidRPr="00752FBD">
        <w:rPr>
          <w:rFonts w:ascii="Times New Roman" w:hAnsi="Times New Roman"/>
          <w:i/>
          <w:sz w:val="18"/>
          <w:szCs w:val="18"/>
          <w:lang w:val="sr-Cyrl-CS"/>
        </w:rPr>
        <w:t>:</w:t>
      </w:r>
      <w:r w:rsidRPr="00752FBD">
        <w:rPr>
          <w:rFonts w:ascii="Times New Roman" w:hAnsi="Times New Roman"/>
          <w:b/>
          <w:sz w:val="18"/>
          <w:szCs w:val="18"/>
          <w:lang w:val="sr-Cyrl-CS"/>
        </w:rPr>
        <w:t xml:space="preserve"> Јавна управа – важећи документи јавних политика</w:t>
      </w:r>
    </w:p>
    <w:p w:rsidR="001803D5" w:rsidRPr="000D06EF" w:rsidRDefault="001803D5" w:rsidP="000D06EF">
      <w:pPr>
        <w:pStyle w:val="NoSpacing"/>
        <w:rPr>
          <w:rFonts w:ascii="Times New Roman" w:hAnsi="Times New Roman"/>
          <w:b/>
          <w:sz w:val="20"/>
          <w:szCs w:val="20"/>
          <w:lang w:val="sr-Cyrl-CS"/>
        </w:rPr>
      </w:pPr>
      <w:r w:rsidRPr="005444A2">
        <w:rPr>
          <w:noProof/>
          <w:szCs w:val="20"/>
        </w:rPr>
        <w:pict>
          <v:shape id="_x0000_i1031" type="#_x0000_t75" style="width:424.5pt;height:145.5pt;visibility:visible">
            <v:imagedata r:id="rId12" o:title=""/>
          </v:shape>
        </w:pict>
      </w:r>
    </w:p>
    <w:p w:rsidR="001803D5" w:rsidRPr="000D06EF" w:rsidRDefault="001803D5" w:rsidP="000D06EF">
      <w:pPr>
        <w:pStyle w:val="NoSpacing"/>
        <w:rPr>
          <w:rFonts w:ascii="Times New Roman" w:hAnsi="Times New Roman"/>
          <w:b/>
          <w:sz w:val="20"/>
          <w:szCs w:val="20"/>
          <w:lang w:val="sr-Cyrl-CS"/>
        </w:rPr>
      </w:pPr>
    </w:p>
    <w:p w:rsidR="001803D5" w:rsidRPr="000D06EF" w:rsidRDefault="001803D5" w:rsidP="000D06EF">
      <w:pPr>
        <w:pStyle w:val="NoSpacing"/>
        <w:jc w:val="both"/>
        <w:rPr>
          <w:rFonts w:ascii="Times New Roman" w:hAnsi="Times New Roman"/>
          <w:sz w:val="24"/>
          <w:lang w:val="sr-Cyrl-CS"/>
        </w:rPr>
      </w:pPr>
      <w:r w:rsidRPr="000D06EF">
        <w:rPr>
          <w:rFonts w:ascii="Times New Roman" w:hAnsi="Times New Roman"/>
          <w:b/>
          <w:sz w:val="24"/>
          <w:lang w:val="sr-Cyrl-CS"/>
        </w:rPr>
        <w:tab/>
      </w:r>
      <w:r>
        <w:rPr>
          <w:rFonts w:ascii="Times New Roman" w:hAnsi="Times New Roman"/>
          <w:b/>
          <w:sz w:val="24"/>
          <w:lang w:val="sr-Cyrl-CS"/>
        </w:rPr>
        <w:t>5</w:t>
      </w:r>
      <w:r w:rsidRPr="000D06EF">
        <w:rPr>
          <w:rFonts w:ascii="Times New Roman" w:hAnsi="Times New Roman"/>
          <w:b/>
          <w:sz w:val="24"/>
          <w:lang w:val="sr-Cyrl-CS"/>
        </w:rPr>
        <w:t xml:space="preserve">) Урбанизам, просторно планирање и грађевинарство </w:t>
      </w:r>
      <w:r w:rsidRPr="000D06EF">
        <w:rPr>
          <w:rFonts w:ascii="Times New Roman" w:hAnsi="Times New Roman"/>
          <w:sz w:val="24"/>
          <w:lang w:val="sr-Cyrl-CS"/>
        </w:rPr>
        <w:t xml:space="preserve">покрива: организацију, уређење и коришћење простора Републике Србије; урбанизам утврђивање услова за изградњу објеката; уређивање стамбених односа и стамбеног пословања; комуналну инфраструктуру и комуналне делатности, изузев производње, дистрибуције и снабдевања топлотном енергијом; инспекцијски надзор у области грађевинe и над објектима комуналне инфраструктуре.  Једини важећи документ јавне политике, који има снагу кровног документа је Просторни  план Републике Србије за период 2010. до 2020. године, који усваја Народна скупштина у форми закона. Овај документ садржи бројне квантитативне циљеве. За имплементацију Просторног плана урађен је Програм имплементације за период 2011. до 2015. године са потребним финансијским средствима за спровођење сваке активности. </w:t>
      </w:r>
    </w:p>
    <w:p w:rsidR="001803D5" w:rsidRPr="004E05F8" w:rsidRDefault="001803D5" w:rsidP="000D06EF">
      <w:pPr>
        <w:spacing w:after="0"/>
        <w:jc w:val="both"/>
        <w:rPr>
          <w:rFonts w:ascii="Times New Roman" w:hAnsi="Times New Roman"/>
          <w:b/>
          <w:color w:val="000000"/>
          <w:lang w:val="sr-Cyrl-CS"/>
        </w:rPr>
      </w:pPr>
      <w:r w:rsidRPr="000D06EF">
        <w:rPr>
          <w:rFonts w:ascii="Times New Roman" w:hAnsi="Times New Roman"/>
          <w:b/>
          <w:color w:val="000000"/>
          <w:lang w:val="sr-Cyrl-CS"/>
        </w:rPr>
        <w:tab/>
      </w:r>
      <w:r>
        <w:rPr>
          <w:rFonts w:ascii="Times New Roman" w:hAnsi="Times New Roman"/>
          <w:b/>
          <w:color w:val="000000"/>
          <w:lang w:val="sr-Cyrl-CS"/>
        </w:rPr>
        <w:t>6</w:t>
      </w:r>
      <w:r w:rsidRPr="000D06EF">
        <w:rPr>
          <w:rFonts w:ascii="Times New Roman" w:hAnsi="Times New Roman"/>
          <w:b/>
          <w:color w:val="000000"/>
          <w:sz w:val="24"/>
          <w:lang w:val="sr-Cyrl-CS"/>
        </w:rPr>
        <w:t>) Наука и технолошки развој.</w:t>
      </w:r>
      <w:r w:rsidRPr="000D06EF">
        <w:rPr>
          <w:rFonts w:ascii="Times New Roman" w:hAnsi="Times New Roman"/>
          <w:sz w:val="24"/>
          <w:lang w:val="sr-Cyrl-CS"/>
        </w:rPr>
        <w:t xml:space="preserve"> Ова област обухвата развој и унапређење система научно-истраживачке делатности; усавршавање кадрова за научно-истраживачки рад; подстицање техно предузетништва; трансфера знања и технологија у привреди; развој и унапређење иновационог система у Републици Србији; развој система научно-технолошких информација и научно–технолошке инфраструктуре; истраживање у области нуклеарне енергије; сигурност нуклеарних објеката; производњу и привремено складиштење радиоактивних материјала, изузев у нуклеарним енергетским постројењима. Једини важећи документ јавне политике у  овој области је Стратегија научног и технолошког развоја Републике Србије у периоду од 2010. до 2015. године.Овај стратешки документ садржи квантитативно постављене циљеве, финансијска средства и акциони план за спровођење. Према Акционом плану за спровођење Програма Владе у наредном периоду планирано је доношење Стратегије развоја науке од 2016. до 2020. године.</w:t>
      </w:r>
    </w:p>
    <w:p w:rsidR="001803D5" w:rsidRPr="004E05F8" w:rsidRDefault="001803D5" w:rsidP="000D06EF">
      <w:pPr>
        <w:spacing w:after="0"/>
        <w:jc w:val="both"/>
        <w:rPr>
          <w:rFonts w:ascii="Times New Roman" w:hAnsi="Times New Roman"/>
          <w:sz w:val="24"/>
          <w:lang w:val="sr-Cyrl-CS"/>
        </w:rPr>
      </w:pPr>
      <w:r w:rsidRPr="000D06EF">
        <w:rPr>
          <w:rFonts w:ascii="Times New Roman" w:hAnsi="Times New Roman"/>
          <w:sz w:val="24"/>
          <w:lang w:val="sr-Cyrl-CS"/>
        </w:rPr>
        <w:tab/>
      </w:r>
      <w:r w:rsidRPr="00752FBD">
        <w:rPr>
          <w:rFonts w:ascii="Times New Roman" w:hAnsi="Times New Roman"/>
          <w:b/>
          <w:sz w:val="24"/>
          <w:lang w:val="sr-Cyrl-CS"/>
        </w:rPr>
        <w:t>7)</w:t>
      </w:r>
      <w:r w:rsidRPr="000D06EF">
        <w:rPr>
          <w:rFonts w:ascii="Times New Roman" w:hAnsi="Times New Roman"/>
          <w:b/>
          <w:sz w:val="24"/>
          <w:lang w:val="sr-Cyrl-CS"/>
        </w:rPr>
        <w:t xml:space="preserve"> Конкурентност. </w:t>
      </w:r>
      <w:r w:rsidRPr="000D06EF">
        <w:rPr>
          <w:rFonts w:ascii="Times New Roman" w:hAnsi="Times New Roman"/>
          <w:sz w:val="24"/>
          <w:lang w:val="sr-Cyrl-CS"/>
        </w:rPr>
        <w:t>Овом области обухваћена су питања која утичу на способност привреде да на најбољи начин искористи расположиве потенцијале (слободно кретање робе и капитала, политика конкуренције, регулисано право привредних друштава, заштита потрошача и безбедни производи, пружање  услуга, висококвалитетна истраживања и развој, права интелектуалне својине, унапређења у области ИКТ, стране директне инвестиције, развој кластера и пословних мрежа, регионални развој).</w:t>
      </w:r>
    </w:p>
    <w:p w:rsidR="001803D5" w:rsidRPr="000D06EF" w:rsidRDefault="001803D5" w:rsidP="000D06EF">
      <w:pPr>
        <w:rPr>
          <w:rFonts w:ascii="Times New Roman" w:hAnsi="Times New Roman"/>
          <w:sz w:val="18"/>
          <w:szCs w:val="18"/>
          <w:lang w:val="sr-Cyrl-CS"/>
        </w:rPr>
      </w:pPr>
    </w:p>
    <w:p w:rsidR="001803D5" w:rsidRDefault="001803D5" w:rsidP="000D06EF">
      <w:pPr>
        <w:rPr>
          <w:rFonts w:ascii="Times New Roman" w:hAnsi="Times New Roman"/>
          <w:sz w:val="18"/>
          <w:szCs w:val="18"/>
          <w:lang w:val="sr-Cyrl-CS"/>
        </w:rPr>
      </w:pPr>
    </w:p>
    <w:p w:rsidR="001803D5" w:rsidRDefault="001803D5" w:rsidP="000D06EF">
      <w:pPr>
        <w:rPr>
          <w:rFonts w:ascii="Times New Roman" w:hAnsi="Times New Roman"/>
          <w:sz w:val="18"/>
          <w:szCs w:val="18"/>
          <w:lang w:val="sr-Cyrl-CS"/>
        </w:rPr>
      </w:pPr>
    </w:p>
    <w:p w:rsidR="001803D5" w:rsidRPr="000D06EF" w:rsidRDefault="001803D5" w:rsidP="000D06EF">
      <w:pPr>
        <w:rPr>
          <w:rFonts w:ascii="Times New Roman" w:hAnsi="Times New Roman"/>
          <w:b/>
          <w:color w:val="000000"/>
          <w:sz w:val="18"/>
          <w:szCs w:val="18"/>
          <w:lang w:val="sr-Cyrl-CS"/>
        </w:rPr>
      </w:pPr>
      <w:r w:rsidRPr="00752FBD">
        <w:rPr>
          <w:rFonts w:ascii="Times New Roman" w:hAnsi="Times New Roman"/>
          <w:sz w:val="18"/>
          <w:szCs w:val="18"/>
          <w:lang w:val="sr-Cyrl-CS"/>
        </w:rPr>
        <w:t xml:space="preserve">Графикон 4: </w:t>
      </w:r>
      <w:r w:rsidRPr="00752FBD">
        <w:rPr>
          <w:rFonts w:ascii="Times New Roman" w:hAnsi="Times New Roman"/>
          <w:b/>
          <w:color w:val="000000"/>
          <w:sz w:val="18"/>
          <w:szCs w:val="18"/>
          <w:lang w:val="sr-Cyrl-CS"/>
        </w:rPr>
        <w:t>Учешће важећих докумената у области конкурентност</w:t>
      </w:r>
      <w:r w:rsidRPr="00752FBD">
        <w:rPr>
          <w:rFonts w:ascii="Times New Roman" w:hAnsi="Times New Roman"/>
          <w:b/>
          <w:color w:val="000000"/>
          <w:sz w:val="18"/>
          <w:szCs w:val="18"/>
        </w:rPr>
        <w:t>са дефинисаним критеријумима</w:t>
      </w:r>
    </w:p>
    <w:p w:rsidR="001803D5" w:rsidRPr="000D06EF" w:rsidRDefault="001803D5" w:rsidP="000D06EF">
      <w:pPr>
        <w:pStyle w:val="NoSpacing"/>
        <w:jc w:val="center"/>
        <w:rPr>
          <w:rFonts w:ascii="Times New Roman" w:hAnsi="Times New Roman"/>
          <w:sz w:val="20"/>
          <w:szCs w:val="20"/>
          <w:lang w:val="sr-Cyrl-CS"/>
        </w:rPr>
      </w:pPr>
      <w:r w:rsidRPr="005444A2">
        <w:rPr>
          <w:noProof/>
          <w:szCs w:val="20"/>
        </w:rPr>
        <w:pict>
          <v:shape id="Picture 5" o:spid="_x0000_i1032" type="#_x0000_t75" style="width:342pt;height:210pt;visibility:visible">
            <v:imagedata r:id="rId13" o:title=""/>
          </v:shape>
        </w:pict>
      </w:r>
    </w:p>
    <w:p w:rsidR="001803D5" w:rsidRDefault="001803D5" w:rsidP="000D06EF">
      <w:pPr>
        <w:spacing w:before="120" w:after="120"/>
        <w:rPr>
          <w:rFonts w:ascii="Times New Roman" w:hAnsi="Times New Roman"/>
          <w:i/>
          <w:sz w:val="18"/>
          <w:szCs w:val="18"/>
          <w:lang w:val="sr-Cyrl-CS"/>
        </w:rPr>
      </w:pPr>
    </w:p>
    <w:p w:rsidR="001803D5" w:rsidRPr="000D06EF" w:rsidRDefault="001803D5" w:rsidP="000D06EF">
      <w:pPr>
        <w:spacing w:before="120" w:after="120"/>
        <w:rPr>
          <w:rFonts w:ascii="Times New Roman" w:hAnsi="Times New Roman"/>
          <w:lang w:val="sr-Cyrl-CS"/>
        </w:rPr>
      </w:pPr>
      <w:r>
        <w:rPr>
          <w:rFonts w:ascii="Times New Roman" w:hAnsi="Times New Roman"/>
          <w:i/>
          <w:sz w:val="18"/>
          <w:szCs w:val="18"/>
          <w:lang w:val="sr-Cyrl-CS"/>
        </w:rPr>
        <w:t>Табела 5</w:t>
      </w:r>
      <w:r w:rsidRPr="00752FBD">
        <w:rPr>
          <w:rFonts w:ascii="Times New Roman" w:hAnsi="Times New Roman"/>
          <w:i/>
          <w:sz w:val="18"/>
          <w:szCs w:val="18"/>
          <w:lang w:val="sr-Cyrl-CS"/>
        </w:rPr>
        <w:t>:</w:t>
      </w:r>
      <w:r w:rsidRPr="00752FBD">
        <w:rPr>
          <w:rFonts w:ascii="Times New Roman" w:hAnsi="Times New Roman"/>
          <w:b/>
          <w:sz w:val="18"/>
          <w:szCs w:val="18"/>
          <w:lang w:val="sr-Cyrl-CS"/>
        </w:rPr>
        <w:t xml:space="preserve"> Конкурентност – важећи документи јавних политика</w:t>
      </w:r>
    </w:p>
    <w:p w:rsidR="001803D5" w:rsidRPr="000D06EF" w:rsidRDefault="001803D5" w:rsidP="000D06EF">
      <w:pPr>
        <w:rPr>
          <w:rFonts w:ascii="Times New Roman" w:hAnsi="Times New Roman"/>
          <w:b/>
          <w:lang w:val="sr-Cyrl-CS"/>
        </w:rPr>
      </w:pPr>
      <w:r w:rsidRPr="003D5EDD">
        <w:rPr>
          <w:noProof/>
        </w:rPr>
        <w:pict>
          <v:shape id="Picture 6" o:spid="_x0000_i1033" type="#_x0000_t75" style="width:429pt;height:269.25pt;visibility:visible">
            <v:imagedata r:id="rId14" o:title=""/>
          </v:shape>
        </w:pict>
      </w:r>
    </w:p>
    <w:p w:rsidR="001803D5" w:rsidRPr="000D06EF" w:rsidRDefault="001803D5" w:rsidP="000D06EF">
      <w:pPr>
        <w:jc w:val="both"/>
        <w:rPr>
          <w:rFonts w:ascii="Times New Roman" w:hAnsi="Times New Roman"/>
          <w:sz w:val="24"/>
          <w:szCs w:val="24"/>
          <w:lang w:val="sr-Cyrl-CS"/>
        </w:rPr>
      </w:pPr>
      <w:r w:rsidRPr="000D06EF">
        <w:rPr>
          <w:rFonts w:ascii="Times New Roman" w:hAnsi="Times New Roman"/>
          <w:lang w:val="sr-Cyrl-CS"/>
        </w:rPr>
        <w:tab/>
      </w:r>
      <w:r w:rsidRPr="000D06EF">
        <w:rPr>
          <w:rFonts w:ascii="Times New Roman" w:hAnsi="Times New Roman"/>
          <w:sz w:val="24"/>
          <w:szCs w:val="24"/>
          <w:lang w:val="sr-Cyrl-CS"/>
        </w:rPr>
        <w:t>Једна је од б</w:t>
      </w:r>
      <w:r>
        <w:rPr>
          <w:rFonts w:ascii="Times New Roman" w:hAnsi="Times New Roman"/>
          <w:sz w:val="24"/>
          <w:szCs w:val="24"/>
          <w:lang w:val="sr-Cyrl-CS"/>
        </w:rPr>
        <w:t>ројнијих области јер обухвата 11</w:t>
      </w:r>
      <w:r w:rsidRPr="000D06EF">
        <w:rPr>
          <w:rFonts w:ascii="Times New Roman" w:hAnsi="Times New Roman"/>
          <w:sz w:val="24"/>
          <w:szCs w:val="24"/>
          <w:lang w:val="sr-Cyrl-CS"/>
        </w:rPr>
        <w:t xml:space="preserve"> стратегија. Акционим планом за спровођење Програма Владе планирана је израда Стратегије развоја туризма и Стратегије регионалног развоја. Највећи број докумената покрива период до пет година, Стратегија и политика развоја индустрије </w:t>
      </w:r>
      <w:r w:rsidRPr="000D06EF">
        <w:rPr>
          <w:rFonts w:ascii="Times New Roman" w:hAnsi="Times New Roman"/>
          <w:sz w:val="24"/>
          <w:szCs w:val="24"/>
        </w:rPr>
        <w:t>je</w:t>
      </w:r>
      <w:r w:rsidRPr="000D06EF">
        <w:rPr>
          <w:rFonts w:ascii="Times New Roman" w:hAnsi="Times New Roman"/>
          <w:sz w:val="24"/>
          <w:szCs w:val="24"/>
          <w:lang w:val="sr-Cyrl-CS"/>
        </w:rPr>
        <w:t xml:space="preserve"> деценијски </w:t>
      </w:r>
      <w:r w:rsidRPr="000D06EF">
        <w:rPr>
          <w:rFonts w:ascii="Times New Roman" w:hAnsi="Times New Roman"/>
          <w:sz w:val="24"/>
          <w:szCs w:val="24"/>
        </w:rPr>
        <w:t>документ</w:t>
      </w:r>
      <w:r w:rsidRPr="000D06EF">
        <w:rPr>
          <w:rFonts w:ascii="Times New Roman" w:hAnsi="Times New Roman"/>
          <w:sz w:val="24"/>
          <w:szCs w:val="24"/>
          <w:lang w:val="sr-Cyrl-CS"/>
        </w:rPr>
        <w:t>, док у три документа није прецизно назначен рок важења. Иако је у свим стратегијама предвиђено доношење акционих планова, углавном у року од 6 месеци од усвајања стра</w:t>
      </w:r>
      <w:r>
        <w:rPr>
          <w:rFonts w:ascii="Times New Roman" w:hAnsi="Times New Roman"/>
          <w:sz w:val="24"/>
          <w:szCs w:val="24"/>
          <w:lang w:val="sr-Cyrl-CS"/>
        </w:rPr>
        <w:t>тегије, само су за реализацију 5</w:t>
      </w:r>
      <w:r w:rsidRPr="000D06EF">
        <w:rPr>
          <w:rFonts w:ascii="Times New Roman" w:hAnsi="Times New Roman"/>
          <w:sz w:val="24"/>
          <w:szCs w:val="24"/>
          <w:lang w:val="sr-Cyrl-CS"/>
        </w:rPr>
        <w:t xml:space="preserve"> докумената донети акциони планови</w:t>
      </w:r>
      <w:r w:rsidRPr="000D06EF">
        <w:rPr>
          <w:rFonts w:ascii="Times New Roman" w:hAnsi="Times New Roman"/>
          <w:i/>
          <w:sz w:val="24"/>
          <w:szCs w:val="24"/>
          <w:lang w:val="sr-Cyrl-CS"/>
        </w:rPr>
        <w:t>.</w:t>
      </w:r>
    </w:p>
    <w:p w:rsidR="001803D5" w:rsidRDefault="001803D5" w:rsidP="000D06EF">
      <w:pPr>
        <w:pStyle w:val="NoSpacing"/>
        <w:jc w:val="both"/>
        <w:rPr>
          <w:rFonts w:ascii="Times New Roman" w:hAnsi="Times New Roman"/>
          <w:sz w:val="24"/>
          <w:lang w:val="sr-Cyrl-CS"/>
        </w:rPr>
      </w:pPr>
      <w:r>
        <w:rPr>
          <w:rFonts w:ascii="Times New Roman" w:hAnsi="Times New Roman"/>
          <w:b/>
          <w:sz w:val="24"/>
          <w:szCs w:val="24"/>
          <w:lang w:val="sr-Cyrl-CS"/>
        </w:rPr>
        <w:tab/>
        <w:t>8</w:t>
      </w:r>
      <w:r w:rsidRPr="000D06EF">
        <w:rPr>
          <w:rFonts w:ascii="Times New Roman" w:hAnsi="Times New Roman"/>
          <w:b/>
          <w:sz w:val="24"/>
          <w:szCs w:val="24"/>
          <w:lang w:val="sr-Cyrl-CS"/>
        </w:rPr>
        <w:t xml:space="preserve">) Финансије и фискални систем. </w:t>
      </w:r>
      <w:r w:rsidRPr="000D06EF">
        <w:rPr>
          <w:rFonts w:ascii="Times New Roman" w:hAnsi="Times New Roman"/>
          <w:sz w:val="24"/>
          <w:szCs w:val="24"/>
          <w:lang w:val="sr-Cyrl-CS"/>
        </w:rPr>
        <w:t xml:space="preserve">Ова област покриваширок спектар послова и активности који се односе на: републички буџет; утврђивање консолидованог биланса јавних прихода и јавних расхода; систем и политику пореза, такси, накнада и других јавних прихода; управљање расположивим средствима јавних финансија; јавни дуг и финансијску имовину; макроекономски и фискални оквир; спречавање прања новца; девизни систем и кредитне односе са иностранством, царински систем, кредитно – монетарни систем; банкарски систем; систем плаћања и платни промет; хартије од вредности и тржиште капитала; систем рачуноводства и ревизије. Овај сектор обухвата </w:t>
      </w:r>
      <w:r>
        <w:rPr>
          <w:rFonts w:ascii="Times New Roman" w:hAnsi="Times New Roman"/>
          <w:sz w:val="24"/>
          <w:szCs w:val="24"/>
        </w:rPr>
        <w:t>више</w:t>
      </w:r>
      <w:r w:rsidRPr="000D06EF">
        <w:rPr>
          <w:rFonts w:ascii="Times New Roman" w:hAnsi="Times New Roman"/>
          <w:sz w:val="24"/>
          <w:szCs w:val="24"/>
          <w:lang w:val="sr-Cyrl-CS"/>
        </w:rPr>
        <w:t xml:space="preserve"> стратешк</w:t>
      </w:r>
      <w:r>
        <w:rPr>
          <w:rFonts w:ascii="Times New Roman" w:hAnsi="Times New Roman"/>
          <w:sz w:val="24"/>
          <w:szCs w:val="24"/>
          <w:lang w:val="sr-Cyrl-CS"/>
        </w:rPr>
        <w:t>их</w:t>
      </w:r>
      <w:r w:rsidRPr="000D06EF">
        <w:rPr>
          <w:rFonts w:ascii="Times New Roman" w:hAnsi="Times New Roman"/>
          <w:sz w:val="24"/>
          <w:szCs w:val="24"/>
          <w:lang w:val="sr-Cyrl-CS"/>
        </w:rPr>
        <w:t xml:space="preserve"> докумен</w:t>
      </w:r>
      <w:r>
        <w:rPr>
          <w:rFonts w:ascii="Times New Roman" w:hAnsi="Times New Roman"/>
          <w:sz w:val="24"/>
          <w:szCs w:val="24"/>
          <w:lang w:val="sr-Cyrl-CS"/>
        </w:rPr>
        <w:t>а</w:t>
      </w:r>
      <w:r w:rsidRPr="000D06EF">
        <w:rPr>
          <w:rFonts w:ascii="Times New Roman" w:hAnsi="Times New Roman"/>
          <w:sz w:val="24"/>
          <w:szCs w:val="24"/>
          <w:lang w:val="sr-Cyrl-CS"/>
        </w:rPr>
        <w:t>та која су тренутно на снази, при чему Фискална стратегија представља најважнији документ јавних политика у области. Фискална стратегија представља средњорочни буџетски оквир и садржи макроекономске пројекције за наредне две године. У њој су садржани основни циљеви економске и фискалне политике. Стратегија развоја јавних набавки у Републици Србији од 2014. до 2018. и Национална стратегија против прања новца и финансирања тероризма имају акционе планове и потребна финансијска средства за њихово спровођење. Акционим планом за спровођење Програма Владе планирана је израда два документа јавних политика:</w:t>
      </w:r>
      <w:r w:rsidRPr="000D06EF">
        <w:rPr>
          <w:rFonts w:ascii="Times New Roman" w:hAnsi="Times New Roman"/>
          <w:sz w:val="24"/>
          <w:lang w:val="sr-Cyrl-CS"/>
        </w:rPr>
        <w:t xml:space="preserve">Стратегија развоја интерне финансијске контроле у јавном сектору у Републици Србији за период 2015–2019 и Стратегија за сузбијање неправилности и превара у поступању са средствима Европске уније са пратећим акционим планом. </w:t>
      </w:r>
    </w:p>
    <w:p w:rsidR="001803D5" w:rsidRDefault="001803D5" w:rsidP="004E05F8">
      <w:pPr>
        <w:pStyle w:val="NoSpacing"/>
        <w:jc w:val="both"/>
        <w:rPr>
          <w:rFonts w:ascii="Times New Roman" w:hAnsi="Times New Roman"/>
          <w:sz w:val="24"/>
          <w:lang w:val="sr-Cyrl-CS"/>
        </w:rPr>
      </w:pPr>
      <w:r>
        <w:rPr>
          <w:rFonts w:ascii="Times New Roman" w:hAnsi="Times New Roman"/>
          <w:sz w:val="24"/>
          <w:lang w:val="sr-Cyrl-CS"/>
        </w:rPr>
        <w:tab/>
        <w:t>Национални програм економских реформи за период 2015. до 2017. године Влада је усвојила 12. марта 2015. године. програм се усваја на годишњем нивоу. Нови Програм економских реформи (ЕРП) за период 2016. до 2018. године, који Министарство финансија припрема у сарадњи са Народном банком Србије и Републичким секретаријатом за јавне политике, као и другим надлежним националним и међународним институцијама (Европска комисија и ОЕЦД), биће усвојен у јануару 2016. године. Тај програм садржи, како средњорочни макреоекономски и фискални оквир, тако и приоритетне секторске реформске мере, које доприносе конкурентности и расту, са прецизираним ефектима које ће имати на буџет.</w:t>
      </w:r>
    </w:p>
    <w:p w:rsidR="001803D5" w:rsidRPr="000D06EF" w:rsidRDefault="001803D5" w:rsidP="004E05F8">
      <w:pPr>
        <w:pStyle w:val="NoSpacing"/>
        <w:jc w:val="both"/>
        <w:rPr>
          <w:rFonts w:ascii="Times New Roman" w:hAnsi="Times New Roman"/>
          <w:sz w:val="24"/>
          <w:lang w:val="sr-Cyrl-CS"/>
        </w:rPr>
      </w:pPr>
      <w:r>
        <w:rPr>
          <w:rFonts w:ascii="Times New Roman" w:hAnsi="Times New Roman"/>
          <w:sz w:val="24"/>
          <w:lang w:val="sr-Cyrl-CS"/>
        </w:rPr>
        <w:tab/>
        <w:t>Програм реформе управљања јавним финансијама 2016-2020 је Влада Републике Србије усвојила 28. новембра 2015. године. Програм има за циљ подршку фискланој и макроекономској стабилнсоти, усмерава расподелу јавних ресурса на националне приоритете, подржава ефикасно пружање услуга и обезбеђује већу транспарентност и надзор над јавним средствима. Програм садржи акциони план са индикаторима, а његова имплементација има велики значај у процесу приступања ЕУ.</w:t>
      </w:r>
    </w:p>
    <w:p w:rsidR="001803D5" w:rsidRPr="000D06EF" w:rsidRDefault="001803D5" w:rsidP="000D06EF">
      <w:pPr>
        <w:pStyle w:val="NoSpacing"/>
        <w:jc w:val="both"/>
        <w:rPr>
          <w:rFonts w:ascii="Times New Roman" w:hAnsi="Times New Roman"/>
          <w:sz w:val="24"/>
          <w:lang w:val="sr-Cyrl-CS"/>
        </w:rPr>
      </w:pPr>
    </w:p>
    <w:p w:rsidR="001803D5" w:rsidRDefault="001803D5" w:rsidP="000D06EF">
      <w:pPr>
        <w:spacing w:before="120" w:after="120"/>
        <w:rPr>
          <w:rFonts w:ascii="Times New Roman" w:hAnsi="Times New Roman"/>
          <w:b/>
          <w:sz w:val="18"/>
          <w:szCs w:val="18"/>
          <w:lang w:val="sr-Cyrl-CS"/>
        </w:rPr>
      </w:pPr>
      <w:r w:rsidRPr="00752FBD">
        <w:rPr>
          <w:rFonts w:ascii="Times New Roman" w:hAnsi="Times New Roman"/>
          <w:i/>
          <w:sz w:val="18"/>
          <w:szCs w:val="18"/>
          <w:lang w:val="sr-Cyrl-CS"/>
        </w:rPr>
        <w:t xml:space="preserve">Табела </w:t>
      </w:r>
      <w:r>
        <w:rPr>
          <w:rFonts w:ascii="Times New Roman" w:hAnsi="Times New Roman"/>
          <w:i/>
          <w:sz w:val="18"/>
          <w:szCs w:val="18"/>
          <w:lang w:val="sr-Cyrl-CS"/>
        </w:rPr>
        <w:t>6</w:t>
      </w:r>
      <w:r w:rsidRPr="00752FBD">
        <w:rPr>
          <w:rFonts w:ascii="Times New Roman" w:hAnsi="Times New Roman"/>
          <w:i/>
          <w:sz w:val="18"/>
          <w:szCs w:val="18"/>
          <w:lang w:val="sr-Cyrl-CS"/>
        </w:rPr>
        <w:t>:</w:t>
      </w:r>
      <w:r w:rsidRPr="00752FBD">
        <w:rPr>
          <w:rFonts w:ascii="Times New Roman" w:hAnsi="Times New Roman"/>
          <w:b/>
          <w:sz w:val="18"/>
          <w:szCs w:val="18"/>
          <w:lang w:val="sr-Cyrl-CS"/>
        </w:rPr>
        <w:t xml:space="preserve"> Финансије и фискални систем – важећи документи јавних политика</w:t>
      </w:r>
    </w:p>
    <w:p w:rsidR="001803D5" w:rsidRPr="000D06EF" w:rsidRDefault="001803D5" w:rsidP="000D06EF">
      <w:pPr>
        <w:spacing w:before="120" w:after="120"/>
        <w:rPr>
          <w:rFonts w:ascii="Times New Roman" w:hAnsi="Times New Roman"/>
          <w:lang w:val="sr-Cyrl-CS"/>
        </w:rPr>
      </w:pPr>
      <w:r w:rsidRPr="003D5EDD">
        <w:rPr>
          <w:noProof/>
        </w:rPr>
        <w:pict>
          <v:shape id="_x0000_i1034" type="#_x0000_t75" style="width:424.5pt;height:143.25pt;visibility:visible">
            <v:imagedata r:id="rId15" o:title=""/>
          </v:shape>
        </w:pict>
      </w:r>
    </w:p>
    <w:p w:rsidR="001803D5" w:rsidRPr="00752FBD" w:rsidRDefault="001803D5" w:rsidP="003B5A6A">
      <w:pPr>
        <w:jc w:val="both"/>
        <w:rPr>
          <w:rFonts w:ascii="Times New Roman" w:hAnsi="Times New Roman"/>
          <w:lang w:val="sr-Cyrl-CS"/>
        </w:rPr>
      </w:pPr>
      <w:r w:rsidRPr="000D06EF">
        <w:rPr>
          <w:rFonts w:ascii="Times New Roman" w:hAnsi="Times New Roman"/>
          <w:b/>
          <w:lang w:val="sr-Cyrl-CS"/>
        </w:rPr>
        <w:tab/>
      </w:r>
      <w:r>
        <w:rPr>
          <w:rFonts w:ascii="Times New Roman" w:hAnsi="Times New Roman"/>
          <w:b/>
          <w:lang w:val="sr-Cyrl-CS"/>
        </w:rPr>
        <w:t>9</w:t>
      </w:r>
      <w:r w:rsidRPr="000D06EF">
        <w:rPr>
          <w:rFonts w:ascii="Times New Roman" w:hAnsi="Times New Roman"/>
          <w:b/>
          <w:lang w:val="sr-Cyrl-CS"/>
        </w:rPr>
        <w:t xml:space="preserve">) Енергетика, минералне сировине и рударство. </w:t>
      </w:r>
      <w:r w:rsidRPr="000D06EF">
        <w:rPr>
          <w:rFonts w:ascii="Times New Roman" w:hAnsi="Times New Roman"/>
          <w:lang w:val="sr-Cyrl-CS"/>
        </w:rPr>
        <w:t xml:space="preserve">Ова област обухватаенергетику - електрична и топлотна енергија, угаљ, нафта, гас и обновљиве изворе енергије, рационална употреба енергије и енергетска ефикасност, заштита животне средине у области енергетике; рударство; минералне сировине - израда биланса минералних сировина; геолошка истраживања, експлоатацију свих врста минералних сировина и геолошких ресурса; инспекцијски надзор у области </w:t>
      </w:r>
      <w:r w:rsidRPr="00752FBD">
        <w:rPr>
          <w:rFonts w:ascii="Times New Roman" w:hAnsi="Times New Roman"/>
          <w:lang w:val="sr-Cyrl-CS"/>
        </w:rPr>
        <w:t xml:space="preserve">рударства. Тренутно су на снази две стратегије са постављеним квантитативним циљевима и проценом финансијских средстава. Стратегија развоја енергетике нема акциони план, док је спровођење Стратегије управљања минералним ресурсима Републике Србије до 2030. предвиђено програмима, који још увек нису израђени. </w:t>
      </w:r>
    </w:p>
    <w:p w:rsidR="001803D5" w:rsidRPr="000D06EF" w:rsidRDefault="001803D5" w:rsidP="000D06EF">
      <w:pPr>
        <w:spacing w:before="120" w:after="120"/>
        <w:rPr>
          <w:rFonts w:ascii="Times New Roman" w:hAnsi="Times New Roman"/>
          <w:lang w:val="sr-Cyrl-CS"/>
        </w:rPr>
      </w:pPr>
      <w:r w:rsidRPr="00752FBD">
        <w:rPr>
          <w:rFonts w:ascii="Times New Roman" w:hAnsi="Times New Roman"/>
          <w:i/>
          <w:sz w:val="18"/>
          <w:szCs w:val="18"/>
          <w:lang w:val="sr-Cyrl-CS"/>
        </w:rPr>
        <w:t xml:space="preserve">Табела </w:t>
      </w:r>
      <w:r>
        <w:rPr>
          <w:rFonts w:ascii="Times New Roman" w:hAnsi="Times New Roman"/>
          <w:i/>
          <w:sz w:val="18"/>
          <w:szCs w:val="18"/>
          <w:lang w:val="sr-Cyrl-CS"/>
        </w:rPr>
        <w:t>7</w:t>
      </w:r>
      <w:r w:rsidRPr="00752FBD">
        <w:rPr>
          <w:rFonts w:ascii="Times New Roman" w:hAnsi="Times New Roman"/>
          <w:i/>
          <w:sz w:val="18"/>
          <w:szCs w:val="18"/>
          <w:lang w:val="sr-Cyrl-CS"/>
        </w:rPr>
        <w:t>:</w:t>
      </w:r>
      <w:r w:rsidRPr="00752FBD">
        <w:rPr>
          <w:rFonts w:ascii="Times New Roman" w:hAnsi="Times New Roman"/>
          <w:b/>
          <w:sz w:val="18"/>
          <w:szCs w:val="18"/>
          <w:lang w:val="sr-Cyrl-CS"/>
        </w:rPr>
        <w:t xml:space="preserve"> Енергетика, минералне сировине и рударство - важећа документа јавних политика</w:t>
      </w:r>
    </w:p>
    <w:p w:rsidR="001803D5" w:rsidRPr="000D06EF" w:rsidRDefault="001803D5" w:rsidP="000D06EF">
      <w:pPr>
        <w:rPr>
          <w:rFonts w:ascii="Times New Roman" w:hAnsi="Times New Roman"/>
          <w:b/>
          <w:sz w:val="20"/>
          <w:szCs w:val="20"/>
          <w:lang w:val="sr-Cyrl-CS"/>
        </w:rPr>
      </w:pPr>
      <w:r w:rsidRPr="005444A2">
        <w:rPr>
          <w:noProof/>
          <w:szCs w:val="20"/>
        </w:rPr>
        <w:pict>
          <v:shape id="Picture 7" o:spid="_x0000_i1035" type="#_x0000_t75" style="width:429pt;height:83.25pt;visibility:visible">
            <v:imagedata r:id="rId16" o:title=""/>
          </v:shape>
        </w:pict>
      </w:r>
    </w:p>
    <w:p w:rsidR="001803D5" w:rsidRPr="000D06EF" w:rsidRDefault="001803D5" w:rsidP="000D06EF">
      <w:pPr>
        <w:spacing w:after="120"/>
        <w:jc w:val="both"/>
        <w:rPr>
          <w:rFonts w:ascii="Times New Roman" w:hAnsi="Times New Roman"/>
          <w:lang w:val="sr-Cyrl-CS"/>
        </w:rPr>
      </w:pPr>
      <w:r w:rsidRPr="000D06EF">
        <w:rPr>
          <w:rFonts w:ascii="Times New Roman" w:hAnsi="Times New Roman"/>
          <w:b/>
          <w:lang w:val="sr-Cyrl-CS"/>
        </w:rPr>
        <w:tab/>
      </w:r>
      <w:r>
        <w:rPr>
          <w:rFonts w:ascii="Times New Roman" w:hAnsi="Times New Roman"/>
          <w:b/>
          <w:sz w:val="24"/>
          <w:lang w:val="sr-Cyrl-CS"/>
        </w:rPr>
        <w:t>10</w:t>
      </w:r>
      <w:r w:rsidRPr="000D06EF">
        <w:rPr>
          <w:rFonts w:ascii="Times New Roman" w:hAnsi="Times New Roman"/>
          <w:b/>
          <w:sz w:val="24"/>
          <w:lang w:val="sr-Cyrl-CS"/>
        </w:rPr>
        <w:t xml:space="preserve">) Заштита животне средине и климатске промене </w:t>
      </w:r>
      <w:r w:rsidRPr="000D06EF">
        <w:rPr>
          <w:rFonts w:ascii="Times New Roman" w:hAnsi="Times New Roman"/>
          <w:sz w:val="24"/>
          <w:lang w:val="sr-Cyrl-CS"/>
        </w:rPr>
        <w:t>односи се на заштиту и унапређење животне средине; спровођење Конвенције о учешћу јавности, доступности информација и праву на правну заштиту у области животне средине; заштиту природе; заштиту ваздуха; заштиту озонског омотача; климатске промене; прекогранично загађење ваздуха и воде; заштиту вода од загађивања; заштиту од великог хемијског удеса и учешће у реаговању у случају хемијских удеса; заштиту од буке и вибрација; заштиту од јонизујућег и нејонизујућег зрачења; управљање хемикалијама и биоцидним производима; управљање водама. Национални програм заштите животне средине 2010-2019. године покрива све аспекте политике животне средине и дефинише стратешке и специфичне циљеве у ов</w:t>
      </w:r>
      <w:r w:rsidRPr="000D06EF">
        <w:rPr>
          <w:rFonts w:ascii="Times New Roman" w:hAnsi="Times New Roman"/>
          <w:sz w:val="24"/>
        </w:rPr>
        <w:t>o</w:t>
      </w:r>
      <w:r w:rsidRPr="000D06EF">
        <w:rPr>
          <w:rFonts w:ascii="Times New Roman" w:hAnsi="Times New Roman"/>
          <w:sz w:val="24"/>
          <w:lang w:val="sr-Cyrl-CS"/>
        </w:rPr>
        <w:t xml:space="preserve">ј области, има одређена финансијска средства, још увек није донет акциони план за његово спровођење. У 4 стратегије није одређена година престанка важења. Квантитативно циљеви су постављени у 4 документа.  </w:t>
      </w:r>
    </w:p>
    <w:p w:rsidR="001803D5" w:rsidRDefault="001803D5" w:rsidP="000D06EF">
      <w:pPr>
        <w:spacing w:before="120" w:after="120"/>
        <w:rPr>
          <w:rFonts w:ascii="Times New Roman" w:hAnsi="Times New Roman"/>
          <w:i/>
          <w:sz w:val="18"/>
          <w:szCs w:val="18"/>
          <w:lang w:val="sr-Cyrl-CS"/>
        </w:rPr>
      </w:pPr>
    </w:p>
    <w:p w:rsidR="001803D5" w:rsidRDefault="001803D5" w:rsidP="000D06EF">
      <w:pPr>
        <w:spacing w:before="120" w:after="120"/>
        <w:rPr>
          <w:rFonts w:ascii="Times New Roman" w:hAnsi="Times New Roman"/>
          <w:i/>
          <w:sz w:val="18"/>
          <w:szCs w:val="18"/>
          <w:lang w:val="sr-Cyrl-CS"/>
        </w:rPr>
      </w:pPr>
    </w:p>
    <w:p w:rsidR="001803D5" w:rsidRDefault="001803D5" w:rsidP="000D06EF">
      <w:pPr>
        <w:spacing w:before="120" w:after="120"/>
        <w:rPr>
          <w:rFonts w:ascii="Times New Roman" w:hAnsi="Times New Roman"/>
          <w:i/>
          <w:sz w:val="18"/>
          <w:szCs w:val="18"/>
          <w:lang w:val="sr-Cyrl-CS"/>
        </w:rPr>
      </w:pPr>
    </w:p>
    <w:p w:rsidR="001803D5" w:rsidRDefault="001803D5" w:rsidP="000D06EF">
      <w:pPr>
        <w:spacing w:before="120" w:after="120"/>
        <w:rPr>
          <w:rFonts w:ascii="Times New Roman" w:hAnsi="Times New Roman"/>
          <w:i/>
          <w:sz w:val="18"/>
          <w:szCs w:val="18"/>
          <w:lang w:val="sr-Cyrl-CS"/>
        </w:rPr>
      </w:pPr>
    </w:p>
    <w:p w:rsidR="001803D5" w:rsidRDefault="001803D5" w:rsidP="000D06EF">
      <w:pPr>
        <w:spacing w:before="120" w:after="120"/>
        <w:rPr>
          <w:rFonts w:ascii="Times New Roman" w:hAnsi="Times New Roman"/>
          <w:i/>
          <w:sz w:val="18"/>
          <w:szCs w:val="18"/>
          <w:lang w:val="sr-Cyrl-CS"/>
        </w:rPr>
      </w:pPr>
    </w:p>
    <w:p w:rsidR="001803D5" w:rsidRDefault="001803D5" w:rsidP="000D06EF">
      <w:pPr>
        <w:spacing w:before="120" w:after="120"/>
        <w:rPr>
          <w:rFonts w:ascii="Times New Roman" w:hAnsi="Times New Roman"/>
          <w:i/>
          <w:sz w:val="18"/>
          <w:szCs w:val="18"/>
          <w:lang w:val="sr-Cyrl-CS"/>
        </w:rPr>
      </w:pPr>
    </w:p>
    <w:p w:rsidR="001803D5" w:rsidRDefault="001803D5" w:rsidP="000D06EF">
      <w:pPr>
        <w:spacing w:before="120" w:after="120"/>
        <w:rPr>
          <w:rFonts w:ascii="Times New Roman" w:hAnsi="Times New Roman"/>
          <w:i/>
          <w:sz w:val="18"/>
          <w:szCs w:val="18"/>
          <w:lang w:val="sr-Cyrl-CS"/>
        </w:rPr>
      </w:pPr>
    </w:p>
    <w:p w:rsidR="001803D5" w:rsidRDefault="001803D5" w:rsidP="000D06EF">
      <w:pPr>
        <w:spacing w:before="120" w:after="120"/>
        <w:rPr>
          <w:rFonts w:ascii="Times New Roman" w:hAnsi="Times New Roman"/>
          <w:i/>
          <w:sz w:val="18"/>
          <w:szCs w:val="18"/>
          <w:lang w:val="sr-Cyrl-CS"/>
        </w:rPr>
      </w:pPr>
    </w:p>
    <w:p w:rsidR="001803D5" w:rsidRDefault="001803D5" w:rsidP="000D06EF">
      <w:pPr>
        <w:spacing w:before="120" w:after="120"/>
        <w:rPr>
          <w:rFonts w:ascii="Times New Roman" w:hAnsi="Times New Roman"/>
          <w:i/>
          <w:sz w:val="18"/>
          <w:szCs w:val="18"/>
          <w:lang w:val="sr-Cyrl-CS"/>
        </w:rPr>
      </w:pPr>
    </w:p>
    <w:p w:rsidR="001803D5" w:rsidRDefault="001803D5" w:rsidP="000D06EF">
      <w:pPr>
        <w:spacing w:before="120" w:after="120"/>
        <w:rPr>
          <w:rFonts w:ascii="Times New Roman" w:hAnsi="Times New Roman"/>
          <w:i/>
          <w:sz w:val="18"/>
          <w:szCs w:val="18"/>
          <w:lang w:val="sr-Cyrl-CS"/>
        </w:rPr>
      </w:pPr>
    </w:p>
    <w:p w:rsidR="001803D5" w:rsidRDefault="001803D5" w:rsidP="000D06EF">
      <w:pPr>
        <w:spacing w:before="120" w:after="120"/>
        <w:rPr>
          <w:rFonts w:ascii="Times New Roman" w:hAnsi="Times New Roman"/>
          <w:i/>
          <w:sz w:val="18"/>
          <w:szCs w:val="18"/>
          <w:lang w:val="sr-Cyrl-CS"/>
        </w:rPr>
      </w:pPr>
    </w:p>
    <w:p w:rsidR="001803D5" w:rsidRDefault="001803D5" w:rsidP="000D06EF">
      <w:pPr>
        <w:spacing w:before="120" w:after="120"/>
        <w:rPr>
          <w:rFonts w:ascii="Times New Roman" w:hAnsi="Times New Roman"/>
          <w:i/>
          <w:sz w:val="18"/>
          <w:szCs w:val="18"/>
          <w:lang w:val="sr-Cyrl-CS"/>
        </w:rPr>
      </w:pPr>
    </w:p>
    <w:p w:rsidR="001803D5" w:rsidRDefault="001803D5" w:rsidP="000D06EF">
      <w:pPr>
        <w:spacing w:before="120" w:after="120"/>
        <w:rPr>
          <w:rFonts w:ascii="Times New Roman" w:hAnsi="Times New Roman"/>
          <w:i/>
          <w:sz w:val="18"/>
          <w:szCs w:val="18"/>
          <w:lang w:val="sr-Cyrl-CS"/>
        </w:rPr>
      </w:pPr>
    </w:p>
    <w:p w:rsidR="001803D5" w:rsidRDefault="001803D5" w:rsidP="000D06EF">
      <w:pPr>
        <w:spacing w:before="120" w:after="120"/>
        <w:rPr>
          <w:rFonts w:ascii="Times New Roman" w:hAnsi="Times New Roman"/>
          <w:i/>
          <w:sz w:val="18"/>
          <w:szCs w:val="18"/>
          <w:lang w:val="sr-Cyrl-CS"/>
        </w:rPr>
      </w:pPr>
    </w:p>
    <w:p w:rsidR="001803D5" w:rsidRDefault="001803D5" w:rsidP="000D06EF">
      <w:pPr>
        <w:spacing w:before="120" w:after="120"/>
        <w:rPr>
          <w:rFonts w:ascii="Times New Roman" w:hAnsi="Times New Roman"/>
          <w:i/>
          <w:sz w:val="18"/>
          <w:szCs w:val="18"/>
          <w:lang w:val="sr-Cyrl-CS"/>
        </w:rPr>
      </w:pPr>
    </w:p>
    <w:p w:rsidR="001803D5" w:rsidRPr="000D06EF" w:rsidRDefault="001803D5" w:rsidP="000D06EF">
      <w:pPr>
        <w:spacing w:before="120" w:after="120"/>
        <w:rPr>
          <w:rFonts w:ascii="Times New Roman" w:hAnsi="Times New Roman"/>
          <w:lang w:val="sr-Cyrl-CS"/>
        </w:rPr>
      </w:pPr>
      <w:r w:rsidRPr="000D06EF">
        <w:rPr>
          <w:rFonts w:ascii="Times New Roman" w:hAnsi="Times New Roman"/>
          <w:i/>
          <w:sz w:val="18"/>
          <w:szCs w:val="18"/>
          <w:lang w:val="sr-Cyrl-CS"/>
        </w:rPr>
        <w:t xml:space="preserve">Табела </w:t>
      </w:r>
      <w:r>
        <w:rPr>
          <w:rFonts w:ascii="Times New Roman" w:hAnsi="Times New Roman"/>
          <w:i/>
          <w:sz w:val="18"/>
          <w:szCs w:val="18"/>
          <w:lang w:val="sr-Cyrl-CS"/>
        </w:rPr>
        <w:t>8</w:t>
      </w:r>
      <w:r w:rsidRPr="000D06EF">
        <w:rPr>
          <w:rFonts w:ascii="Times New Roman" w:hAnsi="Times New Roman"/>
          <w:i/>
          <w:sz w:val="18"/>
          <w:szCs w:val="18"/>
          <w:lang w:val="sr-Cyrl-CS"/>
        </w:rPr>
        <w:t>:</w:t>
      </w:r>
      <w:r w:rsidRPr="000D06EF">
        <w:rPr>
          <w:rFonts w:ascii="Times New Roman" w:hAnsi="Times New Roman"/>
          <w:b/>
          <w:sz w:val="18"/>
          <w:szCs w:val="18"/>
          <w:lang w:val="sr-Cyrl-CS"/>
        </w:rPr>
        <w:t xml:space="preserve"> Заштита животне средине и климатске промене - важећа докумената јавних политика</w:t>
      </w:r>
    </w:p>
    <w:p w:rsidR="001803D5" w:rsidRPr="000D06EF" w:rsidRDefault="001803D5" w:rsidP="000D06EF">
      <w:pPr>
        <w:rPr>
          <w:rFonts w:ascii="Times New Roman" w:hAnsi="Times New Roman"/>
          <w:b/>
          <w:sz w:val="20"/>
          <w:szCs w:val="20"/>
          <w:lang w:val="sr-Cyrl-CS"/>
        </w:rPr>
      </w:pPr>
      <w:r w:rsidRPr="005444A2">
        <w:rPr>
          <w:rFonts w:ascii="Times New Roman" w:hAnsi="Times New Roman"/>
          <w:b/>
          <w:noProof/>
          <w:sz w:val="20"/>
          <w:szCs w:val="20"/>
        </w:rPr>
        <w:pict>
          <v:shape id="Picture 8" o:spid="_x0000_i1036" type="#_x0000_t75" style="width:408pt;height:259.5pt;visibility:visible">
            <v:imagedata r:id="rId17" o:title=""/>
          </v:shape>
        </w:pict>
      </w:r>
    </w:p>
    <w:p w:rsidR="001803D5" w:rsidRPr="000D06EF" w:rsidRDefault="001803D5" w:rsidP="000D06EF">
      <w:pPr>
        <w:jc w:val="both"/>
        <w:rPr>
          <w:rFonts w:ascii="Times New Roman" w:hAnsi="Times New Roman"/>
          <w:sz w:val="20"/>
          <w:szCs w:val="18"/>
          <w:lang w:val="sr-Cyrl-CS"/>
        </w:rPr>
      </w:pPr>
      <w:r w:rsidRPr="000D06EF">
        <w:rPr>
          <w:rFonts w:ascii="Times New Roman" w:hAnsi="Times New Roman"/>
          <w:b/>
          <w:lang w:val="sr-Cyrl-CS"/>
        </w:rPr>
        <w:tab/>
      </w:r>
      <w:r>
        <w:rPr>
          <w:rFonts w:ascii="Times New Roman" w:hAnsi="Times New Roman"/>
          <w:b/>
          <w:sz w:val="24"/>
          <w:lang w:val="sr-Cyrl-CS"/>
        </w:rPr>
        <w:t>11</w:t>
      </w:r>
      <w:r w:rsidRPr="000D06EF">
        <w:rPr>
          <w:rFonts w:ascii="Times New Roman" w:hAnsi="Times New Roman"/>
          <w:b/>
          <w:sz w:val="24"/>
          <w:lang w:val="sr-Cyrl-CS"/>
        </w:rPr>
        <w:t>) Саобраћај и комуникације</w:t>
      </w:r>
      <w:r w:rsidRPr="000D06EF">
        <w:rPr>
          <w:rFonts w:ascii="Times New Roman" w:hAnsi="Times New Roman"/>
          <w:sz w:val="24"/>
          <w:lang w:val="sr-Cyrl-CS"/>
        </w:rPr>
        <w:t xml:space="preserve"> обухвата изградњу и уређење железничког, друмског, водног и ваздушног саобраћаја, унутрашњи и међународни превоз и интермодални транспорт; уређење и безбедност техничко-технолошког система саобраћаја; телекомуникације, односно електронске комуникације и поштански саобраћај; уређење и безбедност у области електронских комуникација и поштанског саобраћаја. Област обухвата 7 докумената јавних политика, од чега 4 стратегије имају важећи акциони план, док су акциони планови за Стратегију развоја информационог друштва и Стратегију развоја електронских комуникација истекли 2014. године и потребно је припремити нове за наредни период. Изузев Стратегије развоја електронских комуникација, остале имају квантификовано постављене циљеве. Финансијски план дефинисан је у само два документа јавних политика. У наредном периоду очекује се усвајање Плана развоја железничког, друмског, водног, ваздушног и интермодалног транспорта у Републици Србији од 2015. до 2020. године. Планом рада Владе за 2015. годину планирана је израда Стратегије развоја интелигентних транспортних система.   </w:t>
      </w:r>
    </w:p>
    <w:p w:rsidR="001803D5" w:rsidRPr="000D06EF" w:rsidRDefault="001803D5" w:rsidP="00C80FDD">
      <w:pPr>
        <w:jc w:val="center"/>
        <w:rPr>
          <w:rFonts w:ascii="Times New Roman" w:hAnsi="Times New Roman"/>
          <w:b/>
          <w:sz w:val="20"/>
          <w:szCs w:val="20"/>
          <w:lang w:val="sr-Cyrl-CS"/>
        </w:rPr>
      </w:pPr>
      <w:r w:rsidRPr="000D06EF">
        <w:rPr>
          <w:rFonts w:ascii="Times New Roman" w:hAnsi="Times New Roman"/>
          <w:sz w:val="18"/>
          <w:szCs w:val="18"/>
          <w:lang w:val="sr-Cyrl-CS"/>
        </w:rPr>
        <w:t xml:space="preserve">Графикон </w:t>
      </w:r>
      <w:r>
        <w:rPr>
          <w:rFonts w:ascii="Times New Roman" w:hAnsi="Times New Roman"/>
          <w:sz w:val="18"/>
          <w:szCs w:val="18"/>
          <w:lang w:val="sr-Cyrl-CS"/>
        </w:rPr>
        <w:t>5</w:t>
      </w:r>
      <w:r w:rsidRPr="000D06EF">
        <w:rPr>
          <w:rFonts w:ascii="Times New Roman" w:hAnsi="Times New Roman"/>
          <w:sz w:val="18"/>
          <w:szCs w:val="18"/>
          <w:lang w:val="sr-Cyrl-CS"/>
        </w:rPr>
        <w:t xml:space="preserve">: </w:t>
      </w:r>
      <w:r w:rsidRPr="000D06EF">
        <w:rPr>
          <w:rFonts w:ascii="Times New Roman" w:hAnsi="Times New Roman"/>
          <w:b/>
          <w:color w:val="000000"/>
          <w:sz w:val="18"/>
          <w:szCs w:val="18"/>
          <w:lang w:val="sr-Cyrl-CS"/>
        </w:rPr>
        <w:t xml:space="preserve">Учешће важећих докумената области саобраћаја и комуникације </w:t>
      </w:r>
      <w:r>
        <w:rPr>
          <w:rFonts w:ascii="Times New Roman" w:hAnsi="Times New Roman"/>
          <w:b/>
          <w:color w:val="000000"/>
          <w:sz w:val="18"/>
          <w:szCs w:val="18"/>
        </w:rPr>
        <w:t>са дефинисаним критеријумима</w:t>
      </w:r>
      <w:r w:rsidRPr="005444A2">
        <w:rPr>
          <w:rFonts w:ascii="Times New Roman" w:hAnsi="Times New Roman"/>
          <w:b/>
          <w:noProof/>
          <w:sz w:val="20"/>
          <w:szCs w:val="20"/>
        </w:rPr>
        <w:pict>
          <v:shape id="_x0000_i1037" type="#_x0000_t75" style="width:321.75pt;height:197.25pt;visibility:visible">
            <v:imagedata r:id="rId18" o:title=""/>
          </v:shape>
        </w:pict>
      </w:r>
    </w:p>
    <w:p w:rsidR="001803D5" w:rsidRPr="000D06EF" w:rsidRDefault="001803D5" w:rsidP="000D06EF">
      <w:pPr>
        <w:spacing w:before="120" w:after="120"/>
        <w:rPr>
          <w:rFonts w:ascii="Times New Roman" w:hAnsi="Times New Roman"/>
          <w:b/>
          <w:lang w:val="sr-Cyrl-CS"/>
        </w:rPr>
      </w:pPr>
      <w:r w:rsidRPr="000D06EF">
        <w:rPr>
          <w:rFonts w:ascii="Times New Roman" w:hAnsi="Times New Roman"/>
          <w:i/>
          <w:sz w:val="18"/>
          <w:szCs w:val="18"/>
          <w:lang w:val="sr-Cyrl-CS"/>
        </w:rPr>
        <w:t xml:space="preserve">Табела </w:t>
      </w:r>
      <w:r>
        <w:rPr>
          <w:rFonts w:ascii="Times New Roman" w:hAnsi="Times New Roman"/>
          <w:i/>
          <w:sz w:val="18"/>
          <w:szCs w:val="18"/>
          <w:lang w:val="sr-Cyrl-CS"/>
        </w:rPr>
        <w:t>9</w:t>
      </w:r>
      <w:r w:rsidRPr="000D06EF">
        <w:rPr>
          <w:rFonts w:ascii="Times New Roman" w:hAnsi="Times New Roman"/>
          <w:i/>
          <w:sz w:val="18"/>
          <w:szCs w:val="18"/>
          <w:lang w:val="sr-Cyrl-CS"/>
        </w:rPr>
        <w:t>:</w:t>
      </w:r>
      <w:r w:rsidRPr="000D06EF">
        <w:rPr>
          <w:rFonts w:ascii="Times New Roman" w:hAnsi="Times New Roman"/>
          <w:b/>
          <w:sz w:val="18"/>
          <w:szCs w:val="18"/>
          <w:lang w:val="sr-Cyrl-CS"/>
        </w:rPr>
        <w:t xml:space="preserve"> Саобраћај и комуникације - важећа докумената јавних политика</w:t>
      </w:r>
    </w:p>
    <w:p w:rsidR="001803D5" w:rsidRDefault="001803D5" w:rsidP="00C95ED5">
      <w:pPr>
        <w:rPr>
          <w:rFonts w:ascii="Times New Roman" w:hAnsi="Times New Roman"/>
          <w:b/>
          <w:lang w:val="sr-Cyrl-CS"/>
        </w:rPr>
      </w:pPr>
      <w:r w:rsidRPr="005444A2">
        <w:rPr>
          <w:rFonts w:ascii="Times New Roman" w:hAnsi="Times New Roman"/>
          <w:b/>
          <w:noProof/>
        </w:rPr>
        <w:pict>
          <v:shape id="Picture 19" o:spid="_x0000_i1038" type="#_x0000_t75" style="width:421.5pt;height:226.5pt;visibility:visible">
            <v:imagedata r:id="rId19" o:title=""/>
          </v:shape>
        </w:pict>
      </w:r>
    </w:p>
    <w:p w:rsidR="001803D5" w:rsidRDefault="001803D5" w:rsidP="00C95ED5">
      <w:pPr>
        <w:rPr>
          <w:rFonts w:ascii="Times New Roman" w:hAnsi="Times New Roman"/>
          <w:b/>
          <w:sz w:val="24"/>
          <w:lang w:val="sr-Cyrl-CS"/>
        </w:rPr>
      </w:pPr>
    </w:p>
    <w:p w:rsidR="001803D5" w:rsidRPr="00C95ED5" w:rsidRDefault="001803D5" w:rsidP="003B5A6A">
      <w:pPr>
        <w:jc w:val="both"/>
        <w:rPr>
          <w:rFonts w:ascii="Times New Roman" w:hAnsi="Times New Roman"/>
          <w:b/>
          <w:lang w:val="sr-Cyrl-CS"/>
        </w:rPr>
      </w:pPr>
      <w:r>
        <w:rPr>
          <w:rFonts w:ascii="Times New Roman" w:hAnsi="Times New Roman"/>
          <w:b/>
          <w:sz w:val="24"/>
          <w:lang w:val="sr-Cyrl-CS"/>
        </w:rPr>
        <w:t>12</w:t>
      </w:r>
      <w:r w:rsidRPr="00C95ED5">
        <w:rPr>
          <w:rFonts w:ascii="Times New Roman" w:hAnsi="Times New Roman"/>
          <w:b/>
          <w:sz w:val="24"/>
          <w:lang w:val="sr-Cyrl-CS"/>
        </w:rPr>
        <w:t xml:space="preserve">) Тржиште рада. </w:t>
      </w:r>
      <w:r w:rsidRPr="00C95ED5">
        <w:rPr>
          <w:rFonts w:ascii="Times New Roman" w:hAnsi="Times New Roman"/>
          <w:sz w:val="24"/>
          <w:lang w:val="sr-Cyrl-CS"/>
        </w:rPr>
        <w:t>Ова област обухвата питања која покривају систем у области радних односа и права из рада у свим облицима рада изузев у државним органима и органима јединица локалне самоуправе и аутономне покрајине, јавним агенцијама и јавним службама; безбедност и здравље на раду. Ова област обухвата две стратегије, са важећим акционим плановима и квантитативним циљевима. Финансијска средства су планирана само у Националној стратегији запошљавања 2011-2020.</w:t>
      </w:r>
    </w:p>
    <w:p w:rsidR="001803D5" w:rsidRPr="000D06EF" w:rsidRDefault="001803D5" w:rsidP="000D06EF">
      <w:pPr>
        <w:rPr>
          <w:rFonts w:ascii="Times New Roman" w:hAnsi="Times New Roman"/>
          <w:b/>
          <w:lang w:val="sr-Cyrl-CS"/>
        </w:rPr>
      </w:pPr>
      <w:r w:rsidRPr="000D06EF">
        <w:rPr>
          <w:rFonts w:ascii="Times New Roman" w:hAnsi="Times New Roman"/>
          <w:i/>
          <w:sz w:val="18"/>
          <w:szCs w:val="18"/>
          <w:lang w:val="sr-Cyrl-CS"/>
        </w:rPr>
        <w:t xml:space="preserve">Табела </w:t>
      </w:r>
      <w:r>
        <w:rPr>
          <w:rFonts w:ascii="Times New Roman" w:hAnsi="Times New Roman"/>
          <w:i/>
          <w:sz w:val="18"/>
          <w:szCs w:val="18"/>
          <w:lang w:val="sr-Cyrl-CS"/>
        </w:rPr>
        <w:t>10</w:t>
      </w:r>
      <w:r w:rsidRPr="000D06EF">
        <w:rPr>
          <w:rFonts w:ascii="Times New Roman" w:hAnsi="Times New Roman"/>
          <w:i/>
          <w:sz w:val="18"/>
          <w:szCs w:val="18"/>
          <w:lang w:val="sr-Cyrl-CS"/>
        </w:rPr>
        <w:t>:</w:t>
      </w:r>
      <w:r w:rsidRPr="000D06EF">
        <w:rPr>
          <w:rFonts w:ascii="Times New Roman" w:hAnsi="Times New Roman"/>
          <w:b/>
          <w:sz w:val="18"/>
          <w:szCs w:val="18"/>
          <w:lang w:val="sr-Cyrl-CS"/>
        </w:rPr>
        <w:t xml:space="preserve"> Тржиште рада - важећа докумената јавних политика</w:t>
      </w:r>
      <w:r w:rsidRPr="005444A2">
        <w:rPr>
          <w:rFonts w:ascii="Times New Roman" w:hAnsi="Times New Roman"/>
          <w:noProof/>
          <w:sz w:val="20"/>
          <w:szCs w:val="20"/>
        </w:rPr>
        <w:pict>
          <v:shape id="Picture 10" o:spid="_x0000_i1039" type="#_x0000_t75" style="width:421.5pt;height:94.5pt;visibility:visible">
            <v:imagedata r:id="rId20" o:title=""/>
          </v:shape>
        </w:pict>
      </w:r>
    </w:p>
    <w:p w:rsidR="001803D5" w:rsidRPr="00C95ED5" w:rsidRDefault="001803D5" w:rsidP="000D06EF">
      <w:pPr>
        <w:jc w:val="both"/>
        <w:rPr>
          <w:rFonts w:ascii="Times New Roman" w:hAnsi="Times New Roman"/>
          <w:bCs/>
          <w:sz w:val="24"/>
          <w:lang w:val="sr-Cyrl-CS"/>
        </w:rPr>
      </w:pPr>
      <w:r w:rsidRPr="000D06EF">
        <w:rPr>
          <w:rFonts w:ascii="Times New Roman" w:hAnsi="Times New Roman"/>
          <w:b/>
          <w:bCs/>
          <w:lang w:val="sr-Cyrl-CS"/>
        </w:rPr>
        <w:tab/>
      </w:r>
      <w:r w:rsidRPr="00C95ED5">
        <w:rPr>
          <w:rFonts w:ascii="Times New Roman" w:hAnsi="Times New Roman"/>
          <w:b/>
          <w:bCs/>
          <w:sz w:val="24"/>
          <w:lang w:val="sr-Cyrl-CS"/>
        </w:rPr>
        <w:t>1</w:t>
      </w:r>
      <w:r>
        <w:rPr>
          <w:rFonts w:ascii="Times New Roman" w:hAnsi="Times New Roman"/>
          <w:b/>
          <w:bCs/>
          <w:sz w:val="24"/>
          <w:lang w:val="sr-Cyrl-CS"/>
        </w:rPr>
        <w:t>3</w:t>
      </w:r>
      <w:r w:rsidRPr="00C95ED5">
        <w:rPr>
          <w:rFonts w:ascii="Times New Roman" w:hAnsi="Times New Roman"/>
          <w:b/>
          <w:bCs/>
          <w:sz w:val="24"/>
          <w:lang w:val="sr-Cyrl-CS"/>
        </w:rPr>
        <w:t>) Социјална заштита</w:t>
      </w:r>
      <w:r w:rsidRPr="00C95ED5">
        <w:rPr>
          <w:rFonts w:ascii="Times New Roman" w:hAnsi="Times New Roman"/>
          <w:bCs/>
          <w:sz w:val="24"/>
          <w:lang w:val="sr-Cyrl-CS"/>
        </w:rPr>
        <w:t xml:space="preserve"> обухвата развој система социјалне заштите и социјалних услуга. У овој области су идентификована два документа јавних политика Стратегија социјалне заштите од 2005. до 2020. године, чије је спровођење у надлежности Министарства за рад, запошљавање, борачка и социјална питања и Стратегија социјалног становања, која је у надлежности Министарства грађевинарства, саобраћаја и инфраструктуре. Ниједана стратегија нема одређене квантитативне циљеве, док су потребна финансијска средства и акциони план израђени за Националну стратегију социјалног становања.  </w:t>
      </w:r>
    </w:p>
    <w:p w:rsidR="001803D5" w:rsidRPr="000D06EF" w:rsidRDefault="001803D5" w:rsidP="000D06EF">
      <w:pPr>
        <w:spacing w:before="120" w:after="120"/>
        <w:rPr>
          <w:rFonts w:ascii="Times New Roman" w:hAnsi="Times New Roman"/>
          <w:b/>
          <w:lang w:val="sr-Cyrl-CS"/>
        </w:rPr>
      </w:pPr>
      <w:r w:rsidRPr="000D06EF">
        <w:rPr>
          <w:rFonts w:ascii="Times New Roman" w:hAnsi="Times New Roman"/>
          <w:i/>
          <w:sz w:val="18"/>
          <w:szCs w:val="18"/>
          <w:lang w:val="sr-Cyrl-CS"/>
        </w:rPr>
        <w:t>Табела 1</w:t>
      </w:r>
      <w:r>
        <w:rPr>
          <w:rFonts w:ascii="Times New Roman" w:hAnsi="Times New Roman"/>
          <w:i/>
          <w:sz w:val="18"/>
          <w:szCs w:val="18"/>
          <w:lang w:val="sr-Cyrl-CS"/>
        </w:rPr>
        <w:t>1</w:t>
      </w:r>
      <w:r w:rsidRPr="000D06EF">
        <w:rPr>
          <w:rFonts w:ascii="Times New Roman" w:hAnsi="Times New Roman"/>
          <w:i/>
          <w:sz w:val="18"/>
          <w:szCs w:val="18"/>
          <w:lang w:val="sr-Cyrl-CS"/>
        </w:rPr>
        <w:t>:</w:t>
      </w:r>
      <w:r w:rsidRPr="000D06EF">
        <w:rPr>
          <w:rFonts w:ascii="Times New Roman" w:hAnsi="Times New Roman"/>
          <w:b/>
          <w:sz w:val="18"/>
          <w:szCs w:val="18"/>
          <w:lang w:val="sr-Cyrl-CS"/>
        </w:rPr>
        <w:t xml:space="preserve"> Социјална заштита - важећа докумената јавних политика</w:t>
      </w:r>
    </w:p>
    <w:p w:rsidR="001803D5" w:rsidRPr="000D06EF" w:rsidRDefault="001803D5" w:rsidP="000D06EF">
      <w:pPr>
        <w:rPr>
          <w:rFonts w:ascii="Times New Roman" w:hAnsi="Times New Roman"/>
          <w:bCs/>
          <w:sz w:val="20"/>
          <w:szCs w:val="20"/>
          <w:lang w:val="sr-Cyrl-CS"/>
        </w:rPr>
      </w:pPr>
      <w:r w:rsidRPr="005444A2">
        <w:rPr>
          <w:rFonts w:ascii="Times New Roman" w:hAnsi="Times New Roman"/>
          <w:noProof/>
          <w:sz w:val="20"/>
          <w:szCs w:val="20"/>
        </w:rPr>
        <w:pict>
          <v:shape id="Picture 11" o:spid="_x0000_i1040" type="#_x0000_t75" style="width:421.5pt;height:80.25pt;visibility:visible">
            <v:imagedata r:id="rId21" o:title=""/>
          </v:shape>
        </w:pict>
      </w:r>
    </w:p>
    <w:p w:rsidR="001803D5" w:rsidRPr="00C95ED5" w:rsidRDefault="001803D5" w:rsidP="000D06EF">
      <w:pPr>
        <w:spacing w:after="0"/>
        <w:jc w:val="both"/>
        <w:rPr>
          <w:rFonts w:ascii="Times New Roman" w:hAnsi="Times New Roman"/>
          <w:noProof/>
          <w:sz w:val="24"/>
        </w:rPr>
      </w:pPr>
      <w:r w:rsidRPr="000D06EF">
        <w:rPr>
          <w:rFonts w:ascii="Times New Roman" w:hAnsi="Times New Roman"/>
          <w:b/>
          <w:bCs/>
          <w:lang w:val="sr-Cyrl-CS"/>
        </w:rPr>
        <w:tab/>
      </w:r>
      <w:r>
        <w:rPr>
          <w:rFonts w:ascii="Times New Roman" w:hAnsi="Times New Roman"/>
          <w:b/>
          <w:bCs/>
          <w:sz w:val="24"/>
          <w:lang w:val="sr-Cyrl-CS"/>
        </w:rPr>
        <w:t>14</w:t>
      </w:r>
      <w:r w:rsidRPr="00C95ED5">
        <w:rPr>
          <w:rFonts w:ascii="Times New Roman" w:hAnsi="Times New Roman"/>
          <w:b/>
          <w:bCs/>
          <w:sz w:val="24"/>
          <w:lang w:val="sr-Cyrl-CS"/>
        </w:rPr>
        <w:t>) Спорт и омладина.</w:t>
      </w:r>
      <w:r w:rsidRPr="00C95ED5">
        <w:rPr>
          <w:rFonts w:ascii="Times New Roman" w:hAnsi="Times New Roman"/>
          <w:bCs/>
          <w:sz w:val="24"/>
          <w:lang w:val="sr-Cyrl-CS"/>
        </w:rPr>
        <w:t xml:space="preserve"> Ова област обухвата</w:t>
      </w:r>
      <w:r w:rsidRPr="00C95ED5">
        <w:rPr>
          <w:rFonts w:ascii="Times New Roman" w:hAnsi="Times New Roman"/>
          <w:sz w:val="24"/>
          <w:lang w:val="sr-Cyrl-CS"/>
        </w:rPr>
        <w:t xml:space="preserve"> унапређење друштвеног положаја младих и стварање услова за остваривање права и положаја младих у свим областима, као и унапређење и развој система, спорта и физичке културе. За остварење приоритета и циљева утврђених Националном стратегијом за младе донет је Акциони план за период 2015-2017, којим су прецизирани </w:t>
      </w:r>
      <w:r w:rsidRPr="00C95ED5">
        <w:rPr>
          <w:rFonts w:ascii="Times New Roman" w:hAnsi="Times New Roman"/>
          <w:noProof/>
          <w:sz w:val="24"/>
          <w:lang w:val="sr-Latn-CS"/>
        </w:rPr>
        <w:t>индикатор</w:t>
      </w:r>
      <w:r w:rsidRPr="00C95ED5">
        <w:rPr>
          <w:rFonts w:ascii="Times New Roman" w:hAnsi="Times New Roman"/>
          <w:noProof/>
          <w:sz w:val="24"/>
          <w:lang w:val="sr-Cyrl-CS"/>
        </w:rPr>
        <w:t>и за праћење остварења циљева и активности са почетним и циљним вредностима,</w:t>
      </w:r>
      <w:r w:rsidRPr="00C95ED5">
        <w:rPr>
          <w:rFonts w:ascii="Times New Roman" w:hAnsi="Times New Roman"/>
          <w:noProof/>
          <w:sz w:val="24"/>
          <w:lang w:val="sr-Latn-CS"/>
        </w:rPr>
        <w:t xml:space="preserve"> носиоц</w:t>
      </w:r>
      <w:r w:rsidRPr="00C95ED5">
        <w:rPr>
          <w:rFonts w:ascii="Times New Roman" w:hAnsi="Times New Roman"/>
          <w:noProof/>
          <w:sz w:val="24"/>
          <w:lang w:val="sr-Cyrl-CS"/>
        </w:rPr>
        <w:t>и</w:t>
      </w:r>
      <w:r w:rsidRPr="00C95ED5">
        <w:rPr>
          <w:rFonts w:ascii="Times New Roman" w:hAnsi="Times New Roman"/>
          <w:noProof/>
          <w:sz w:val="24"/>
          <w:lang w:val="sr-Latn-CS"/>
        </w:rPr>
        <w:t xml:space="preserve"> и учесни</w:t>
      </w:r>
      <w:r w:rsidRPr="00C95ED5">
        <w:rPr>
          <w:rFonts w:ascii="Times New Roman" w:hAnsi="Times New Roman"/>
          <w:noProof/>
          <w:sz w:val="24"/>
          <w:lang w:val="sr-Cyrl-CS"/>
        </w:rPr>
        <w:t>ци</w:t>
      </w:r>
      <w:r w:rsidRPr="00C95ED5">
        <w:rPr>
          <w:rFonts w:ascii="Times New Roman" w:hAnsi="Times New Roman"/>
          <w:noProof/>
          <w:sz w:val="24"/>
          <w:lang w:val="sr-Latn-CS"/>
        </w:rPr>
        <w:t xml:space="preserve"> процеса реализације и </w:t>
      </w:r>
      <w:r w:rsidRPr="00C95ED5">
        <w:rPr>
          <w:rFonts w:ascii="Times New Roman" w:hAnsi="Times New Roman"/>
          <w:noProof/>
          <w:sz w:val="24"/>
          <w:lang w:val="sr-Cyrl-CS"/>
        </w:rPr>
        <w:t>одређена</w:t>
      </w:r>
      <w:r w:rsidRPr="00C95ED5">
        <w:rPr>
          <w:rFonts w:ascii="Times New Roman" w:hAnsi="Times New Roman"/>
          <w:noProof/>
          <w:sz w:val="24"/>
          <w:lang w:val="sr-Latn-CS"/>
        </w:rPr>
        <w:t xml:space="preserve"> средства за реализацију. Детаљан план финансирања активности сачињен је за 2015. годину, а за трогодишњи период 2015–2017. године дата је пројекција трошкова.</w:t>
      </w:r>
    </w:p>
    <w:p w:rsidR="001803D5" w:rsidRPr="00C95ED5" w:rsidRDefault="001803D5" w:rsidP="000D06EF">
      <w:pPr>
        <w:spacing w:after="0"/>
        <w:jc w:val="both"/>
        <w:rPr>
          <w:rFonts w:ascii="Times New Roman" w:hAnsi="Times New Roman"/>
          <w:sz w:val="24"/>
        </w:rPr>
      </w:pPr>
      <w:r w:rsidRPr="00C95ED5">
        <w:rPr>
          <w:rFonts w:ascii="Times New Roman" w:hAnsi="Times New Roman"/>
          <w:noProof/>
          <w:sz w:val="24"/>
        </w:rPr>
        <w:tab/>
      </w:r>
      <w:r w:rsidRPr="00C95ED5">
        <w:rPr>
          <w:rFonts w:ascii="Times New Roman" w:hAnsi="Times New Roman"/>
          <w:sz w:val="24"/>
          <w:lang w:val="sr-Latn-CS"/>
        </w:rPr>
        <w:t xml:space="preserve">С друге страге, Стратегија развоја спорта има </w:t>
      </w:r>
      <w:r w:rsidRPr="00C95ED5">
        <w:rPr>
          <w:rFonts w:ascii="Times New Roman" w:hAnsi="Times New Roman"/>
          <w:sz w:val="24"/>
          <w:lang w:val="sr-Cyrl-CS"/>
        </w:rPr>
        <w:t>дефинисане</w:t>
      </w:r>
      <w:r w:rsidRPr="00C95ED5">
        <w:rPr>
          <w:rFonts w:ascii="Times New Roman" w:hAnsi="Times New Roman"/>
          <w:sz w:val="24"/>
          <w:lang w:val="sr-Latn-CS"/>
        </w:rPr>
        <w:t xml:space="preserve"> квантитативне циљеве али без </w:t>
      </w:r>
      <w:r w:rsidRPr="00C95ED5">
        <w:rPr>
          <w:rFonts w:ascii="Times New Roman" w:hAnsi="Times New Roman"/>
          <w:sz w:val="24"/>
          <w:lang w:val="sr-Cyrl-CS"/>
        </w:rPr>
        <w:t>планираних</w:t>
      </w:r>
      <w:r w:rsidRPr="00C95ED5">
        <w:rPr>
          <w:rFonts w:ascii="Times New Roman" w:hAnsi="Times New Roman"/>
          <w:sz w:val="24"/>
          <w:lang w:val="sr-Latn-CS"/>
        </w:rPr>
        <w:t xml:space="preserve"> финансијских средстава.</w:t>
      </w:r>
    </w:p>
    <w:p w:rsidR="001803D5" w:rsidRPr="000D06EF" w:rsidRDefault="001803D5" w:rsidP="000D06EF">
      <w:pPr>
        <w:spacing w:before="120" w:after="120"/>
        <w:rPr>
          <w:rFonts w:ascii="Times New Roman" w:hAnsi="Times New Roman"/>
          <w:b/>
          <w:lang w:val="sr-Cyrl-CS"/>
        </w:rPr>
      </w:pPr>
      <w:r w:rsidRPr="000D06EF">
        <w:rPr>
          <w:rFonts w:ascii="Times New Roman" w:hAnsi="Times New Roman"/>
          <w:i/>
          <w:sz w:val="18"/>
          <w:szCs w:val="18"/>
          <w:lang w:val="sr-Cyrl-CS"/>
        </w:rPr>
        <w:t>Табела 1</w:t>
      </w:r>
      <w:r>
        <w:rPr>
          <w:rFonts w:ascii="Times New Roman" w:hAnsi="Times New Roman"/>
          <w:i/>
          <w:sz w:val="18"/>
          <w:szCs w:val="18"/>
          <w:lang w:val="sr-Cyrl-CS"/>
        </w:rPr>
        <w:t>2</w:t>
      </w:r>
      <w:r w:rsidRPr="000D06EF">
        <w:rPr>
          <w:rFonts w:ascii="Times New Roman" w:hAnsi="Times New Roman"/>
          <w:i/>
          <w:sz w:val="18"/>
          <w:szCs w:val="18"/>
          <w:lang w:val="sr-Cyrl-CS"/>
        </w:rPr>
        <w:t>:</w:t>
      </w:r>
      <w:r w:rsidRPr="000D06EF">
        <w:rPr>
          <w:rFonts w:ascii="Times New Roman" w:hAnsi="Times New Roman"/>
          <w:b/>
          <w:sz w:val="18"/>
          <w:szCs w:val="18"/>
          <w:lang w:val="sr-Cyrl-CS"/>
        </w:rPr>
        <w:t xml:space="preserve"> Спорт и омладина - важећа докумената јавних политика</w:t>
      </w:r>
    </w:p>
    <w:p w:rsidR="001803D5" w:rsidRDefault="001803D5" w:rsidP="00C95ED5">
      <w:pPr>
        <w:rPr>
          <w:rFonts w:ascii="Times New Roman" w:hAnsi="Times New Roman"/>
          <w:b/>
          <w:sz w:val="20"/>
          <w:szCs w:val="20"/>
          <w:lang w:val="sr-Cyrl-CS"/>
        </w:rPr>
      </w:pPr>
      <w:r w:rsidRPr="005444A2">
        <w:rPr>
          <w:rFonts w:ascii="Times New Roman" w:hAnsi="Times New Roman"/>
          <w:b/>
          <w:noProof/>
          <w:sz w:val="20"/>
          <w:szCs w:val="20"/>
        </w:rPr>
        <w:pict>
          <v:shape id="Picture 17" o:spid="_x0000_i1041" type="#_x0000_t75" style="width:421.5pt;height:108pt;visibility:visible">
            <v:imagedata r:id="rId22" o:title=""/>
          </v:shape>
        </w:pict>
      </w:r>
    </w:p>
    <w:p w:rsidR="001803D5" w:rsidRPr="00C95ED5" w:rsidRDefault="001803D5" w:rsidP="00C95ED5">
      <w:pPr>
        <w:jc w:val="both"/>
        <w:rPr>
          <w:rFonts w:ascii="Times New Roman" w:hAnsi="Times New Roman"/>
          <w:b/>
          <w:sz w:val="20"/>
          <w:szCs w:val="20"/>
          <w:lang w:val="sr-Cyrl-CS"/>
        </w:rPr>
      </w:pPr>
      <w:r>
        <w:rPr>
          <w:rFonts w:ascii="Times New Roman" w:hAnsi="Times New Roman"/>
          <w:b/>
          <w:sz w:val="20"/>
          <w:szCs w:val="20"/>
          <w:lang w:val="sr-Cyrl-CS"/>
        </w:rPr>
        <w:tab/>
      </w:r>
      <w:r>
        <w:rPr>
          <w:rFonts w:ascii="Times New Roman" w:hAnsi="Times New Roman"/>
          <w:b/>
          <w:sz w:val="24"/>
          <w:lang w:val="sr-Cyrl-CS"/>
        </w:rPr>
        <w:t>15</w:t>
      </w:r>
      <w:r w:rsidRPr="00C95ED5">
        <w:rPr>
          <w:rFonts w:ascii="Times New Roman" w:hAnsi="Times New Roman"/>
          <w:b/>
          <w:sz w:val="24"/>
          <w:lang w:val="sr-Cyrl-CS"/>
        </w:rPr>
        <w:t>) Здравство.</w:t>
      </w:r>
      <w:r w:rsidRPr="00C95ED5">
        <w:rPr>
          <w:rFonts w:ascii="Times New Roman" w:hAnsi="Times New Roman"/>
          <w:sz w:val="24"/>
          <w:lang w:val="sr-Cyrl-CS"/>
        </w:rPr>
        <w:t xml:space="preserve"> Област здравства покрива питања која се односе на систем и организацију здравствене заштите; систем обавезног и других облика здравственог осигурања, садржај здравствене заштите, очување и унапређење здравља грађана и праћење здравственог стања и здравствених потреба становништва; здравствену инспекцију; производњу и промет лекова, медицинских и помоћних лековитих средстава; здравствену исправности животних намирница и предмета опште употребе у производњи и промету. У ов</w:t>
      </w:r>
      <w:r w:rsidRPr="00C95ED5">
        <w:rPr>
          <w:rFonts w:ascii="Times New Roman" w:hAnsi="Times New Roman"/>
          <w:sz w:val="24"/>
        </w:rPr>
        <w:t>o</w:t>
      </w:r>
      <w:r w:rsidRPr="00C95ED5">
        <w:rPr>
          <w:rFonts w:ascii="Times New Roman" w:hAnsi="Times New Roman"/>
          <w:sz w:val="24"/>
          <w:lang w:val="sr-Cyrl-CS"/>
        </w:rPr>
        <w:t xml:space="preserve">ј области </w:t>
      </w:r>
      <w:r w:rsidRPr="00C95ED5">
        <w:rPr>
          <w:rFonts w:ascii="Times New Roman" w:hAnsi="Times New Roman"/>
          <w:sz w:val="24"/>
        </w:rPr>
        <w:t xml:space="preserve">у примени је </w:t>
      </w:r>
      <w:r w:rsidRPr="00C95ED5">
        <w:rPr>
          <w:rFonts w:ascii="Times New Roman" w:hAnsi="Times New Roman"/>
          <w:sz w:val="24"/>
          <w:lang w:val="sr-Cyrl-CS"/>
        </w:rPr>
        <w:t>9 докумената јавних политика, од којих само три имају одређене квантитативне циљеве. Ниједна од важећих стратегија нема дефинисана финансијска средства за извођене планираних активности. Стратегија за стално унапређење квалитета здравствене заштите и безбедности пацијената једина нема урађена акциони план. Осим стратегије за превенцију и контролу хроничних незаразних болести, чији је рок важења до следеће године и Стратегије о спречавању злоупотребе дрога за период од 2014 - 2021. године, остале стратегије престају да важе у децембру 2015. године. Акционим планом за спровођење Програма Владе планирана је израда Стратегије за јавно здравље.</w:t>
      </w:r>
    </w:p>
    <w:p w:rsidR="001803D5" w:rsidRPr="000D06EF" w:rsidRDefault="001803D5" w:rsidP="00C95ED5">
      <w:pPr>
        <w:jc w:val="center"/>
        <w:rPr>
          <w:rFonts w:ascii="Times New Roman" w:hAnsi="Times New Roman"/>
          <w:b/>
          <w:color w:val="000000"/>
          <w:sz w:val="18"/>
          <w:szCs w:val="18"/>
          <w:lang w:val="sr-Cyrl-CS"/>
        </w:rPr>
      </w:pPr>
      <w:r w:rsidRPr="000D06EF">
        <w:rPr>
          <w:rFonts w:ascii="Times New Roman" w:hAnsi="Times New Roman"/>
          <w:sz w:val="18"/>
          <w:szCs w:val="18"/>
          <w:lang w:val="sr-Cyrl-CS"/>
        </w:rPr>
        <w:t xml:space="preserve">Графикон </w:t>
      </w:r>
      <w:r>
        <w:rPr>
          <w:rFonts w:ascii="Times New Roman" w:hAnsi="Times New Roman"/>
          <w:sz w:val="18"/>
          <w:szCs w:val="18"/>
          <w:lang w:val="sr-Cyrl-CS"/>
        </w:rPr>
        <w:t>6</w:t>
      </w:r>
      <w:r w:rsidRPr="000D06EF">
        <w:rPr>
          <w:rFonts w:ascii="Times New Roman" w:hAnsi="Times New Roman"/>
          <w:sz w:val="18"/>
          <w:szCs w:val="18"/>
          <w:lang w:val="sr-Cyrl-CS"/>
        </w:rPr>
        <w:t xml:space="preserve">: </w:t>
      </w:r>
      <w:r w:rsidRPr="000D06EF">
        <w:rPr>
          <w:rFonts w:ascii="Times New Roman" w:hAnsi="Times New Roman"/>
          <w:b/>
          <w:color w:val="000000"/>
          <w:sz w:val="18"/>
          <w:szCs w:val="18"/>
          <w:lang w:val="sr-Cyrl-CS"/>
        </w:rPr>
        <w:t xml:space="preserve">Учешће важећих докумената у области здравство </w:t>
      </w:r>
      <w:r w:rsidRPr="000D06EF">
        <w:rPr>
          <w:rFonts w:ascii="Times New Roman" w:hAnsi="Times New Roman"/>
          <w:b/>
          <w:color w:val="000000"/>
          <w:sz w:val="18"/>
          <w:szCs w:val="18"/>
        </w:rPr>
        <w:t>са дефинисаним критеријумима</w:t>
      </w:r>
    </w:p>
    <w:p w:rsidR="001803D5" w:rsidRPr="000D06EF" w:rsidRDefault="001803D5" w:rsidP="00C95ED5">
      <w:pPr>
        <w:spacing w:before="120" w:after="120"/>
        <w:jc w:val="center"/>
        <w:rPr>
          <w:rFonts w:ascii="Times New Roman" w:hAnsi="Times New Roman"/>
          <w:i/>
          <w:sz w:val="18"/>
          <w:szCs w:val="18"/>
          <w:lang w:val="sr-Cyrl-CS"/>
        </w:rPr>
      </w:pPr>
      <w:r w:rsidRPr="005444A2">
        <w:rPr>
          <w:rFonts w:ascii="Times New Roman" w:hAnsi="Times New Roman"/>
          <w:i/>
          <w:noProof/>
          <w:sz w:val="18"/>
          <w:szCs w:val="18"/>
        </w:rPr>
        <w:pict>
          <v:shape id="Picture 15" o:spid="_x0000_i1042" type="#_x0000_t75" style="width:315pt;height:193.5pt;visibility:visible">
            <v:imagedata r:id="rId23" o:title=""/>
          </v:shape>
        </w:pict>
      </w:r>
    </w:p>
    <w:p w:rsidR="001803D5" w:rsidRPr="000D06EF" w:rsidRDefault="001803D5" w:rsidP="000D06EF">
      <w:pPr>
        <w:spacing w:before="120" w:after="120"/>
        <w:rPr>
          <w:rFonts w:ascii="Times New Roman" w:hAnsi="Times New Roman"/>
          <w:b/>
          <w:lang w:val="sr-Cyrl-CS"/>
        </w:rPr>
      </w:pPr>
      <w:r w:rsidRPr="000D06EF">
        <w:rPr>
          <w:rFonts w:ascii="Times New Roman" w:hAnsi="Times New Roman"/>
          <w:i/>
          <w:sz w:val="18"/>
          <w:szCs w:val="18"/>
          <w:lang w:val="sr-Cyrl-CS"/>
        </w:rPr>
        <w:t>Табела 1</w:t>
      </w:r>
      <w:r>
        <w:rPr>
          <w:rFonts w:ascii="Times New Roman" w:hAnsi="Times New Roman"/>
          <w:i/>
          <w:sz w:val="18"/>
          <w:szCs w:val="18"/>
          <w:lang w:val="sr-Cyrl-CS"/>
        </w:rPr>
        <w:t>3</w:t>
      </w:r>
      <w:r w:rsidRPr="000D06EF">
        <w:rPr>
          <w:rFonts w:ascii="Times New Roman" w:hAnsi="Times New Roman"/>
          <w:i/>
          <w:sz w:val="18"/>
          <w:szCs w:val="18"/>
          <w:lang w:val="sr-Cyrl-CS"/>
        </w:rPr>
        <w:t xml:space="preserve">: </w:t>
      </w:r>
      <w:r w:rsidRPr="000D06EF">
        <w:rPr>
          <w:rFonts w:ascii="Times New Roman" w:hAnsi="Times New Roman"/>
          <w:b/>
          <w:sz w:val="18"/>
          <w:szCs w:val="18"/>
          <w:lang w:val="sr-Cyrl-CS"/>
        </w:rPr>
        <w:t>Здравство - важећа докумената јавних политика</w:t>
      </w:r>
    </w:p>
    <w:p w:rsidR="001803D5" w:rsidRPr="000D06EF" w:rsidRDefault="001803D5" w:rsidP="000D06EF">
      <w:pPr>
        <w:rPr>
          <w:rFonts w:ascii="Times New Roman" w:hAnsi="Times New Roman"/>
          <w:b/>
          <w:sz w:val="20"/>
          <w:szCs w:val="20"/>
          <w:lang w:val="sr-Cyrl-CS"/>
        </w:rPr>
      </w:pPr>
      <w:r w:rsidRPr="005444A2">
        <w:rPr>
          <w:rFonts w:ascii="Times New Roman" w:hAnsi="Times New Roman"/>
          <w:b/>
          <w:noProof/>
          <w:sz w:val="20"/>
          <w:szCs w:val="20"/>
        </w:rPr>
        <w:pict>
          <v:shape id="Picture 13" o:spid="_x0000_i1043" type="#_x0000_t75" style="width:421.5pt;height:208.5pt;visibility:visible">
            <v:imagedata r:id="rId24" o:title=""/>
          </v:shape>
        </w:pict>
      </w:r>
    </w:p>
    <w:p w:rsidR="001803D5" w:rsidRPr="00C95ED5" w:rsidRDefault="001803D5" w:rsidP="000D06EF">
      <w:pPr>
        <w:jc w:val="both"/>
        <w:rPr>
          <w:rFonts w:ascii="Times New Roman" w:hAnsi="Times New Roman"/>
          <w:sz w:val="24"/>
          <w:lang w:val="sr-Cyrl-CS"/>
        </w:rPr>
      </w:pPr>
      <w:r w:rsidRPr="000D06EF">
        <w:rPr>
          <w:rFonts w:ascii="Times New Roman" w:hAnsi="Times New Roman"/>
          <w:b/>
          <w:lang w:val="sr-Cyrl-CS"/>
        </w:rPr>
        <w:tab/>
      </w:r>
      <w:r>
        <w:rPr>
          <w:rFonts w:ascii="Times New Roman" w:hAnsi="Times New Roman"/>
          <w:b/>
          <w:sz w:val="24"/>
          <w:lang w:val="sr-Cyrl-CS"/>
        </w:rPr>
        <w:t>16</w:t>
      </w:r>
      <w:r w:rsidRPr="00C95ED5">
        <w:rPr>
          <w:rFonts w:ascii="Times New Roman" w:hAnsi="Times New Roman"/>
          <w:b/>
          <w:sz w:val="24"/>
          <w:lang w:val="sr-Cyrl-CS"/>
        </w:rPr>
        <w:t xml:space="preserve">) Образовање. </w:t>
      </w:r>
      <w:r w:rsidRPr="00C95ED5">
        <w:rPr>
          <w:rFonts w:ascii="Times New Roman" w:hAnsi="Times New Roman"/>
          <w:sz w:val="24"/>
          <w:lang w:val="sr-Cyrl-CS"/>
        </w:rPr>
        <w:t>Ова област обухвата унапређење и развој система образовања, едукацију у оквиру основног, средњег и високог образовања али и система образовања одраслих, стручно образовање и обуку. Тренутно су важећ</w:t>
      </w:r>
      <w:r w:rsidRPr="00C95ED5">
        <w:rPr>
          <w:rFonts w:ascii="Times New Roman" w:hAnsi="Times New Roman"/>
          <w:sz w:val="24"/>
        </w:rPr>
        <w:t>a</w:t>
      </w:r>
      <w:r w:rsidRPr="00C95ED5">
        <w:rPr>
          <w:rFonts w:ascii="Times New Roman" w:hAnsi="Times New Roman"/>
          <w:sz w:val="24"/>
          <w:lang w:val="sr-Cyrl-CS"/>
        </w:rPr>
        <w:t xml:space="preserve"> 2 документа јавних политика, при чему у Стратегији образовања одраслих у Републици Србији није назначена година престанка ове стратегије. Стратегија развоја образовања у Републици Србији донета је 2012. и намеће се као кровни документ ове области, јер су обрађени сви видови образовања и обуке. Ова стратегија има наведене и квантитативне циљеве. Акционим планом за њено спровођење конкретизоване су појединачне активности дефинисане циљевима и приоритетима Стратегије, разрађени начини спровођења, рокови, кључни носиоци и извршиоци, процедуре извештавања и процене ефеката предвиђених стратешких мера, док су финансијска средства одређена само из буџета и то за 2015. годину. Дефинисани су показатељи напретка, али без одређених почетних и циљних вредности.</w:t>
      </w:r>
    </w:p>
    <w:p w:rsidR="001803D5" w:rsidRPr="000D06EF" w:rsidRDefault="001803D5" w:rsidP="000D06EF">
      <w:pPr>
        <w:spacing w:before="120" w:after="120"/>
        <w:rPr>
          <w:rFonts w:ascii="Times New Roman" w:hAnsi="Times New Roman"/>
          <w:b/>
          <w:lang w:val="sr-Cyrl-CS"/>
        </w:rPr>
      </w:pPr>
      <w:r w:rsidRPr="000D06EF">
        <w:rPr>
          <w:rFonts w:ascii="Times New Roman" w:hAnsi="Times New Roman"/>
          <w:i/>
          <w:sz w:val="18"/>
          <w:szCs w:val="18"/>
          <w:lang w:val="sr-Cyrl-CS"/>
        </w:rPr>
        <w:t xml:space="preserve">Табела </w:t>
      </w:r>
      <w:r>
        <w:rPr>
          <w:rFonts w:ascii="Times New Roman" w:hAnsi="Times New Roman"/>
          <w:i/>
          <w:sz w:val="18"/>
          <w:szCs w:val="18"/>
          <w:lang w:val="sr-Cyrl-CS"/>
        </w:rPr>
        <w:t>14</w:t>
      </w:r>
      <w:r w:rsidRPr="000D06EF">
        <w:rPr>
          <w:rFonts w:ascii="Times New Roman" w:hAnsi="Times New Roman"/>
          <w:i/>
          <w:sz w:val="18"/>
          <w:szCs w:val="18"/>
          <w:lang w:val="sr-Cyrl-CS"/>
        </w:rPr>
        <w:t xml:space="preserve">: </w:t>
      </w:r>
      <w:r w:rsidRPr="000D06EF">
        <w:rPr>
          <w:rFonts w:ascii="Times New Roman" w:hAnsi="Times New Roman"/>
          <w:b/>
          <w:sz w:val="18"/>
          <w:szCs w:val="18"/>
          <w:lang w:val="sr-Cyrl-CS"/>
        </w:rPr>
        <w:t>Образовање - важећа докумената јавних политика</w:t>
      </w:r>
    </w:p>
    <w:p w:rsidR="001803D5" w:rsidRPr="000D06EF" w:rsidRDefault="001803D5" w:rsidP="000D06EF">
      <w:pPr>
        <w:rPr>
          <w:rFonts w:ascii="Times New Roman" w:hAnsi="Times New Roman"/>
          <w:b/>
          <w:sz w:val="20"/>
          <w:szCs w:val="20"/>
          <w:lang w:val="sr-Cyrl-CS"/>
        </w:rPr>
      </w:pPr>
      <w:r w:rsidRPr="005444A2">
        <w:rPr>
          <w:rFonts w:ascii="Times New Roman" w:hAnsi="Times New Roman"/>
          <w:b/>
          <w:noProof/>
          <w:sz w:val="20"/>
          <w:szCs w:val="20"/>
        </w:rPr>
        <w:pict>
          <v:shape id="Picture 14" o:spid="_x0000_i1044" type="#_x0000_t75" style="width:421.5pt;height:114.75pt;visibility:visible">
            <v:imagedata r:id="rId25" o:title=""/>
          </v:shape>
        </w:pict>
      </w:r>
    </w:p>
    <w:p w:rsidR="001803D5" w:rsidRDefault="001803D5" w:rsidP="00730668">
      <w:pPr>
        <w:rPr>
          <w:rFonts w:ascii="Times New Roman" w:hAnsi="Times New Roman"/>
          <w:b/>
          <w:lang w:val="sr-Cyrl-CS"/>
        </w:rPr>
      </w:pPr>
      <w:r w:rsidRPr="000D06EF">
        <w:rPr>
          <w:rFonts w:ascii="Times New Roman" w:hAnsi="Times New Roman"/>
          <w:b/>
          <w:lang w:val="sr-Cyrl-CS"/>
        </w:rPr>
        <w:tab/>
      </w:r>
    </w:p>
    <w:p w:rsidR="001803D5" w:rsidRPr="00C95ED5" w:rsidRDefault="001803D5" w:rsidP="00730668">
      <w:pPr>
        <w:ind w:firstLine="708"/>
        <w:rPr>
          <w:rFonts w:ascii="Times New Roman" w:hAnsi="Times New Roman"/>
          <w:sz w:val="24"/>
          <w:lang w:val="sr-Cyrl-CS"/>
        </w:rPr>
      </w:pPr>
      <w:r>
        <w:rPr>
          <w:rFonts w:ascii="Times New Roman" w:hAnsi="Times New Roman"/>
          <w:b/>
          <w:sz w:val="24"/>
          <w:lang w:val="sr-Cyrl-CS"/>
        </w:rPr>
        <w:t>17</w:t>
      </w:r>
      <w:r w:rsidRPr="00C95ED5">
        <w:rPr>
          <w:rFonts w:ascii="Times New Roman" w:hAnsi="Times New Roman"/>
          <w:b/>
          <w:sz w:val="24"/>
          <w:lang w:val="sr-Cyrl-CS"/>
        </w:rPr>
        <w:t xml:space="preserve">) Пољопривреда и рурални развој. </w:t>
      </w:r>
      <w:r w:rsidRPr="00C95ED5">
        <w:rPr>
          <w:rFonts w:ascii="Times New Roman" w:hAnsi="Times New Roman"/>
          <w:sz w:val="24"/>
          <w:lang w:val="sr-Cyrl-CS"/>
        </w:rPr>
        <w:t xml:space="preserve">Област пољопривреде и руралног развоја обухвата све аспекте пољопривредне производње, прераду и конкурентност, заштиту биља, безбедност хране, здравље и добробит животиња, развој шумарства и ловства и одржив рурални развој. </w:t>
      </w:r>
    </w:p>
    <w:p w:rsidR="001803D5" w:rsidRPr="000D06EF" w:rsidRDefault="001803D5" w:rsidP="00730668">
      <w:pPr>
        <w:spacing w:before="120" w:after="120"/>
        <w:rPr>
          <w:rFonts w:ascii="Times New Roman" w:hAnsi="Times New Roman"/>
          <w:b/>
          <w:lang w:val="sr-Cyrl-CS"/>
        </w:rPr>
      </w:pPr>
      <w:r w:rsidRPr="000D06EF">
        <w:rPr>
          <w:rFonts w:ascii="Times New Roman" w:hAnsi="Times New Roman"/>
          <w:i/>
          <w:sz w:val="18"/>
          <w:szCs w:val="18"/>
          <w:lang w:val="sr-Cyrl-CS"/>
        </w:rPr>
        <w:t>Табела 1</w:t>
      </w:r>
      <w:r>
        <w:rPr>
          <w:rFonts w:ascii="Times New Roman" w:hAnsi="Times New Roman"/>
          <w:i/>
          <w:sz w:val="18"/>
          <w:szCs w:val="18"/>
          <w:lang w:val="sr-Cyrl-CS"/>
        </w:rPr>
        <w:t>5</w:t>
      </w:r>
      <w:r w:rsidRPr="000D06EF">
        <w:rPr>
          <w:rFonts w:ascii="Times New Roman" w:hAnsi="Times New Roman"/>
          <w:i/>
          <w:sz w:val="18"/>
          <w:szCs w:val="18"/>
          <w:lang w:val="sr-Cyrl-CS"/>
        </w:rPr>
        <w:t xml:space="preserve">: </w:t>
      </w:r>
      <w:r w:rsidRPr="000D06EF">
        <w:rPr>
          <w:rFonts w:ascii="Times New Roman" w:hAnsi="Times New Roman"/>
          <w:b/>
          <w:sz w:val="18"/>
          <w:szCs w:val="18"/>
          <w:lang w:val="sr-Cyrl-CS"/>
        </w:rPr>
        <w:t>Пољопривреда и рурални развој - важећа докумената јавних политика</w:t>
      </w:r>
    </w:p>
    <w:p w:rsidR="001803D5" w:rsidRPr="000D06EF" w:rsidRDefault="001803D5" w:rsidP="00730668">
      <w:pPr>
        <w:rPr>
          <w:rFonts w:ascii="Times New Roman" w:hAnsi="Times New Roman"/>
          <w:b/>
          <w:sz w:val="20"/>
          <w:szCs w:val="20"/>
          <w:lang w:val="sr-Cyrl-CS"/>
        </w:rPr>
      </w:pPr>
      <w:r w:rsidRPr="005444A2">
        <w:rPr>
          <w:rFonts w:ascii="Times New Roman" w:hAnsi="Times New Roman"/>
          <w:b/>
          <w:noProof/>
          <w:sz w:val="20"/>
          <w:szCs w:val="20"/>
        </w:rPr>
        <w:pict>
          <v:shape id="_x0000_i1045" type="#_x0000_t75" style="width:421.5pt;height:103.5pt;visibility:visible">
            <v:imagedata r:id="rId26" o:title=""/>
          </v:shape>
        </w:pict>
      </w:r>
    </w:p>
    <w:p w:rsidR="001803D5" w:rsidRDefault="001803D5" w:rsidP="00730668">
      <w:pPr>
        <w:jc w:val="both"/>
        <w:rPr>
          <w:rFonts w:ascii="Times New Roman" w:hAnsi="Times New Roman"/>
          <w:sz w:val="24"/>
          <w:lang w:val="sr-Cyrl-CS"/>
        </w:rPr>
      </w:pPr>
      <w:r w:rsidRPr="000D06EF">
        <w:rPr>
          <w:rFonts w:ascii="Times New Roman" w:hAnsi="Times New Roman"/>
          <w:lang w:val="sr-Cyrl-CS"/>
        </w:rPr>
        <w:tab/>
      </w:r>
      <w:r w:rsidRPr="00C95ED5">
        <w:rPr>
          <w:rFonts w:ascii="Times New Roman" w:hAnsi="Times New Roman"/>
          <w:sz w:val="24"/>
          <w:lang w:val="sr-Cyrl-CS"/>
        </w:rPr>
        <w:t xml:space="preserve">За решавање проблема у овој области израђена су три документа јавних политика, при чему се као кровни документ намеће Стратегија развоја пољопривреде и руралног развоја и једина </w:t>
      </w:r>
      <w:r w:rsidRPr="00C95ED5">
        <w:rPr>
          <w:rFonts w:ascii="Times New Roman" w:hAnsi="Times New Roman"/>
          <w:sz w:val="24"/>
        </w:rPr>
        <w:t>je</w:t>
      </w:r>
      <w:r w:rsidRPr="00C95ED5">
        <w:rPr>
          <w:rFonts w:ascii="Times New Roman" w:hAnsi="Times New Roman"/>
          <w:sz w:val="24"/>
          <w:lang w:val="sr-Cyrl-CS"/>
        </w:rPr>
        <w:t xml:space="preserve"> са дефинисаним квантитативним циљевима, и пројектованим буџетом. Недостатак ове стратегије је што још увек није урађен акциони план за њено спровођење. У наредном периоду очекује се усвајање Предлога Националног програма за пољопривреду, Предлога Националног програма руралног развоја и Предлога Стратегије развоја ловства. Акционим планом за спровођење Програма Владе планирана је израда новог Програма развоја шумарства Републике Србије и Стратегија за управљање споредним производима животињског порекла.</w:t>
      </w:r>
    </w:p>
    <w:p w:rsidR="001803D5" w:rsidRPr="00752FBD" w:rsidRDefault="001803D5" w:rsidP="00730668">
      <w:pPr>
        <w:jc w:val="both"/>
        <w:rPr>
          <w:rFonts w:ascii="Times New Roman" w:hAnsi="Times New Roman"/>
          <w:b/>
          <w:bCs/>
          <w:lang w:val="sr-Cyrl-CS"/>
        </w:rPr>
      </w:pPr>
      <w:r w:rsidRPr="000D06EF">
        <w:rPr>
          <w:rFonts w:ascii="Times New Roman" w:hAnsi="Times New Roman"/>
          <w:b/>
          <w:bCs/>
          <w:lang w:val="sr-Cyrl-CS"/>
        </w:rPr>
        <w:tab/>
      </w:r>
      <w:r>
        <w:rPr>
          <w:rFonts w:ascii="Times New Roman" w:hAnsi="Times New Roman"/>
          <w:b/>
          <w:bCs/>
          <w:sz w:val="24"/>
          <w:lang w:val="sr-Cyrl-CS"/>
        </w:rPr>
        <w:t>18</w:t>
      </w:r>
      <w:r w:rsidRPr="00C95ED5">
        <w:rPr>
          <w:rFonts w:ascii="Times New Roman" w:hAnsi="Times New Roman"/>
          <w:b/>
          <w:bCs/>
          <w:sz w:val="24"/>
          <w:lang w:val="sr-Cyrl-CS"/>
        </w:rPr>
        <w:t xml:space="preserve">) Људска права и грађанско друштво. </w:t>
      </w:r>
      <w:r w:rsidRPr="00C95ED5">
        <w:rPr>
          <w:rFonts w:ascii="Times New Roman" w:hAnsi="Times New Roman"/>
          <w:bCs/>
          <w:sz w:val="24"/>
          <w:lang w:val="sr-Cyrl-CS"/>
        </w:rPr>
        <w:t>Ова област обухвата</w:t>
      </w:r>
      <w:r w:rsidRPr="00C95ED5">
        <w:rPr>
          <w:rFonts w:ascii="Times New Roman" w:hAnsi="Times New Roman"/>
          <w:sz w:val="24"/>
          <w:lang w:val="sr-Cyrl-CS"/>
        </w:rPr>
        <w:t xml:space="preserve"> обезбеђивање поштовања људских права које свако људско биће стиче чином свог рођења без обзира на пол, узраст, држављанство, верску или сексуалну опредељеност или друго лично својство, као и очување и јачање односа матичне државе и дијаспоре и матичне државе и Срба у региону</w:t>
      </w:r>
      <w:r w:rsidRPr="00752FBD">
        <w:rPr>
          <w:rFonts w:ascii="Times New Roman" w:hAnsi="Times New Roman"/>
          <w:sz w:val="24"/>
          <w:lang w:val="sr-Cyrl-CS"/>
        </w:rPr>
        <w:t xml:space="preserve">. Од 12 важећих стратегија из ове области, само 5 стратегија имају важећи акциони план; квантитативни циљеви су одређени само у 2, док су планирана средства </w:t>
      </w:r>
      <w:r w:rsidRPr="00752FBD">
        <w:rPr>
          <w:rFonts w:ascii="Times New Roman" w:hAnsi="Times New Roman"/>
          <w:sz w:val="24"/>
        </w:rPr>
        <w:t>приказана</w:t>
      </w:r>
      <w:r w:rsidRPr="00752FBD">
        <w:rPr>
          <w:rFonts w:ascii="Times New Roman" w:hAnsi="Times New Roman"/>
          <w:sz w:val="24"/>
          <w:lang w:val="sr-Cyrl-CS"/>
        </w:rPr>
        <w:t xml:space="preserve"> у 4. Једино Национална стратегија за побољшање положаја жена и унапређивање родне равноправности 2009-2015 има исказане квантитативне циљеве, финансијска средства и акциони план. Према рочности, 5 стратегија је са неодређеним роком трајања, 4 престају да важе до краја 2015. године. Планирана је израда нове Стратегије за побољшање положаја особа са инвалидитетом 2016-2020.</w:t>
      </w:r>
    </w:p>
    <w:p w:rsidR="001803D5" w:rsidRDefault="001803D5" w:rsidP="00730668">
      <w:pPr>
        <w:spacing w:after="0"/>
        <w:rPr>
          <w:rFonts w:ascii="Times New Roman" w:hAnsi="Times New Roman"/>
          <w:b/>
          <w:color w:val="000000"/>
          <w:sz w:val="18"/>
          <w:szCs w:val="18"/>
        </w:rPr>
      </w:pPr>
      <w:r w:rsidRPr="00752FBD">
        <w:rPr>
          <w:rFonts w:ascii="Times New Roman" w:hAnsi="Times New Roman"/>
          <w:sz w:val="18"/>
          <w:szCs w:val="18"/>
          <w:lang w:val="sr-Cyrl-CS"/>
        </w:rPr>
        <w:t xml:space="preserve">Графикон 7: </w:t>
      </w:r>
      <w:r w:rsidRPr="00752FBD">
        <w:rPr>
          <w:rFonts w:ascii="Times New Roman" w:hAnsi="Times New Roman"/>
          <w:b/>
          <w:color w:val="000000"/>
          <w:sz w:val="18"/>
          <w:szCs w:val="18"/>
          <w:lang w:val="sr-Cyrl-CS"/>
        </w:rPr>
        <w:t>Учешће важећих докумената у области људска права и грађанско друштво</w:t>
      </w:r>
      <w:r w:rsidRPr="00752FBD">
        <w:rPr>
          <w:rFonts w:ascii="Times New Roman" w:hAnsi="Times New Roman"/>
          <w:b/>
          <w:color w:val="000000"/>
          <w:sz w:val="18"/>
          <w:szCs w:val="18"/>
        </w:rPr>
        <w:t xml:space="preserve"> са дефинисаним критеријумима</w:t>
      </w:r>
    </w:p>
    <w:p w:rsidR="001803D5" w:rsidRDefault="001803D5" w:rsidP="00730668">
      <w:pPr>
        <w:spacing w:after="0"/>
        <w:rPr>
          <w:rFonts w:ascii="Times New Roman" w:hAnsi="Times New Roman"/>
          <w:b/>
          <w:color w:val="000000"/>
          <w:sz w:val="18"/>
          <w:szCs w:val="18"/>
        </w:rPr>
      </w:pPr>
    </w:p>
    <w:p w:rsidR="001803D5" w:rsidRPr="00730668" w:rsidRDefault="001803D5" w:rsidP="00730668">
      <w:pPr>
        <w:spacing w:after="0"/>
        <w:rPr>
          <w:rFonts w:ascii="Times New Roman" w:hAnsi="Times New Roman"/>
          <w:b/>
          <w:color w:val="000000"/>
          <w:sz w:val="18"/>
          <w:szCs w:val="18"/>
        </w:rPr>
      </w:pPr>
    </w:p>
    <w:p w:rsidR="001803D5" w:rsidRPr="000D06EF" w:rsidRDefault="001803D5" w:rsidP="00730668">
      <w:pPr>
        <w:jc w:val="center"/>
        <w:rPr>
          <w:rFonts w:ascii="Times New Roman" w:hAnsi="Times New Roman"/>
          <w:b/>
          <w:sz w:val="20"/>
          <w:szCs w:val="20"/>
          <w:lang w:val="sr-Cyrl-CS"/>
        </w:rPr>
      </w:pPr>
      <w:r w:rsidRPr="005444A2">
        <w:rPr>
          <w:noProof/>
          <w:szCs w:val="20"/>
        </w:rPr>
        <w:pict>
          <v:shape id="_x0000_i1046" type="#_x0000_t75" style="width:324.75pt;height:199.5pt;visibility:visible">
            <v:imagedata r:id="rId27" o:title=""/>
          </v:shape>
        </w:pict>
      </w:r>
    </w:p>
    <w:p w:rsidR="001803D5" w:rsidRDefault="001803D5">
      <w:pPr>
        <w:rPr>
          <w:rFonts w:ascii="Times New Roman" w:hAnsi="Times New Roman"/>
          <w:i/>
          <w:sz w:val="18"/>
          <w:szCs w:val="18"/>
          <w:lang w:val="sr-Cyrl-CS"/>
        </w:rPr>
      </w:pPr>
      <w:r>
        <w:rPr>
          <w:rFonts w:ascii="Times New Roman" w:hAnsi="Times New Roman"/>
          <w:i/>
          <w:sz w:val="18"/>
          <w:szCs w:val="18"/>
          <w:lang w:val="sr-Cyrl-CS"/>
        </w:rPr>
        <w:br w:type="page"/>
      </w:r>
    </w:p>
    <w:p w:rsidR="001803D5" w:rsidRPr="000D06EF" w:rsidRDefault="001803D5" w:rsidP="00730668">
      <w:pPr>
        <w:spacing w:before="120" w:after="120"/>
        <w:rPr>
          <w:rFonts w:ascii="Times New Roman" w:hAnsi="Times New Roman"/>
          <w:b/>
          <w:lang w:val="sr-Cyrl-CS"/>
        </w:rPr>
      </w:pPr>
      <w:r w:rsidRPr="00752FBD">
        <w:rPr>
          <w:rFonts w:ascii="Times New Roman" w:hAnsi="Times New Roman"/>
          <w:i/>
          <w:sz w:val="18"/>
          <w:szCs w:val="18"/>
          <w:lang w:val="sr-Cyrl-CS"/>
        </w:rPr>
        <w:t>Табела 1</w:t>
      </w:r>
      <w:r>
        <w:rPr>
          <w:rFonts w:ascii="Times New Roman" w:hAnsi="Times New Roman"/>
          <w:i/>
          <w:sz w:val="18"/>
          <w:szCs w:val="18"/>
          <w:lang w:val="sr-Cyrl-CS"/>
        </w:rPr>
        <w:t>6</w:t>
      </w:r>
      <w:r w:rsidRPr="00752FBD">
        <w:rPr>
          <w:rFonts w:ascii="Times New Roman" w:hAnsi="Times New Roman"/>
          <w:i/>
          <w:sz w:val="18"/>
          <w:szCs w:val="18"/>
          <w:lang w:val="sr-Cyrl-CS"/>
        </w:rPr>
        <w:t>:</w:t>
      </w:r>
      <w:r w:rsidRPr="00752FBD">
        <w:rPr>
          <w:rFonts w:ascii="Times New Roman" w:hAnsi="Times New Roman"/>
          <w:b/>
          <w:sz w:val="18"/>
          <w:szCs w:val="18"/>
          <w:lang w:val="sr-Cyrl-CS"/>
        </w:rPr>
        <w:t>Људска права и грађанско друштво - важећа докумената јавних политика</w:t>
      </w:r>
    </w:p>
    <w:p w:rsidR="001803D5" w:rsidRPr="000D06EF" w:rsidRDefault="001803D5" w:rsidP="000D06EF">
      <w:pPr>
        <w:rPr>
          <w:rFonts w:ascii="Times New Roman" w:hAnsi="Times New Roman"/>
          <w:sz w:val="20"/>
          <w:szCs w:val="20"/>
          <w:lang w:val="sr-Cyrl-CS"/>
        </w:rPr>
      </w:pPr>
      <w:r w:rsidRPr="005444A2">
        <w:rPr>
          <w:noProof/>
          <w:szCs w:val="20"/>
        </w:rPr>
        <w:pict>
          <v:shape id="_x0000_i1047" type="#_x0000_t75" style="width:419.25pt;height:306pt;visibility:visible">
            <v:imagedata r:id="rId28" o:title=""/>
          </v:shape>
        </w:pict>
      </w:r>
    </w:p>
    <w:p w:rsidR="001803D5" w:rsidRPr="00C95ED5" w:rsidRDefault="001803D5" w:rsidP="000D06EF">
      <w:pPr>
        <w:spacing w:after="0"/>
        <w:jc w:val="both"/>
        <w:rPr>
          <w:rFonts w:ascii="Times New Roman" w:hAnsi="Times New Roman"/>
          <w:sz w:val="24"/>
        </w:rPr>
      </w:pPr>
      <w:r w:rsidRPr="000D06EF">
        <w:rPr>
          <w:rFonts w:ascii="Times New Roman" w:hAnsi="Times New Roman"/>
          <w:b/>
          <w:bCs/>
          <w:lang w:val="sr-Cyrl-CS"/>
        </w:rPr>
        <w:tab/>
      </w:r>
      <w:r>
        <w:rPr>
          <w:rFonts w:ascii="Times New Roman" w:hAnsi="Times New Roman"/>
          <w:b/>
          <w:bCs/>
          <w:sz w:val="24"/>
          <w:lang w:val="sr-Cyrl-CS"/>
        </w:rPr>
        <w:t>19</w:t>
      </w:r>
      <w:r w:rsidRPr="00C95ED5">
        <w:rPr>
          <w:rFonts w:ascii="Times New Roman" w:hAnsi="Times New Roman"/>
          <w:b/>
          <w:bCs/>
          <w:sz w:val="24"/>
          <w:lang w:val="sr-Cyrl-CS"/>
        </w:rPr>
        <w:t>) Култура и информисање</w:t>
      </w:r>
      <w:r>
        <w:rPr>
          <w:rFonts w:ascii="Times New Roman" w:hAnsi="Times New Roman"/>
          <w:b/>
          <w:bCs/>
          <w:sz w:val="24"/>
        </w:rPr>
        <w:t xml:space="preserve"> </w:t>
      </w:r>
      <w:bookmarkStart w:id="0" w:name="_GoBack"/>
      <w:bookmarkEnd w:id="0"/>
      <w:r w:rsidRPr="00C95ED5">
        <w:rPr>
          <w:rFonts w:ascii="Times New Roman" w:hAnsi="Times New Roman"/>
          <w:sz w:val="24"/>
          <w:lang w:val="sr-Cyrl-CS"/>
        </w:rPr>
        <w:t xml:space="preserve">обухвата </w:t>
      </w:r>
      <w:r w:rsidRPr="00C95ED5">
        <w:rPr>
          <w:rFonts w:ascii="Times New Roman" w:hAnsi="Times New Roman"/>
          <w:sz w:val="24"/>
          <w:shd w:val="clear" w:color="auto" w:fill="FFFFFF"/>
          <w:lang w:val="sr-Cyrl-CS"/>
        </w:rPr>
        <w:t xml:space="preserve">развој и унапређење културе и уметничког стваралаштва, развој и унапређење књижевног, преводилачког, музичког и сценског стваралаштва, ликовних и примењених уметности и дизајна, филмског и ставралаштва у области других аудио-визуелних медија, заштиту непокретног, покретног и нематеријалног културног наслеђа, библиотечку, издавачку, кинематографску и музичко-сценску делатност, систем јавног информисања, информисање националних мањина, сарадњу у области заштите културне баштине, културног стваралаштва и информисања на језику и писму припадника српског народа у региону. У овој области је очигледан изостанак кровног документа. Једина стратегија која постоји је Стратегија развоја система јавног информисања у Републици Србији са роком важења до 2016. године. Стратегија има разрађен акциони план који предвиђа активности током целог рока важења стратегије. Кванитативни циљ предвиђа да ће Република Србија, ван територије Аутономне Покрајине Војводине, имати шест јавних регионалних радио и телевизијских сервиса, док финансијска средства за извођење активности нису предвиђена. </w:t>
      </w:r>
    </w:p>
    <w:p w:rsidR="001803D5" w:rsidRPr="000D06EF" w:rsidRDefault="001803D5">
      <w:pPr>
        <w:rPr>
          <w:rFonts w:ascii="Times New Roman" w:hAnsi="Times New Roman"/>
        </w:rPr>
      </w:pPr>
    </w:p>
    <w:p w:rsidR="001803D5" w:rsidRPr="000D06EF" w:rsidRDefault="001803D5">
      <w:pPr>
        <w:rPr>
          <w:rFonts w:ascii="Times New Roman" w:hAnsi="Times New Roman"/>
        </w:rPr>
      </w:pPr>
    </w:p>
    <w:sectPr w:rsidR="001803D5" w:rsidRPr="000D06EF" w:rsidSect="00CE59AE">
      <w:headerReference w:type="even" r:id="rId29"/>
      <w:headerReference w:type="default" r:id="rId30"/>
      <w:pgSz w:w="11906" w:h="16838"/>
      <w:pgMar w:top="1417" w:right="1417" w:bottom="1417"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3D5" w:rsidRDefault="001803D5">
      <w:r>
        <w:separator/>
      </w:r>
    </w:p>
  </w:endnote>
  <w:endnote w:type="continuationSeparator" w:id="0">
    <w:p w:rsidR="001803D5" w:rsidRDefault="001803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3D5" w:rsidRDefault="001803D5">
      <w:r>
        <w:separator/>
      </w:r>
    </w:p>
  </w:footnote>
  <w:footnote w:type="continuationSeparator" w:id="0">
    <w:p w:rsidR="001803D5" w:rsidRDefault="001803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3D5" w:rsidRDefault="001803D5" w:rsidP="00656A2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03D5" w:rsidRDefault="001803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3D5" w:rsidRDefault="001803D5" w:rsidP="00656A2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1803D5" w:rsidRDefault="001803D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06EF"/>
    <w:rsid w:val="000D06EF"/>
    <w:rsid w:val="001803D5"/>
    <w:rsid w:val="0022100C"/>
    <w:rsid w:val="002C641D"/>
    <w:rsid w:val="002D1ED2"/>
    <w:rsid w:val="003B5A6A"/>
    <w:rsid w:val="003D5EDD"/>
    <w:rsid w:val="004E05F8"/>
    <w:rsid w:val="005011D6"/>
    <w:rsid w:val="005444A2"/>
    <w:rsid w:val="00575456"/>
    <w:rsid w:val="005B1EA6"/>
    <w:rsid w:val="00656A26"/>
    <w:rsid w:val="00677B92"/>
    <w:rsid w:val="006C3F1A"/>
    <w:rsid w:val="00730668"/>
    <w:rsid w:val="00752FBD"/>
    <w:rsid w:val="00837D57"/>
    <w:rsid w:val="009A0960"/>
    <w:rsid w:val="009E011E"/>
    <w:rsid w:val="00C80FDD"/>
    <w:rsid w:val="00C95ED5"/>
    <w:rsid w:val="00CB78FE"/>
    <w:rsid w:val="00CE59AE"/>
    <w:rsid w:val="00DD09C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45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D06EF"/>
  </w:style>
  <w:style w:type="paragraph" w:styleId="BalloonText">
    <w:name w:val="Balloon Text"/>
    <w:basedOn w:val="Normal"/>
    <w:link w:val="BalloonTextChar"/>
    <w:uiPriority w:val="99"/>
    <w:semiHidden/>
    <w:rsid w:val="000D0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06EF"/>
    <w:rPr>
      <w:rFonts w:ascii="Tahoma" w:hAnsi="Tahoma" w:cs="Tahoma"/>
      <w:sz w:val="16"/>
      <w:szCs w:val="16"/>
    </w:rPr>
  </w:style>
  <w:style w:type="paragraph" w:styleId="Header">
    <w:name w:val="header"/>
    <w:basedOn w:val="Normal"/>
    <w:link w:val="HeaderChar"/>
    <w:uiPriority w:val="99"/>
    <w:rsid w:val="00CE59AE"/>
    <w:pPr>
      <w:tabs>
        <w:tab w:val="center" w:pos="4535"/>
        <w:tab w:val="right" w:pos="9071"/>
      </w:tabs>
    </w:pPr>
  </w:style>
  <w:style w:type="character" w:customStyle="1" w:styleId="HeaderChar">
    <w:name w:val="Header Char"/>
    <w:basedOn w:val="DefaultParagraphFont"/>
    <w:link w:val="Header"/>
    <w:uiPriority w:val="99"/>
    <w:semiHidden/>
    <w:rsid w:val="0040619A"/>
  </w:style>
  <w:style w:type="character" w:styleId="PageNumber">
    <w:name w:val="page number"/>
    <w:basedOn w:val="DefaultParagraphFont"/>
    <w:uiPriority w:val="99"/>
    <w:rsid w:val="00CE59A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3.emf"/><Relationship Id="rId26" Type="http://schemas.openxmlformats.org/officeDocument/2006/relationships/image" Target="media/image21.emf"/><Relationship Id="rId3" Type="http://schemas.openxmlformats.org/officeDocument/2006/relationships/webSettings" Target="webSettings.xml"/><Relationship Id="rId21" Type="http://schemas.openxmlformats.org/officeDocument/2006/relationships/image" Target="media/image16.emf"/><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emf"/><Relationship Id="rId25" Type="http://schemas.openxmlformats.org/officeDocument/2006/relationships/image" Target="media/image20.emf"/><Relationship Id="rId2" Type="http://schemas.openxmlformats.org/officeDocument/2006/relationships/settings" Target="settings.xml"/><Relationship Id="rId16" Type="http://schemas.openxmlformats.org/officeDocument/2006/relationships/image" Target="media/image11.emf"/><Relationship Id="rId20" Type="http://schemas.openxmlformats.org/officeDocument/2006/relationships/image" Target="media/image15.emf"/><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emf"/><Relationship Id="rId24" Type="http://schemas.openxmlformats.org/officeDocument/2006/relationships/image" Target="media/image19.emf"/><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emf"/><Relationship Id="rId23" Type="http://schemas.openxmlformats.org/officeDocument/2006/relationships/image" Target="media/image18.emf"/><Relationship Id="rId28" Type="http://schemas.openxmlformats.org/officeDocument/2006/relationships/image" Target="media/image23.emf"/><Relationship Id="rId10" Type="http://schemas.openxmlformats.org/officeDocument/2006/relationships/image" Target="media/image5.emf"/><Relationship Id="rId19" Type="http://schemas.openxmlformats.org/officeDocument/2006/relationships/image" Target="media/image14.emf"/><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image" Target="media/image17.emf"/><Relationship Id="rId27" Type="http://schemas.openxmlformats.org/officeDocument/2006/relationships/image" Target="media/image22.emf"/><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14</Pages>
  <Words>2987</Words>
  <Characters>17030</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Pesic</dc:creator>
  <cp:keywords/>
  <dc:description/>
  <cp:lastModifiedBy>daktilo04</cp:lastModifiedBy>
  <cp:revision>5</cp:revision>
  <dcterms:created xsi:type="dcterms:W3CDTF">2016-01-18T09:03:00Z</dcterms:created>
  <dcterms:modified xsi:type="dcterms:W3CDTF">2016-01-25T10:14:00Z</dcterms:modified>
</cp:coreProperties>
</file>