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21" w:rsidRPr="00C171F5" w:rsidRDefault="007B7260" w:rsidP="007B7260">
      <w:pPr>
        <w:tabs>
          <w:tab w:val="left" w:pos="6521"/>
        </w:tabs>
        <w:spacing w:after="0" w:line="240" w:lineRule="auto"/>
        <w:ind w:left="7920" w:hanging="6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</w:t>
      </w:r>
    </w:p>
    <w:p w:rsidR="007B7260" w:rsidRPr="00C171F5" w:rsidRDefault="007B7260" w:rsidP="007B7260">
      <w:pPr>
        <w:tabs>
          <w:tab w:val="left" w:pos="6521"/>
        </w:tabs>
        <w:spacing w:after="0" w:line="240" w:lineRule="auto"/>
        <w:ind w:left="7920" w:hanging="64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267691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413B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413B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7B7260" w:rsidP="007B72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52F21" w:rsidRPr="00C171F5" w:rsidRDefault="00F52F21" w:rsidP="007B72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7B7260" w:rsidRPr="00C171F5" w:rsidRDefault="00C171F5" w:rsidP="007B72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</w:p>
    <w:p w:rsidR="00F52F21" w:rsidRPr="00C171F5" w:rsidRDefault="00F52F21" w:rsidP="007B72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7B7260" w:rsidP="007B726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6D9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ind w:firstLine="425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Pojedini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izrazi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upotrebljeni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ovoj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uredbi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imaju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sledeće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značenje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svaka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materija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ili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predmet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držalac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odbacuje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namerava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ili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neophodno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da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odbaci</w:t>
      </w:r>
      <w:r w:rsidR="007B7260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; </w:t>
      </w:r>
    </w:p>
    <w:p w:rsidR="007B7260" w:rsidRPr="00C171F5" w:rsidRDefault="007B7260" w:rsidP="007B7260">
      <w:pPr>
        <w:pStyle w:val="HTMLPreformatted"/>
        <w:numPr>
          <w:ilvl w:val="0"/>
          <w:numId w:val="2"/>
        </w:numPr>
        <w:tabs>
          <w:tab w:val="left" w:pos="709"/>
          <w:tab w:val="left" w:pos="900"/>
          <w:tab w:val="left" w:pos="652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nc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ntr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dinu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vlj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 je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ristik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pisim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mb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rtni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izluživ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aj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ksičn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izluž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vršinskih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kratkoročnom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pretrpeti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nikakvo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raspadanje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rastvaranje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izazvati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407B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alineji</w:t>
      </w:r>
      <w:r w:rsidR="005407B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četvrtoj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549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D549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inertan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sulfidnog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sumpora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0,1%,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sulfidnog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sumpora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srazmeru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neutralizacije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srazmera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neutralizacije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kiselinskog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statičnog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prEN 15875,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3; </w:t>
      </w:r>
    </w:p>
    <w:p w:rsidR="007B7260" w:rsidRPr="00C171F5" w:rsidRDefault="00C171F5" w:rsidP="007B7260">
      <w:pPr>
        <w:pStyle w:val="HTMLPreformatted"/>
        <w:numPr>
          <w:ilvl w:val="0"/>
          <w:numId w:val="2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samozapaljivanja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As, Cd, Co, Cr, Cu, Hg, Mo, Ni, Pb, V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Zn,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zasebnim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česticama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nizak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zanemarljiv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kratkoročnom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činioce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7B726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 w:rsidDel="000D49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jalovište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prirodan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služi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sitno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zrnastog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različitim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slobodne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nastale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izbistravanjem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recirkulacijom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procesne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550FC" w:rsidRPr="00C171F5" w:rsidRDefault="00C171F5" w:rsidP="00C550FC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sloj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zemljine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uklonjen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zagađenim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čvrstom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tečnom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rastvor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suspenziju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neočekivano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neopasan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iskopavanjem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treseta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inertni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nasipi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ograđivanje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osiguravaju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akumulacije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osiguravaju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izbrisana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katastra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saniranja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97DCE" w:rsidRPr="00C171F5" w:rsidRDefault="007B7260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 w:rsidDel="000D49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recipijent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površinske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ušća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obalna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prirodni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veštački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vodotoci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jezera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akumulacije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ispuštaju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atmosferske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C550FC" w:rsidRPr="00C171F5" w:rsidRDefault="00C171F5" w:rsidP="00C550FC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 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duzim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tn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oa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buduć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rišć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ući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vit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liz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rekultivaciju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="00C550FC" w:rsidRPr="00C171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897DCE" w:rsidRPr="00C171F5" w:rsidRDefault="00C171F5" w:rsidP="00897DCE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nasip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zadržavanje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akumulacionog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informisanje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promovišu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97DCE" w:rsidRPr="00C171F5" w:rsidRDefault="00C171F5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držalac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steklo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svojstvo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97DC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6052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5413B9" w:rsidP="007B7260">
      <w:pPr>
        <w:pStyle w:val="HTMLPreformatted"/>
        <w:numPr>
          <w:ilvl w:val="0"/>
          <w:numId w:val="2"/>
        </w:numPr>
        <w:tabs>
          <w:tab w:val="left" w:pos="900"/>
          <w:tab w:val="left" w:pos="6521"/>
        </w:tabs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celokupno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određenoj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geografskoj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njegovom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upravljačkom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kontrolom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pStyle w:val="Heading1"/>
        <w:tabs>
          <w:tab w:val="left" w:pos="6521"/>
        </w:tabs>
        <w:spacing w:before="0" w:line="240" w:lineRule="auto"/>
        <w:ind w:left="567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                                                             </w:t>
      </w:r>
    </w:p>
    <w:p w:rsidR="007B7260" w:rsidRPr="00C171F5" w:rsidRDefault="007B7260" w:rsidP="007B7260">
      <w:pPr>
        <w:pStyle w:val="Heading1"/>
        <w:tabs>
          <w:tab w:val="left" w:pos="6521"/>
        </w:tabs>
        <w:spacing w:before="0" w:line="240" w:lineRule="auto"/>
        <w:ind w:left="567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                                                          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3.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pStyle w:val="NoSpacing"/>
        <w:tabs>
          <w:tab w:val="left" w:pos="6521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4. 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metodama</w:t>
      </w:r>
      <w:r w:rsidR="000E3C6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7"/>
        </w:numPr>
        <w:tabs>
          <w:tab w:val="left" w:pos="851"/>
          <w:tab w:val="left" w:pos="6521"/>
        </w:tabs>
        <w:spacing w:after="120"/>
        <w:ind w:left="851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B7260" w:rsidRPr="00C171F5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5.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negativnog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odabira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izloženosti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izvodljivo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recikliranjem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uklanjanjem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prihvatljivo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kratkotrajnog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dugotrajnog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zbrinjavanja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krajnjoj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zatvorenim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sprečava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barem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dugotrajne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nepovoljne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pripisati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širenju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zagađivača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vazduha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77A14" w:rsidRPr="00C171F5" w:rsidRDefault="00C171F5" w:rsidP="00500ECD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nasipa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7B7260" w:rsidP="007B7260">
      <w:pPr>
        <w:pStyle w:val="NoSpacing"/>
        <w:ind w:left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6.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unosi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držaocu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pečatom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upravljati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0F5B" w:rsidRPr="00C171F5" w:rsidRDefault="00C171F5" w:rsidP="00BA0832">
      <w:pPr>
        <w:pStyle w:val="ListParagraph"/>
        <w:numPr>
          <w:ilvl w:val="0"/>
          <w:numId w:val="5"/>
        </w:numPr>
        <w:tabs>
          <w:tab w:val="left" w:pos="900"/>
          <w:tab w:val="left" w:pos="993"/>
          <w:tab w:val="left" w:pos="6521"/>
        </w:tabs>
        <w:spacing w:before="100" w:beforeAutospacing="1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="009A234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DD408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408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hidrološkim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hidrogeološkim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seizmičkim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faktorima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0F5B" w:rsidRPr="00C171F5" w:rsidRDefault="00C171F5" w:rsidP="00BA0832">
      <w:pPr>
        <w:pStyle w:val="ListParagraph"/>
        <w:numPr>
          <w:ilvl w:val="0"/>
          <w:numId w:val="5"/>
        </w:numPr>
        <w:tabs>
          <w:tab w:val="left" w:pos="900"/>
          <w:tab w:val="left" w:pos="993"/>
          <w:tab w:val="left" w:pos="6521"/>
        </w:tabs>
        <w:spacing w:before="100" w:beforeAutospacing="1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kratkoročno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dugoročno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vazduha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izazvanog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supstancama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ispuštaju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vodenu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60F5B" w:rsidRPr="00C171F5" w:rsidRDefault="00C171F5" w:rsidP="00BA0832">
      <w:pPr>
        <w:pStyle w:val="ListParagraph"/>
        <w:numPr>
          <w:ilvl w:val="0"/>
          <w:numId w:val="5"/>
        </w:numPr>
        <w:tabs>
          <w:tab w:val="left" w:pos="900"/>
          <w:tab w:val="left" w:pos="993"/>
          <w:tab w:val="left" w:pos="6521"/>
        </w:tabs>
        <w:spacing w:before="100" w:beforeAutospacing="1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003BFA">
      <w:pPr>
        <w:pStyle w:val="ListParagraph"/>
        <w:numPr>
          <w:ilvl w:val="0"/>
          <w:numId w:val="5"/>
        </w:numPr>
        <w:tabs>
          <w:tab w:val="left" w:pos="900"/>
          <w:tab w:val="left" w:pos="993"/>
          <w:tab w:val="left" w:pos="6521"/>
        </w:tabs>
        <w:spacing w:after="0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003BFA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bezbednošću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00ECD" w:rsidRPr="00C171F5" w:rsidRDefault="00C171F5" w:rsidP="00003BFA">
      <w:pPr>
        <w:pStyle w:val="NoSpacing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identifikovanje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nesreće</w:t>
      </w:r>
      <w:r w:rsidR="00003B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operativne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86CF3" w:rsidRPr="00C171F5" w:rsidRDefault="00C171F5" w:rsidP="00A86CF3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spacing w:before="100" w:beforeAutospacing="1"/>
        <w:ind w:left="0" w:firstLine="567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generiše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0F5B" w:rsidRPr="00C171F5" w:rsidRDefault="00C171F5" w:rsidP="00A86CF3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spacing w:before="100" w:beforeAutospacing="1"/>
        <w:ind w:left="0" w:firstLine="567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preventivne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:</w:t>
      </w:r>
    </w:p>
    <w:p w:rsidR="00160F5B" w:rsidRPr="00C171F5" w:rsidRDefault="00160F5B" w:rsidP="00160F5B">
      <w:pPr>
        <w:pStyle w:val="ListParagraph"/>
        <w:spacing w:after="0"/>
        <w:ind w:left="0" w:firstLine="64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   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 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erozij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uzrokovan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vetrom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opravdano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60F5B" w:rsidRPr="00C171F5" w:rsidRDefault="00160F5B" w:rsidP="00160F5B">
      <w:pPr>
        <w:pStyle w:val="ListParagraph"/>
        <w:spacing w:before="100" w:beforeAutospacing="1"/>
        <w:ind w:left="0" w:firstLine="6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fizičk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kratkoročnog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vazduha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0E3C6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predele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najmanju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160F5B" w:rsidP="00A86CF3">
      <w:pPr>
        <w:pStyle w:val="ListParagraph"/>
        <w:spacing w:after="0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  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rekultivaciju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zatvaranje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003B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A86CF3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A86CF3">
      <w:pPr>
        <w:pStyle w:val="HTMLPreformatted"/>
        <w:numPr>
          <w:ilvl w:val="0"/>
          <w:numId w:val="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B10BF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86CF3" w:rsidRPr="00C171F5" w:rsidRDefault="00C171F5" w:rsidP="00BA0832">
      <w:pPr>
        <w:pStyle w:val="ListParagraph"/>
        <w:numPr>
          <w:ilvl w:val="0"/>
          <w:numId w:val="5"/>
        </w:numPr>
        <w:tabs>
          <w:tab w:val="left" w:pos="851"/>
          <w:tab w:val="left" w:pos="900"/>
          <w:tab w:val="left" w:pos="993"/>
          <w:tab w:val="left" w:pos="6521"/>
        </w:tabs>
        <w:spacing w:before="100" w:beforeAutospacing="1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preispituje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160F5B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DD408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160F5B" w:rsidRPr="00C171F5">
        <w:rPr>
          <w:noProof/>
          <w:lang w:val="sr-Latn-CS"/>
        </w:rPr>
        <w:t xml:space="preserve"> </w:t>
      </w:r>
    </w:p>
    <w:p w:rsidR="00A86CF3" w:rsidRPr="00C171F5" w:rsidRDefault="00C171F5" w:rsidP="00BA0832">
      <w:pPr>
        <w:pStyle w:val="ListParagraph"/>
        <w:numPr>
          <w:ilvl w:val="0"/>
          <w:numId w:val="5"/>
        </w:numPr>
        <w:tabs>
          <w:tab w:val="left" w:pos="851"/>
          <w:tab w:val="left" w:pos="900"/>
          <w:tab w:val="left" w:pos="993"/>
          <w:tab w:val="left" w:pos="6521"/>
        </w:tabs>
        <w:spacing w:before="100" w:beforeAutospacing="1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mere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pogoršanja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vazduha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8D4F55">
      <w:pPr>
        <w:pStyle w:val="ListParagraph"/>
        <w:numPr>
          <w:ilvl w:val="0"/>
          <w:numId w:val="5"/>
        </w:numPr>
        <w:tabs>
          <w:tab w:val="left" w:pos="851"/>
          <w:tab w:val="left" w:pos="900"/>
          <w:tab w:val="left" w:pos="993"/>
          <w:tab w:val="left" w:pos="6521"/>
        </w:tabs>
        <w:spacing w:after="0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B10BF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86CF3" w:rsidRPr="00C171F5" w:rsidRDefault="00C171F5" w:rsidP="008D4F55">
      <w:pPr>
        <w:pStyle w:val="NoSpacing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pokrajinskog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4F5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ugroze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negativni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takvih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86CF3" w:rsidRPr="00C171F5" w:rsidRDefault="00500ECD" w:rsidP="008353BC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intern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eksternog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A86CF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00ECD" w:rsidRPr="00C171F5" w:rsidRDefault="00A86CF3" w:rsidP="008353BC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17)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podmirenja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troškov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preduzete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one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0E3C6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0E3C6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E3C6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raspoloživa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činioca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uticala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opisano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8353B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500EC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inertnog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sklopu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urađenog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8.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E3C6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86AB7" w:rsidRPr="00C171F5" w:rsidRDefault="00C171F5" w:rsidP="007B7260">
      <w:pPr>
        <w:pStyle w:val="HTMLPreformatted"/>
        <w:numPr>
          <w:ilvl w:val="0"/>
          <w:numId w:val="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8C387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86AB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9.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8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8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8"/>
        </w:numPr>
        <w:tabs>
          <w:tab w:val="left" w:pos="851"/>
          <w:tab w:val="left" w:pos="6521"/>
        </w:tabs>
        <w:spacing w:after="12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      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10.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:</w:t>
      </w:r>
    </w:p>
    <w:p w:rsidR="007B7260" w:rsidRPr="00C171F5" w:rsidRDefault="00C171F5" w:rsidP="007B7260">
      <w:pPr>
        <w:pStyle w:val="NoSpacing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odloženim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pokrajinskom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rezultata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izvestio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rudarskih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9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najboljim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tehnikama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statističkim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statističke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čisto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mediji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zainteresovanoj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550FC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susednih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zemalja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 2</w:t>
      </w:r>
      <w:r w:rsidR="00F80A5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B10BF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80A5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medijima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C550FC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C55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uobičajenim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generičkim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smeša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navođenjem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BC0B17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BC0B1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BC0B17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upozoreno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dešavanja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9E6098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stanovništvo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dešavanja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eksterni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14A6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izrađuje</w:t>
      </w:r>
      <w:r w:rsidR="00314A6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14A6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14A6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14A6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nesreće</w:t>
      </w:r>
      <w:r w:rsidR="00314A6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0"/>
        </w:numPr>
        <w:tabs>
          <w:tab w:val="left" w:pos="900"/>
          <w:tab w:val="left" w:pos="6521"/>
        </w:tabs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</w:t>
      </w:r>
      <w:r w:rsidR="00BC0B17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3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7B7260" w:rsidRPr="00C171F5" w:rsidRDefault="00C171F5" w:rsidP="00A2573E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</w:t>
      </w:r>
      <w:r w:rsidR="00BC0B17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4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    </w:t>
      </w:r>
      <w:r w:rsid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</w:t>
      </w:r>
      <w:r w:rsidR="00BC0B17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5</w:t>
      </w:r>
      <w:r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7691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zasniva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257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karakterizovati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osigurava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dugotrajna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hemijska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strukture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očekivanih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kratkotrajno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dugotrajno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osvrtom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atmosferskih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meteoroloških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eksploatišu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reagenasa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4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BC0B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eksploatisati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geohemijske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definisanje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inertnog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uzimaju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geohemijskog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ponašanja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inertnim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podvrgnut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jedino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relevantnom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geohemijskog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testiranja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potrebni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prikupljaju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1)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postojeća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geološka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slične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liste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inertnog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šeme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sertifikacije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1F5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slični</w:t>
      </w:r>
      <w:r w:rsidR="007F1F5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materijali</w:t>
      </w:r>
      <w:r w:rsidR="00A42BE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zadovoljavaju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2BE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7.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2)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evaluira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reprezentativnost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eventualno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nedostaju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3)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nedostaju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uzorkovanja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sastavlja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uzorci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uzimaju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uzorkovanja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   4)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akreditovana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uzrokovanje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Planovi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uzorkovanja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zasnivaju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identifikovanim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testiranja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uzorkovanja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uzorkovanja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jezgra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bušotine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transportne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trake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gomile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jezera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preporuke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veličinu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5)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evaluaciju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pouzdanosti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uzorkovanja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6)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koristeći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metodu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konačan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uvrštava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ListParagraph"/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Operateri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karakterizaciju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7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7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izložene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mineraloškom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hidrotermalnu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mineralizovanih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ogoljenih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mineralizovane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mineralizaciju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mineralizacije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mineralogiji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gustina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poroznost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granulometrijski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prerađeni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novonastali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hidrotermalni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veličini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geometriji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razgradnji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supergenim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mineraloškom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7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proslojke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navodeći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usitnjavanje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opisu</w:t>
      </w:r>
      <w:r w:rsidR="0008156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08156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reagenasa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upravljanju</w:t>
      </w:r>
      <w:r w:rsidR="00E51A4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izlaganja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7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geotehničko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 </w:t>
      </w:r>
    </w:p>
    <w:p w:rsidR="007B7260" w:rsidRPr="00C171F5" w:rsidRDefault="00C171F5" w:rsidP="007B7260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relevantni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krupnoća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plastičnost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gustina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zbijenosti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smicanja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propustljivost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koeficijent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poroznosti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stišljivost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konsolidacija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7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geohemijske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specifikacija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aditiva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ostataka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C171F5" w:rsidP="007B7260">
      <w:pPr>
        <w:pStyle w:val="HTMLPreformatted"/>
        <w:numPr>
          <w:ilvl w:val="0"/>
          <w:numId w:val="17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predviđanje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kiselih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drenažnih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proceđivanja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oksidnih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rastvorenih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izluživanja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pH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perkolacioni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otpuštanja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ListParagraph"/>
        <w:numPr>
          <w:ilvl w:val="0"/>
          <w:numId w:val="21"/>
        </w:numPr>
        <w:tabs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sulfide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statička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kinetička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kiselih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drenažnih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257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ListParagraph"/>
        <w:tabs>
          <w:tab w:val="left" w:pos="900"/>
        </w:tabs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14E0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51A4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neispravnog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pucanja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nasipa</w:t>
      </w:r>
      <w:r w:rsidR="00BC0B1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nesreća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faktori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sadašnja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veličina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4A0B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7B7260" w:rsidRPr="00C171F5" w:rsidRDefault="007B7260" w:rsidP="007B7260">
      <w:pPr>
        <w:pStyle w:val="HTMLPreformatted"/>
        <w:numPr>
          <w:ilvl w:val="0"/>
          <w:numId w:val="2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klasifikovan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4A0B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7B7260" w:rsidRPr="00C171F5" w:rsidRDefault="00C171F5" w:rsidP="007B7260">
      <w:pPr>
        <w:pStyle w:val="HTMLPreformatted"/>
        <w:numPr>
          <w:ilvl w:val="0"/>
          <w:numId w:val="2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smeše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klasifikovane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A42BE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42BED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neispravnog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kratkoročno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dugoročno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3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nezanemarljive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ljudskih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3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3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6D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ocene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potencijalne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celokupno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BC0B1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razdoblja</w:t>
      </w:r>
      <w:r w:rsidR="00C156B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C0B1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fazu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znači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njegovu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sposobnost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zadrži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nasipa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projektovano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mehanizme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bitni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predmetnih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Ocena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trenutni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prevozi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posledičnih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kratkoročnih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neispravan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znači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velikih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neuspeh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pogrešan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razrađen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ispuštanja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neispravnog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efekte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kratkotrajnih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ispuštanja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velikih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dugotrajno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ispuštanje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482FC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razdoblje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pogonu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dugoročno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razdoblje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potencijalnih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reaktivan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neopasnog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C14E0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14E0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14E0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procenjuje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neispravnog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 10, 11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zanemarljivim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lakšom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opasnošću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očekuje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dužeg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razdoblja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prisutni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zahvaćenom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radnika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upravljaju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zahvaćeni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uzrokuju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invalidnost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dugotrajno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narušeno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ozbiljnom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opasnošću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Potencijalna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ozbiljnom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HTMLPreformatted"/>
        <w:numPr>
          <w:ilvl w:val="0"/>
          <w:numId w:val="24"/>
        </w:numPr>
        <w:tabs>
          <w:tab w:val="left" w:pos="900"/>
          <w:tab w:val="left" w:pos="6521"/>
        </w:tabs>
        <w:ind w:left="0" w:firstLine="53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intenzitet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razdoblju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4"/>
        </w:numPr>
        <w:tabs>
          <w:tab w:val="left" w:pos="900"/>
          <w:tab w:val="left" w:pos="6521"/>
        </w:tabs>
        <w:ind w:left="0" w:firstLine="53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kvar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dugotrajne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4"/>
        </w:numPr>
        <w:tabs>
          <w:tab w:val="left" w:pos="900"/>
          <w:tab w:val="left" w:pos="6521"/>
        </w:tabs>
        <w:ind w:left="0" w:firstLine="53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zahvaćeno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okruženje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čišćenje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ljudskih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razmera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potencijalnih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uzimaju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kontekstu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lanca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izvor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putanja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recipijent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putanja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recipijenta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predmetna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neispravnog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konstrukcije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brane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jalovištu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mulja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dostigne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0,7 m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tla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brzina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mulja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pređe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0,5 m/s.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faktore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veličinu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kvantitet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topografiju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deponovanja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talasa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prisutni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talasa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5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faktore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specifične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klizanja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pokretu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dometa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pokretu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pojavi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faktore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veličinu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karakteristike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kvantitet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nagiba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sakupljanja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unutar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podloge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topografiju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blizinu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vodotokova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6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faktore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specifične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doprinesu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Granična</w:t>
      </w:r>
      <w:r w:rsidR="00AB1D9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suve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materije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C14E0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verovatnoća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prisutan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razdoblja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7260" w:rsidRPr="00C171F5" w:rsidRDefault="00C171F5" w:rsidP="007B7260">
      <w:pPr>
        <w:pStyle w:val="HTMLPreformatted"/>
        <w:numPr>
          <w:ilvl w:val="0"/>
          <w:numId w:val="27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C14E05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verovatnoća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prisutan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razdoblja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klasifikovana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AB1D9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5%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B1D9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AB1D9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AB1D9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svrstati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413B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opravdano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lokaciju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fokusom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efektima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kvara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celovitosti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neispravnog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dokazujući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svrstana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sadržaja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manji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5 %,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sadržaja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procenjuje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ispunjen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kriterijum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vrednostima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 2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D5487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CD24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ListParagraph"/>
        <w:tabs>
          <w:tab w:val="left" w:pos="900"/>
        </w:tabs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28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reagenasa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ispuštaju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muljem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8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reagens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8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reagens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supstanci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smeši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hemikalijama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28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akumulirane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(ΔQi)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jalovištu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izračunava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formuli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D24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27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BA0832">
      <w:pPr>
        <w:pStyle w:val="HTMLPreformatted"/>
        <w:numPr>
          <w:ilvl w:val="0"/>
          <w:numId w:val="28"/>
        </w:numPr>
        <w:tabs>
          <w:tab w:val="left" w:pos="900"/>
          <w:tab w:val="left" w:pos="6521"/>
        </w:tabs>
        <w:ind w:left="0"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supstancu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smešu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identifikuju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maksimalna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godišnja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(C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max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vodenoj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procenjuje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formulom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utvrđenom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28.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D24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najvećih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godišnjih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(C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max</w:t>
      </w:r>
      <w:r w:rsidR="00E43F9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vodena</w:t>
      </w:r>
      <w:r w:rsidR="00E43F9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faza</w:t>
      </w:r>
      <w:r w:rsidR="00E43F9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E43F9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opasnom</w:t>
      </w:r>
      <w:r w:rsidR="00E43F9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jalovišta</w:t>
      </w:r>
      <w:r w:rsidR="00C156B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zasniva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utvrđenoj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direktnoj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hemijskoj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analizi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čvrstih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jalovištu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jalovište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metali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izdvajaju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gomila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rude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luženjem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supstance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korišćenih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zaostalih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završenog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luženja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procedne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opasnim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klasifikuje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 17</w:t>
      </w:r>
      <w:r w:rsidR="00CD24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CD24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CD246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inertni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nezagađenu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otkrivku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Preispitivanje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izmenjena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promenjeni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razdoblja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Formula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izračunavanje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prosečnog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jalovištu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ΔQ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sr-Latn-CS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sr-Latn-C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i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sr-Latn-C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sr-Latn-C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sr-Latn-C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D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sr-Latn-CS"/>
            </w:rPr>
            <m:t xml:space="preserve"> ∙P</m:t>
          </m:r>
        </m:oMath>
      </m:oMathPara>
    </w:p>
    <w:p w:rsidR="007B7260" w:rsidRPr="00C171F5" w:rsidRDefault="00C171F5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ΔQ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=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akumulaciji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skupljanje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(m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/god)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‘i’ 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ΔΜ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=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godišnja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deponuje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suve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‘i’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 =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prosečna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suva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zapreminska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gustina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deponovane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t/m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347FA" w:rsidRPr="00C171F5" w:rsidRDefault="007B7260" w:rsidP="002347FA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 =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prosečna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poroznost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nataložene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(m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/m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zapremine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pora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ukupnoj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zapremini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deponovane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jalovine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C171F5" w:rsidP="002347FA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347FA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zadate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1,4 t/m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nasipnu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zapreminsku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gustinu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0,5 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/m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poroznost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maksimalne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vodenoj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max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5C24B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sr-Latn-C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max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sr-Latn-C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sr-Latn-C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sr-Latn-C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sr-Latn-C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sr-Latn-CS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sr-Latn-C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sr-Latn-CS"/>
                    </w:rPr>
                    <m:t>i</m:t>
                  </m:r>
                </m:sub>
              </m:sSub>
            </m:den>
          </m:f>
        </m:oMath>
      </m:oMathPara>
    </w:p>
    <w:p w:rsidR="007B7260" w:rsidRPr="00C171F5" w:rsidRDefault="00C171F5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Pr="00C171F5">
        <w:rPr>
          <w:rFonts w:ascii="Times New Roman" w:hAnsi="Times New Roman" w:cs="Times New Roman"/>
          <w:noProof/>
          <w:sz w:val="24"/>
          <w:szCs w:val="24"/>
          <w:vertAlign w:val="subscript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=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godišnja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supstance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smeše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F1559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ispuštaju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deponiju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1F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‘i’.</w:t>
      </w: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7B7260" w:rsidP="007B7260">
      <w:pPr>
        <w:pStyle w:val="ListParagraph"/>
        <w:tabs>
          <w:tab w:val="left" w:pos="0"/>
          <w:tab w:val="left" w:pos="180"/>
          <w:tab w:val="left" w:pos="630"/>
          <w:tab w:val="left" w:pos="810"/>
          <w:tab w:val="left" w:pos="1980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8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1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1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hemijskog</w:t>
      </w:r>
      <w:r w:rsidR="002B4F4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1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korektivnim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1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08321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8321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08321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08321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8321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08321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1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temelju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saznanjima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rudarskom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1</w:t>
      </w:r>
      <w:r w:rsidR="008D2441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9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B7260" w:rsidRPr="00C171F5" w:rsidRDefault="00C171F5" w:rsidP="007B7260">
      <w:pPr>
        <w:pStyle w:val="HTMLPreformatted"/>
        <w:numPr>
          <w:ilvl w:val="0"/>
          <w:numId w:val="1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HTMLPreformatted"/>
        <w:numPr>
          <w:ilvl w:val="0"/>
          <w:numId w:val="1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normi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ispuštanje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recipijent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7B7260" w:rsidRPr="00C171F5" w:rsidRDefault="00C171F5" w:rsidP="007B7260">
      <w:pPr>
        <w:pStyle w:val="HTMLPreformatted"/>
        <w:numPr>
          <w:ilvl w:val="0"/>
          <w:numId w:val="12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praškastih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00CA4" w:rsidRPr="00C171F5" w:rsidRDefault="00000CA4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8D2441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20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odustane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80A5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operativne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nične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misi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ućih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HTMLPreformatted"/>
        <w:numPr>
          <w:ilvl w:val="0"/>
          <w:numId w:val="13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C171F5" w:rsidP="007B7260">
      <w:pPr>
        <w:pStyle w:val="HTMLPreformatted"/>
        <w:numPr>
          <w:ilvl w:val="0"/>
          <w:numId w:val="13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8D2441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1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državljanima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="00A257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nepovoljne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ljudsko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A083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nepovoljne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ljudsko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bilaternih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recipročnoj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bilateralnih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8156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izložena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imala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2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5B617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C51F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C51F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pokrajinskom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ljudsko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smanjile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procenio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</w:t>
      </w: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3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neopasnog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neinertnog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duže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jedne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godine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neopasnog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obogaćivanjem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treseta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inertnog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4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generiše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kamenoloma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operacija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utiskivanje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utiskivanje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iscrpljenje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slojnu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B7260" w:rsidRPr="00C171F5" w:rsidRDefault="00C171F5" w:rsidP="007B7260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kamenoloma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51F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naftnu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eksploatacionih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ind w:left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ind w:left="3600" w:firstLine="7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5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C51F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C51F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inertnim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nemetaličnih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kamenoloma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treseta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lastRenderedPageBreak/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6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neopasnim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evaporita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gipsa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anhidrida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nezagađene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otkopavanjem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treseta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A2573E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7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19, 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20, 21</w:t>
      </w:r>
      <w:r w:rsidR="00E474D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22.</w:t>
      </w:r>
      <w:r w:rsidR="001040F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neopasni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inertnog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zbrinjava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CC7822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877A14" w:rsidRPr="00C171F5" w:rsidRDefault="00C171F5" w:rsidP="00877A14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877A14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28.</w:t>
      </w:r>
    </w:p>
    <w:p w:rsidR="00877A14" w:rsidRPr="00C171F5" w:rsidRDefault="00C171F5" w:rsidP="00877A14">
      <w:pPr>
        <w:pStyle w:val="NoSpacing"/>
        <w:tabs>
          <w:tab w:val="left" w:pos="6521"/>
        </w:tabs>
        <w:ind w:firstLine="547"/>
        <w:jc w:val="both"/>
        <w:rPr>
          <w:rStyle w:val="rvts3"/>
          <w:rFonts w:ascii="Times New Roman" w:eastAsiaTheme="majorEastAsia" w:hAnsi="Times New Roman" w:cs="Times New Roman"/>
          <w:b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1.500.000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3.000.000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3533E" w:rsidRPr="00C171F5" w:rsidRDefault="00C171F5" w:rsidP="00877A14">
      <w:pPr>
        <w:pStyle w:val="HTMLPreformatted"/>
        <w:numPr>
          <w:ilvl w:val="0"/>
          <w:numId w:val="3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3533E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BC143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C143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C143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77A14" w:rsidRPr="00C171F5" w:rsidRDefault="00C171F5" w:rsidP="00877A14">
      <w:pPr>
        <w:pStyle w:val="HTMLPreformatted"/>
        <w:numPr>
          <w:ilvl w:val="0"/>
          <w:numId w:val="30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77A1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877A1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preispitivanje</w:t>
      </w:r>
      <w:r w:rsidR="00ED36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ED36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ED36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rudarskim</w:t>
      </w:r>
      <w:r w:rsidR="00ED36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ED36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C143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C143C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</w:t>
      </w:r>
      <w:r w:rsidR="00ED3638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E06B06" w:rsidRPr="00C171F5" w:rsidRDefault="00C171F5" w:rsidP="00ED3638">
      <w:pPr>
        <w:pStyle w:val="HTMLPreformatted"/>
        <w:numPr>
          <w:ilvl w:val="0"/>
          <w:numId w:val="30"/>
        </w:numPr>
        <w:tabs>
          <w:tab w:val="left" w:pos="900"/>
          <w:tab w:val="left" w:pos="6521"/>
        </w:tabs>
        <w:ind w:left="540" w:firstLine="27"/>
        <w:jc w:val="both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postupa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D3638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06B06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06B06" w:rsidRPr="00C171F5" w:rsidRDefault="00C171F5" w:rsidP="00E06B06">
      <w:pPr>
        <w:pStyle w:val="HTMLPreformatted"/>
        <w:numPr>
          <w:ilvl w:val="0"/>
          <w:numId w:val="30"/>
        </w:numPr>
        <w:tabs>
          <w:tab w:val="left" w:pos="900"/>
          <w:tab w:val="left" w:pos="6521"/>
        </w:tabs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interni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udesa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06B06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2).</w:t>
      </w:r>
    </w:p>
    <w:p w:rsidR="00877A14" w:rsidRPr="00C171F5" w:rsidRDefault="00877A14" w:rsidP="00877A14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877A14" w:rsidRPr="00C171F5" w:rsidRDefault="00C171F5" w:rsidP="00877A14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877A14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29.</w:t>
      </w:r>
    </w:p>
    <w:p w:rsidR="00877A14" w:rsidRPr="00C171F5" w:rsidRDefault="00C171F5" w:rsidP="00877A14">
      <w:pPr>
        <w:pStyle w:val="NoSpacing"/>
        <w:tabs>
          <w:tab w:val="left" w:pos="6521"/>
        </w:tabs>
        <w:ind w:firstLine="547"/>
        <w:jc w:val="both"/>
        <w:rPr>
          <w:rStyle w:val="rvts3"/>
          <w:rFonts w:ascii="Times New Roman" w:eastAsiaTheme="majorEastAsia" w:hAnsi="Times New Roman" w:cs="Times New Roman"/>
          <w:b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7A14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500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.000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2.000.000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operater</w:t>
      </w:r>
      <w:r w:rsidR="00E474DC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77A14" w:rsidRPr="00C171F5" w:rsidRDefault="00C171F5" w:rsidP="00877A14">
      <w:pPr>
        <w:pStyle w:val="HTMLPreformatted"/>
        <w:numPr>
          <w:ilvl w:val="0"/>
          <w:numId w:val="31"/>
        </w:numPr>
        <w:tabs>
          <w:tab w:val="left" w:pos="900"/>
          <w:tab w:val="left" w:pos="6521"/>
        </w:tabs>
        <w:ind w:left="0" w:firstLine="540"/>
        <w:jc w:val="both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deponije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</w:t>
      </w:r>
      <w:r w:rsidR="00E474DC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5407B2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5407B2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5)</w:t>
      </w:r>
      <w:r w:rsidR="00312E5A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ove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uredbe</w:t>
      </w:r>
      <w:r w:rsidR="00877A14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77A14" w:rsidRPr="00C171F5" w:rsidRDefault="00C171F5" w:rsidP="00877A14">
      <w:pPr>
        <w:pStyle w:val="HTMLPreformatted"/>
        <w:numPr>
          <w:ilvl w:val="0"/>
          <w:numId w:val="31"/>
        </w:numPr>
        <w:tabs>
          <w:tab w:val="left" w:pos="900"/>
          <w:tab w:val="left" w:pos="6521"/>
        </w:tabs>
        <w:ind w:left="0" w:firstLine="54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ove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uredbe</w:t>
      </w:r>
      <w:r w:rsidR="00877A14" w:rsidRPr="00C171F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77A14" w:rsidRPr="00C171F5" w:rsidRDefault="00C171F5" w:rsidP="00877A14">
      <w:pPr>
        <w:pStyle w:val="tb-na16"/>
        <w:spacing w:before="0" w:beforeAutospacing="0" w:after="0" w:afterAutospacing="0"/>
        <w:ind w:firstLine="426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474DC" w:rsidRPr="00C171F5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E474DC" w:rsidRPr="00C171F5">
        <w:rPr>
          <w:noProof/>
          <w:lang w:val="sr-Latn-CS"/>
        </w:rPr>
        <w:t xml:space="preserve"> 150.000 </w:t>
      </w:r>
      <w:r>
        <w:rPr>
          <w:noProof/>
          <w:lang w:val="sr-Latn-CS"/>
        </w:rPr>
        <w:t>dinara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77A14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77A14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877A14" w:rsidRPr="00C171F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877A14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77A14" w:rsidRPr="00C171F5">
        <w:rPr>
          <w:noProof/>
          <w:lang w:val="sr-Latn-CS"/>
        </w:rPr>
        <w:t>.</w:t>
      </w:r>
    </w:p>
    <w:p w:rsidR="00877A14" w:rsidRPr="00C171F5" w:rsidRDefault="00C171F5" w:rsidP="00877A14">
      <w:pPr>
        <w:pStyle w:val="tb-na16"/>
        <w:spacing w:before="0" w:beforeAutospacing="0" w:after="0" w:afterAutospacing="0"/>
        <w:ind w:firstLine="426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474DC" w:rsidRPr="00C171F5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do</w:t>
      </w:r>
      <w:r w:rsidR="00E474DC" w:rsidRPr="00C171F5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dinara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E474DC" w:rsidRPr="00C171F5">
        <w:rPr>
          <w:noProof/>
          <w:lang w:val="sr-Latn-CS"/>
        </w:rPr>
        <w:t xml:space="preserve"> - </w:t>
      </w:r>
      <w:r>
        <w:rPr>
          <w:noProof/>
          <w:lang w:val="sr-Latn-CS"/>
        </w:rPr>
        <w:t>operater</w:t>
      </w:r>
      <w:r w:rsidR="00E474DC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31870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B31870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77A14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877A14" w:rsidRPr="00C171F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877A14" w:rsidRPr="00C171F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877A14" w:rsidRPr="00C171F5">
        <w:rPr>
          <w:noProof/>
          <w:lang w:val="sr-Latn-CS"/>
        </w:rPr>
        <w:t>.</w:t>
      </w:r>
    </w:p>
    <w:p w:rsidR="00877A14" w:rsidRPr="00C171F5" w:rsidRDefault="00877A14" w:rsidP="00877A14">
      <w:pPr>
        <w:rPr>
          <w:noProof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877A14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30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upravljaju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geoloških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skladištenja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mineralnih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usklade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B7260" w:rsidRPr="00C171F5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Style w:val="rvts3"/>
          <w:rFonts w:ascii="Times New Roman" w:eastAsiaTheme="majorEastAsia" w:hAnsi="Times New Roman" w:cs="Times New Roman"/>
          <w:noProof/>
          <w:sz w:val="24"/>
          <w:szCs w:val="24"/>
          <w:lang w:val="sr-Latn-CS"/>
        </w:rPr>
      </w:pPr>
    </w:p>
    <w:p w:rsidR="007B7260" w:rsidRPr="00C171F5" w:rsidRDefault="00C171F5" w:rsidP="007B7260">
      <w:pPr>
        <w:pStyle w:val="Heading2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877A14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31</w:t>
      </w:r>
      <w:r w:rsidR="007B7260" w:rsidRPr="00C171F5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</w:p>
    <w:p w:rsidR="007B7260" w:rsidRPr="00C171F5" w:rsidRDefault="00C171F5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413B9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980D03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7260" w:rsidRPr="00C171F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7260" w:rsidRPr="00C171F5" w:rsidRDefault="007B7260" w:rsidP="007B7260">
      <w:pPr>
        <w:pStyle w:val="NoSpacing"/>
        <w:tabs>
          <w:tab w:val="left" w:pos="6521"/>
        </w:tabs>
        <w:ind w:firstLine="54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40688" w:rsidRPr="00C171F5" w:rsidRDefault="00240688" w:rsidP="00240688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05 </w:t>
      </w:r>
      <w:r w:rsid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9D4B74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110-4867/2017</w:t>
      </w:r>
    </w:p>
    <w:p w:rsidR="00240688" w:rsidRPr="00C171F5" w:rsidRDefault="00C171F5" w:rsidP="00240688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D4B74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maja</w:t>
      </w:r>
      <w:r w:rsidR="009D4B74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40688" w:rsidRPr="00C171F5" w:rsidRDefault="00240688" w:rsidP="00240688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40688" w:rsidRPr="00C171F5" w:rsidRDefault="00C171F5" w:rsidP="00240688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240688" w:rsidRPr="00C171F5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240688" w:rsidRPr="00C171F5" w:rsidRDefault="00240688" w:rsidP="0024068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</w:pPr>
    </w:p>
    <w:p w:rsidR="00240688" w:rsidRPr="00C171F5" w:rsidRDefault="00240688" w:rsidP="00240688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</w:pPr>
    </w:p>
    <w:p w:rsidR="00240688" w:rsidRPr="00C171F5" w:rsidRDefault="00240688" w:rsidP="00240688">
      <w:pPr>
        <w:spacing w:after="0" w:line="276" w:lineRule="auto"/>
        <w:ind w:left="288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</w:pP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 xml:space="preserve"> </w:t>
      </w: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ab/>
      </w: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ab/>
        <w:t xml:space="preserve">                                    </w:t>
      </w:r>
      <w:r w:rsid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PREDSEDNIK</w:t>
      </w:r>
    </w:p>
    <w:p w:rsidR="00240688" w:rsidRPr="00C171F5" w:rsidRDefault="00240688" w:rsidP="00240688">
      <w:pPr>
        <w:spacing w:after="0" w:line="276" w:lineRule="auto"/>
        <w:ind w:left="288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</w:pPr>
    </w:p>
    <w:p w:rsidR="007B7260" w:rsidRPr="00C171F5" w:rsidRDefault="00240688" w:rsidP="00B31870">
      <w:pPr>
        <w:spacing w:after="0" w:line="276" w:lineRule="auto"/>
        <w:ind w:left="2880"/>
        <w:jc w:val="center"/>
        <w:rPr>
          <w:noProof/>
          <w:lang w:val="sr-Latn-CS"/>
        </w:rPr>
      </w:pP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 xml:space="preserve">                                                              </w:t>
      </w:r>
      <w:r w:rsid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Aleksandar</w:t>
      </w:r>
      <w:r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 xml:space="preserve"> </w:t>
      </w:r>
      <w:r w:rsid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Vučić</w:t>
      </w:r>
      <w:r w:rsidR="009D4B74"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,</w:t>
      </w:r>
      <w:r w:rsid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s</w:t>
      </w:r>
      <w:r w:rsidR="009D4B74"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.</w:t>
      </w:r>
      <w:r w:rsid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r</w:t>
      </w:r>
      <w:r w:rsidR="009D4B74" w:rsidRPr="00C171F5">
        <w:rPr>
          <w:rFonts w:ascii="Times New Roman" w:eastAsia="Calibri" w:hAnsi="Times New Roman" w:cs="Times New Roman"/>
          <w:noProof/>
          <w:sz w:val="24"/>
          <w:szCs w:val="24"/>
          <w:lang w:val="sr-Latn-CS" w:eastAsia="x-none"/>
        </w:rPr>
        <w:t>.</w:t>
      </w:r>
    </w:p>
    <w:p w:rsidR="00100F5D" w:rsidRPr="00C171F5" w:rsidRDefault="00100F5D">
      <w:pPr>
        <w:rPr>
          <w:noProof/>
          <w:lang w:val="sr-Latn-CS"/>
        </w:rPr>
      </w:pPr>
    </w:p>
    <w:sectPr w:rsidR="00100F5D" w:rsidRPr="00C171F5" w:rsidSect="00F41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B0" w:rsidRDefault="005C24B0" w:rsidP="00B10BF5">
      <w:pPr>
        <w:spacing w:after="0" w:line="240" w:lineRule="auto"/>
      </w:pPr>
      <w:r>
        <w:separator/>
      </w:r>
    </w:p>
  </w:endnote>
  <w:endnote w:type="continuationSeparator" w:id="0">
    <w:p w:rsidR="005C24B0" w:rsidRDefault="005C24B0" w:rsidP="00B1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F5" w:rsidRDefault="00C17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335804702"/>
      <w:docPartObj>
        <w:docPartGallery w:val="Page Numbers (Bottom of Page)"/>
        <w:docPartUnique/>
      </w:docPartObj>
    </w:sdtPr>
    <w:sdtEndPr/>
    <w:sdtContent>
      <w:p w:rsidR="00BA0832" w:rsidRPr="00C171F5" w:rsidRDefault="00BA0832">
        <w:pPr>
          <w:pStyle w:val="Footer"/>
          <w:jc w:val="right"/>
          <w:rPr>
            <w:noProof/>
            <w:lang w:val="sr-Latn-CS"/>
          </w:rPr>
        </w:pPr>
        <w:r w:rsidRPr="00C171F5">
          <w:rPr>
            <w:noProof/>
            <w:lang w:val="sr-Latn-CS"/>
          </w:rPr>
          <w:fldChar w:fldCharType="begin"/>
        </w:r>
        <w:r w:rsidRPr="00C171F5">
          <w:rPr>
            <w:noProof/>
            <w:lang w:val="sr-Latn-CS"/>
          </w:rPr>
          <w:instrText xml:space="preserve"> PAGE   \* MERGEFORMAT </w:instrText>
        </w:r>
        <w:r w:rsidRPr="00C171F5">
          <w:rPr>
            <w:noProof/>
            <w:lang w:val="sr-Latn-CS"/>
          </w:rPr>
          <w:fldChar w:fldCharType="separate"/>
        </w:r>
        <w:r w:rsidR="00C171F5">
          <w:rPr>
            <w:noProof/>
            <w:lang w:val="sr-Latn-CS"/>
          </w:rPr>
          <w:t>15</w:t>
        </w:r>
        <w:r w:rsidRPr="00C171F5">
          <w:rPr>
            <w:noProof/>
            <w:lang w:val="sr-Latn-CS"/>
          </w:rPr>
          <w:fldChar w:fldCharType="end"/>
        </w:r>
      </w:p>
    </w:sdtContent>
  </w:sdt>
  <w:p w:rsidR="00BA0832" w:rsidRPr="00C171F5" w:rsidRDefault="00BA0832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F5" w:rsidRDefault="00C17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B0" w:rsidRDefault="005C24B0" w:rsidP="00B10BF5">
      <w:pPr>
        <w:spacing w:after="0" w:line="240" w:lineRule="auto"/>
      </w:pPr>
      <w:r>
        <w:separator/>
      </w:r>
    </w:p>
  </w:footnote>
  <w:footnote w:type="continuationSeparator" w:id="0">
    <w:p w:rsidR="005C24B0" w:rsidRDefault="005C24B0" w:rsidP="00B1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F5" w:rsidRDefault="00C17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F5" w:rsidRDefault="00C17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F5" w:rsidRDefault="00C17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947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97543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02FBE"/>
    <w:multiLevelType w:val="hybridMultilevel"/>
    <w:tmpl w:val="D6D0A624"/>
    <w:lvl w:ilvl="0" w:tplc="02DAE1AC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6FDC"/>
    <w:multiLevelType w:val="hybridMultilevel"/>
    <w:tmpl w:val="D6D0A624"/>
    <w:lvl w:ilvl="0" w:tplc="02DAE1AC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7860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8B43BE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13EE6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81C59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5038E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D4DD0"/>
    <w:multiLevelType w:val="hybridMultilevel"/>
    <w:tmpl w:val="D6D0A624"/>
    <w:lvl w:ilvl="0" w:tplc="02DAE1AC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CC8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F45BE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371A7"/>
    <w:multiLevelType w:val="hybridMultilevel"/>
    <w:tmpl w:val="25C095E8"/>
    <w:lvl w:ilvl="0" w:tplc="D956487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2E2D16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E327F"/>
    <w:multiLevelType w:val="hybridMultilevel"/>
    <w:tmpl w:val="4F98070C"/>
    <w:lvl w:ilvl="0" w:tplc="9C028F9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87316"/>
    <w:multiLevelType w:val="hybridMultilevel"/>
    <w:tmpl w:val="867A7EC2"/>
    <w:lvl w:ilvl="0" w:tplc="516AE32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30FB9"/>
    <w:multiLevelType w:val="hybridMultilevel"/>
    <w:tmpl w:val="3C8EA64C"/>
    <w:lvl w:ilvl="0" w:tplc="23609F8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31F75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D63F7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D6590"/>
    <w:multiLevelType w:val="hybridMultilevel"/>
    <w:tmpl w:val="16CC1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2DAE1AC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34EE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F3A76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A4040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83894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1E43DC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848FA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16C8A"/>
    <w:multiLevelType w:val="hybridMultilevel"/>
    <w:tmpl w:val="A9CC85E2"/>
    <w:lvl w:ilvl="0" w:tplc="A6B2849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 w15:restartNumberingAfterBreak="0">
    <w:nsid w:val="4DE76EDA"/>
    <w:multiLevelType w:val="hybridMultilevel"/>
    <w:tmpl w:val="D6D0A624"/>
    <w:lvl w:ilvl="0" w:tplc="02DAE1AC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92412"/>
    <w:multiLevelType w:val="hybridMultilevel"/>
    <w:tmpl w:val="F9BAE232"/>
    <w:lvl w:ilvl="0" w:tplc="D956487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23C0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A46E1A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B07764"/>
    <w:multiLevelType w:val="hybridMultilevel"/>
    <w:tmpl w:val="63784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0"/>
  </w:num>
  <w:num w:numId="5">
    <w:abstractNumId w:val="16"/>
  </w:num>
  <w:num w:numId="6">
    <w:abstractNumId w:val="24"/>
  </w:num>
  <w:num w:numId="7">
    <w:abstractNumId w:val="14"/>
  </w:num>
  <w:num w:numId="8">
    <w:abstractNumId w:val="29"/>
  </w:num>
  <w:num w:numId="9">
    <w:abstractNumId w:val="15"/>
  </w:num>
  <w:num w:numId="10">
    <w:abstractNumId w:val="20"/>
  </w:num>
  <w:num w:numId="11">
    <w:abstractNumId w:val="18"/>
  </w:num>
  <w:num w:numId="12">
    <w:abstractNumId w:val="31"/>
  </w:num>
  <w:num w:numId="13">
    <w:abstractNumId w:val="7"/>
  </w:num>
  <w:num w:numId="14">
    <w:abstractNumId w:val="6"/>
  </w:num>
  <w:num w:numId="15">
    <w:abstractNumId w:val="5"/>
  </w:num>
  <w:num w:numId="16">
    <w:abstractNumId w:val="22"/>
  </w:num>
  <w:num w:numId="17">
    <w:abstractNumId w:val="25"/>
  </w:num>
  <w:num w:numId="18">
    <w:abstractNumId w:val="27"/>
  </w:num>
  <w:num w:numId="19">
    <w:abstractNumId w:val="2"/>
  </w:num>
  <w:num w:numId="20">
    <w:abstractNumId w:val="9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 w:numId="25">
    <w:abstractNumId w:val="23"/>
  </w:num>
  <w:num w:numId="26">
    <w:abstractNumId w:val="30"/>
  </w:num>
  <w:num w:numId="27">
    <w:abstractNumId w:val="1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AF"/>
    <w:rsid w:val="00000CA4"/>
    <w:rsid w:val="00003BFA"/>
    <w:rsid w:val="00060523"/>
    <w:rsid w:val="00072A6F"/>
    <w:rsid w:val="00081562"/>
    <w:rsid w:val="00083219"/>
    <w:rsid w:val="00086AB7"/>
    <w:rsid w:val="000A45AD"/>
    <w:rsid w:val="000C2BC2"/>
    <w:rsid w:val="000D5E5E"/>
    <w:rsid w:val="000E3C64"/>
    <w:rsid w:val="00100F5D"/>
    <w:rsid w:val="001040FC"/>
    <w:rsid w:val="00113778"/>
    <w:rsid w:val="00115DD3"/>
    <w:rsid w:val="00154B9D"/>
    <w:rsid w:val="00160F5B"/>
    <w:rsid w:val="00164E0C"/>
    <w:rsid w:val="001A3837"/>
    <w:rsid w:val="001C43F5"/>
    <w:rsid w:val="0020490C"/>
    <w:rsid w:val="002110A7"/>
    <w:rsid w:val="00232955"/>
    <w:rsid w:val="002347FA"/>
    <w:rsid w:val="00240688"/>
    <w:rsid w:val="00267691"/>
    <w:rsid w:val="0029414D"/>
    <w:rsid w:val="002B497E"/>
    <w:rsid w:val="002B4F44"/>
    <w:rsid w:val="002E72DB"/>
    <w:rsid w:val="002F28AC"/>
    <w:rsid w:val="003111C3"/>
    <w:rsid w:val="00312E5A"/>
    <w:rsid w:val="00314A61"/>
    <w:rsid w:val="00330DC8"/>
    <w:rsid w:val="00334B16"/>
    <w:rsid w:val="00376227"/>
    <w:rsid w:val="003E62B0"/>
    <w:rsid w:val="0041144D"/>
    <w:rsid w:val="00435B3E"/>
    <w:rsid w:val="004418AF"/>
    <w:rsid w:val="00482FC5"/>
    <w:rsid w:val="00484C03"/>
    <w:rsid w:val="004A0B38"/>
    <w:rsid w:val="004E239D"/>
    <w:rsid w:val="004E7857"/>
    <w:rsid w:val="004F6CED"/>
    <w:rsid w:val="00500ECD"/>
    <w:rsid w:val="00501F7D"/>
    <w:rsid w:val="00530E4B"/>
    <w:rsid w:val="00531B58"/>
    <w:rsid w:val="005407B2"/>
    <w:rsid w:val="005413B9"/>
    <w:rsid w:val="00573073"/>
    <w:rsid w:val="005B6179"/>
    <w:rsid w:val="005C24B0"/>
    <w:rsid w:val="005C51F9"/>
    <w:rsid w:val="005F0241"/>
    <w:rsid w:val="005F2C17"/>
    <w:rsid w:val="005F4C23"/>
    <w:rsid w:val="00634855"/>
    <w:rsid w:val="006D632B"/>
    <w:rsid w:val="006F6A9D"/>
    <w:rsid w:val="00724E1F"/>
    <w:rsid w:val="00782630"/>
    <w:rsid w:val="007B4931"/>
    <w:rsid w:val="007B7260"/>
    <w:rsid w:val="007F1F52"/>
    <w:rsid w:val="007F3B2C"/>
    <w:rsid w:val="00800B76"/>
    <w:rsid w:val="00806B04"/>
    <w:rsid w:val="008353BC"/>
    <w:rsid w:val="00847CDE"/>
    <w:rsid w:val="008528ED"/>
    <w:rsid w:val="00865121"/>
    <w:rsid w:val="00867FF2"/>
    <w:rsid w:val="00877A14"/>
    <w:rsid w:val="00897DCE"/>
    <w:rsid w:val="008C387E"/>
    <w:rsid w:val="008D2441"/>
    <w:rsid w:val="008D4F55"/>
    <w:rsid w:val="009001C3"/>
    <w:rsid w:val="0095546B"/>
    <w:rsid w:val="00965E2C"/>
    <w:rsid w:val="00967F2A"/>
    <w:rsid w:val="00980D03"/>
    <w:rsid w:val="0098416D"/>
    <w:rsid w:val="009A234A"/>
    <w:rsid w:val="009D4B74"/>
    <w:rsid w:val="009D5487"/>
    <w:rsid w:val="009E6098"/>
    <w:rsid w:val="00A22CBC"/>
    <w:rsid w:val="00A2573E"/>
    <w:rsid w:val="00A2738F"/>
    <w:rsid w:val="00A345E4"/>
    <w:rsid w:val="00A36149"/>
    <w:rsid w:val="00A42BED"/>
    <w:rsid w:val="00A51918"/>
    <w:rsid w:val="00A6423A"/>
    <w:rsid w:val="00A86CF3"/>
    <w:rsid w:val="00AB1D97"/>
    <w:rsid w:val="00AE6A30"/>
    <w:rsid w:val="00AE6B9C"/>
    <w:rsid w:val="00AF5EBA"/>
    <w:rsid w:val="00B00C59"/>
    <w:rsid w:val="00B10BF5"/>
    <w:rsid w:val="00B26BBC"/>
    <w:rsid w:val="00B31870"/>
    <w:rsid w:val="00B3533E"/>
    <w:rsid w:val="00B66D9D"/>
    <w:rsid w:val="00B85456"/>
    <w:rsid w:val="00B86144"/>
    <w:rsid w:val="00B950A3"/>
    <w:rsid w:val="00BA0832"/>
    <w:rsid w:val="00BB60C6"/>
    <w:rsid w:val="00BC0B17"/>
    <w:rsid w:val="00BC143C"/>
    <w:rsid w:val="00BD70D9"/>
    <w:rsid w:val="00C14E05"/>
    <w:rsid w:val="00C156B9"/>
    <w:rsid w:val="00C171F5"/>
    <w:rsid w:val="00C46215"/>
    <w:rsid w:val="00C53A49"/>
    <w:rsid w:val="00C550FC"/>
    <w:rsid w:val="00C57BC4"/>
    <w:rsid w:val="00C60BF5"/>
    <w:rsid w:val="00CA5028"/>
    <w:rsid w:val="00CC7822"/>
    <w:rsid w:val="00CD246A"/>
    <w:rsid w:val="00D034D9"/>
    <w:rsid w:val="00D54906"/>
    <w:rsid w:val="00D668E1"/>
    <w:rsid w:val="00DA0DFA"/>
    <w:rsid w:val="00DA2F45"/>
    <w:rsid w:val="00DD408E"/>
    <w:rsid w:val="00DE0A2C"/>
    <w:rsid w:val="00DE6D6A"/>
    <w:rsid w:val="00E06B06"/>
    <w:rsid w:val="00E33C34"/>
    <w:rsid w:val="00E43F9A"/>
    <w:rsid w:val="00E474DC"/>
    <w:rsid w:val="00E51A45"/>
    <w:rsid w:val="00EA0AED"/>
    <w:rsid w:val="00ED19DB"/>
    <w:rsid w:val="00ED3638"/>
    <w:rsid w:val="00F1559C"/>
    <w:rsid w:val="00F403B2"/>
    <w:rsid w:val="00F41075"/>
    <w:rsid w:val="00F52F21"/>
    <w:rsid w:val="00F60A37"/>
    <w:rsid w:val="00F659FF"/>
    <w:rsid w:val="00F80A53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31675-DDED-488D-A171-0434FE3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72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B7260"/>
    <w:pPr>
      <w:ind w:left="720"/>
      <w:contextualSpacing/>
    </w:pPr>
  </w:style>
  <w:style w:type="character" w:customStyle="1" w:styleId="rvts3">
    <w:name w:val="rvts3"/>
    <w:rsid w:val="007B7260"/>
    <w:rPr>
      <w:b w:val="0"/>
      <w:bCs w:val="0"/>
      <w:color w:val="000000"/>
      <w:sz w:val="20"/>
      <w:szCs w:val="20"/>
    </w:rPr>
  </w:style>
  <w:style w:type="paragraph" w:styleId="NoSpacing">
    <w:name w:val="No Spacing"/>
    <w:uiPriority w:val="1"/>
    <w:qFormat/>
    <w:rsid w:val="007B7260"/>
    <w:pPr>
      <w:spacing w:after="0" w:line="240" w:lineRule="auto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72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7260"/>
    <w:rPr>
      <w:rFonts w:ascii="Consolas" w:hAnsi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6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60"/>
    <w:rPr>
      <w:rFonts w:ascii="Segoe UI" w:hAnsi="Segoe UI" w:cs="Segoe UI"/>
      <w:sz w:val="18"/>
      <w:szCs w:val="18"/>
      <w:lang w:val="en-US"/>
    </w:rPr>
  </w:style>
  <w:style w:type="paragraph" w:customStyle="1" w:styleId="tb-na16">
    <w:name w:val="tb-na16"/>
    <w:basedOn w:val="Normal"/>
    <w:rsid w:val="0087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1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3094-3B43-425E-8CDD-710DFA6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Zoric</dc:creator>
  <cp:lastModifiedBy>Bojan Grgic</cp:lastModifiedBy>
  <cp:revision>2</cp:revision>
  <cp:lastPrinted>2017-04-20T12:39:00Z</cp:lastPrinted>
  <dcterms:created xsi:type="dcterms:W3CDTF">2017-05-29T14:44:00Z</dcterms:created>
  <dcterms:modified xsi:type="dcterms:W3CDTF">2017-05-29T14:44:00Z</dcterms:modified>
</cp:coreProperties>
</file>