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3" w:rsidRPr="008E290F" w:rsidRDefault="008E290F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D616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89/15)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D616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72/12, 7/14 -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9037B3" w:rsidRPr="008E290F" w:rsidRDefault="009037B3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96991" w:rsidRPr="008E290F" w:rsidRDefault="008E290F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6D213C" w:rsidRPr="008E290F" w:rsidRDefault="006D213C" w:rsidP="005F4FC2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9037B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</w:p>
    <w:p w:rsidR="00AD084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</w:p>
    <w:p w:rsidR="00776AB2" w:rsidRPr="008E290F" w:rsidRDefault="00776AB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color w:val="7030A0"/>
          <w:sz w:val="24"/>
          <w:szCs w:val="24"/>
          <w:lang w:val="sr-Latn-CS"/>
        </w:rPr>
      </w:pPr>
    </w:p>
    <w:p w:rsidR="00AD0842" w:rsidRPr="008E290F" w:rsidRDefault="00776AB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5F4FC2" w:rsidRPr="008E290F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224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uređivanja</w:t>
      </w:r>
    </w:p>
    <w:p w:rsidR="005F4FC2" w:rsidRPr="008E290F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224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830D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C830D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4277F" w:rsidRPr="008E290F" w:rsidRDefault="008E290F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D719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BD719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D719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oslobađanje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114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jačanja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5F4FC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9037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C426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4FC2" w:rsidRPr="008E290F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224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Pojmovi</w:t>
      </w:r>
    </w:p>
    <w:p w:rsidR="005F4FC2" w:rsidRPr="008E290F" w:rsidRDefault="005F4FC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6224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92D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66224" w:rsidRPr="008E290F" w:rsidRDefault="008E290F" w:rsidP="005F4FC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483D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42E9C" w:rsidRPr="008E290F" w:rsidRDefault="00111491" w:rsidP="001D42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materijalna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nematerijalna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2E4D1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69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B56AD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započinjanja</w:t>
      </w:r>
      <w:r w:rsidR="00B56AD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="00192D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D42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procese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društvom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prestalo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prestalo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1D42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kupljeno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akcija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427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direktnom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investicijom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A42E9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E0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74277F" w:rsidP="001D428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čijom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realizacijom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direktna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opisan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biznis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podsticajnih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0596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0596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0233A1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detaljan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opis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direktne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874A2C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BC0D93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investicionog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083C1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74A2C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74A2C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74A2C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74A2C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9E0F16" w:rsidRPr="008E290F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92D86" w:rsidRPr="008E290F" w:rsidRDefault="000233A1" w:rsidP="001D42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domaći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192D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F07A8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F07A8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192D86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9E0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66224" w:rsidRPr="008E290F" w:rsidRDefault="000233A1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94B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B57D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FE42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indirektno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1A25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5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A617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srednji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E4E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bilans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propisom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E0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materijalna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803C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zemljište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zgrade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pogone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mašine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33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233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233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5F9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priznaju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B5F9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083C1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B5F9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B5F9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greenfield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B5F9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brownfield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3B5F9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F4171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F1F14" w:rsidRPr="008E290F" w:rsidRDefault="00483D16" w:rsidP="001F07A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nematerijalna</w:t>
      </w:r>
      <w:r w:rsidR="003B5F9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patente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F94B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F94B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F94B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priznaju</w:t>
      </w:r>
      <w:r w:rsidR="00F94B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obračunava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amortizacija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bilansima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kupljena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ED0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E66224" w:rsidRPr="008E290F" w:rsidRDefault="006964FF" w:rsidP="00F94BC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domaćih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državljana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punim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poređenju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ukupnim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926C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domaćih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državljana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E662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F1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9E0F16" w:rsidRPr="008E290F">
        <w:rPr>
          <w:rFonts w:ascii="Times New Roman" w:hAnsi="Times New Roman" w:cs="Times New Roman"/>
          <w:noProof/>
          <w:color w:val="00B050"/>
          <w:sz w:val="24"/>
          <w:szCs w:val="24"/>
          <w:lang w:val="sr-Latn-CS"/>
        </w:rPr>
        <w:t>;</w:t>
      </w:r>
      <w:r w:rsidR="005F1F14" w:rsidRPr="008E290F">
        <w:rPr>
          <w:rFonts w:ascii="Times New Roman" w:hAnsi="Times New Roman" w:cs="Times New Roman"/>
          <w:noProof/>
          <w:color w:val="00B050"/>
          <w:sz w:val="24"/>
          <w:szCs w:val="24"/>
          <w:lang w:val="sr-Latn-CS"/>
        </w:rPr>
        <w:t xml:space="preserve">  </w:t>
      </w:r>
    </w:p>
    <w:p w:rsidR="00225B64" w:rsidRPr="008E290F" w:rsidRDefault="006964FF" w:rsidP="00471BE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jedinstveni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BC0D9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njim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indirektno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prethodnog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podsticajna</w:t>
      </w:r>
      <w:r w:rsidR="00E739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D462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6A2C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8809D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susedne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25B64" w:rsidRPr="008E290F" w:rsidRDefault="006964FF" w:rsidP="00E4293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razvrstavanje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jedinstvena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937AC3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1C62D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62D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1C62D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A2AEF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937AC3" w:rsidRPr="008E290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A169EB" w:rsidRPr="008E290F" w:rsidRDefault="00B62171" w:rsidP="00E4293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E4293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E4293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4293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E4293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4293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A169E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69E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69E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69E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A169E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A3678E" w:rsidRPr="008E290F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62171" w:rsidRPr="008E290F" w:rsidRDefault="006964FF" w:rsidP="00E4293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dostignutu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dostignuti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koga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4293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zaposlenom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225B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ugovorenu</w:t>
      </w:r>
      <w:r w:rsidR="00B621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A3678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169EB" w:rsidRPr="008E290F" w:rsidRDefault="00A169EB" w:rsidP="000A18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utvrđenu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minimalne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uvećanje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učinak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nagrada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bonusi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karakter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topli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obrok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regres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ugovorena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120%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0A189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minimalne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1B7101" w:rsidRPr="008E290F" w:rsidRDefault="001B7101" w:rsidP="000A18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starija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veliki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1F765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F765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D0842" w:rsidRPr="008E290F" w:rsidRDefault="006964FF" w:rsidP="00D95BA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1B710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A2AE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002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komunikacionih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prevashodno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van</w:t>
      </w:r>
      <w:r w:rsidR="00D95B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računarskih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objedinjeno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ustupljeno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administrativnih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procesa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korporacija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skladištenje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obrada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="00144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44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projektni</w:t>
      </w:r>
      <w:r w:rsidR="00C63A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centri</w:t>
      </w:r>
      <w:r w:rsidR="005178B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5178BF" w:rsidRPr="008E290F" w:rsidRDefault="005178BF" w:rsidP="005178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</w:p>
    <w:p w:rsidR="001A2AEF" w:rsidRPr="008E290F" w:rsidRDefault="001A2AE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AD0842" w:rsidRPr="008E290F" w:rsidRDefault="008E290F" w:rsidP="001A2A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D0842" w:rsidRPr="008E290F" w:rsidRDefault="0005125E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materijalna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nematerijalna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počev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AD0842" w:rsidRPr="008E290F" w:rsidRDefault="00AD0842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dvogodišnjem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dostizanja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pune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AD0842" w:rsidRPr="008E290F" w:rsidRDefault="008E290F" w:rsidP="00B01B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E42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D0842" w:rsidRPr="008E290F" w:rsidRDefault="008E290F" w:rsidP="003E42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lizinga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EA1B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kupljen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A1B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EA1B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nematerijalna</w:t>
      </w:r>
      <w:r w:rsidR="0038715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EA1B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putničkih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troškovima</w:t>
      </w:r>
      <w:r w:rsidR="0038715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38715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stiče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56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BA568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Ograničenje</w:t>
      </w:r>
      <w:r w:rsidR="00C53E8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53E8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53E8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53E8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E4553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9E2C5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kupovine</w:t>
      </w:r>
      <w:r w:rsidR="009E2C5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9E2C5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8D6E4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D616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A0F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8D6E4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  <w:r w:rsidR="006B74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</w:p>
    <w:p w:rsidR="00C63AA0" w:rsidRPr="008E290F" w:rsidRDefault="00C63AA0" w:rsidP="005F4FC2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</w:p>
    <w:p w:rsidR="006B745A" w:rsidRPr="008E290F" w:rsidRDefault="006B745A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7D1063" w:rsidRPr="008E290F" w:rsidRDefault="008E290F" w:rsidP="006B74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44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FB197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44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6B74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87311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6B74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244A6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softvera</w:t>
      </w:r>
      <w:r w:rsidR="00244A6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ugostiteljstva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igara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sintetičkih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vlakana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čelika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duvana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duvanskih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prerađevina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oružja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municije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brodogradnje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pomorskih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trgovačkih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aerodroma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širokopojasne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mreže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144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teškoćama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F37B0" w:rsidRPr="008E290F" w:rsidRDefault="008E290F" w:rsidP="006B745A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nepokretnosti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infrastrukturno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sanaciju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eventualnih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ekoloških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nanetih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predmetno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322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6802" w:rsidRPr="008E290F" w:rsidRDefault="00426802" w:rsidP="006B745A">
      <w:pPr>
        <w:pStyle w:val="Normal2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426802" w:rsidRPr="008E290F" w:rsidRDefault="0042680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317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4875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4268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učestvovanje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D616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D0A9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268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543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543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7543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543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543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41F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D624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D1063" w:rsidRPr="008E290F" w:rsidRDefault="008E290F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C05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delotvoran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efekat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D1063" w:rsidRPr="008E290F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veličine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56112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7D1063" w:rsidRPr="008E290F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56112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7D1063" w:rsidRPr="008E290F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brzine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56112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5F37B0" w:rsidRPr="008E290F" w:rsidRDefault="007D1063" w:rsidP="005611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ostvaren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3A1D" w:rsidRPr="008E290F" w:rsidRDefault="00043A1D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Izuzimanje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911D89" w:rsidRPr="008E290F" w:rsidRDefault="00911D89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317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4875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911D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izuzimaju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investitori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C05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teškoćama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D7E4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CD7E4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dospele</w:t>
      </w:r>
      <w:r w:rsidR="003322E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322E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neizmirene</w:t>
      </w:r>
      <w:r w:rsidR="003322E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322E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C0553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smanjen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nedozvoljene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raskinut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6A2C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C5DE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43A1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043A1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CD7E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35BB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2.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C81D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3A1D" w:rsidRPr="008E290F" w:rsidRDefault="00043A1D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1911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</w:p>
    <w:p w:rsidR="00191150" w:rsidRPr="008E290F" w:rsidRDefault="00191150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D1063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317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336BA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D1063" w:rsidRPr="008E290F" w:rsidRDefault="008E290F" w:rsidP="0019115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1911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registrovan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upisano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Centralnu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privremenih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podsticajna</w:t>
      </w:r>
      <w:r w:rsidR="005F3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1076C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reorganizacija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likvidacija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likvidacija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B423E2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osuđivano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izmirio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B42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42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B42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42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4867A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67A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4867A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43A1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smanjio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5341F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B423E2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teškoćama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D2C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8D2C8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7D106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7D1063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pribavio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B42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5F37B0" w:rsidRPr="008E290F" w:rsidRDefault="007D1063" w:rsidP="00B423E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A46B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nedozvoljene</w:t>
      </w:r>
      <w:r w:rsidR="00A46B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A46B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A46B7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46B77" w:rsidRPr="008E290F" w:rsidRDefault="00A46B77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6D63D9" w:rsidRPr="008E290F" w:rsidRDefault="006D63D9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3171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A28B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Maksimalan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F909A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Maksimalan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F909A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kumulacija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Maksimalan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71B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167F5" w:rsidRPr="008E290F" w:rsidRDefault="00C167F5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2818B1" w:rsidRPr="008E290F" w:rsidRDefault="002818B1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17%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6D63D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direktnu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investiciju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jedinstvenim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maksimalan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dozvoljeni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povezanim</w:t>
      </w:r>
      <w:r w:rsidR="001642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subjektom</w:t>
      </w:r>
      <w:r w:rsidR="00F909A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1642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D63D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AD0842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AD084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DOZVOLJENOST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27F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5F5279" w:rsidRPr="008E290F" w:rsidRDefault="005F5279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</w:p>
    <w:p w:rsidR="001B553E" w:rsidRPr="008E290F" w:rsidRDefault="001B553E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084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</w:t>
      </w:r>
      <w:r w:rsidR="00C51F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D0842" w:rsidRPr="008E290F" w:rsidRDefault="008E290F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21362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B17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devastirana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D0842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0842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0842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D0842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44A69" w:rsidRPr="008E290F" w:rsidRDefault="00B21362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minimalna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D0842" w:rsidRPr="008E290F" w:rsidRDefault="00244A69" w:rsidP="005F52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ribarstva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minimalna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.000.000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145E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819B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076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5F52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43A1D" w:rsidRPr="008E290F" w:rsidRDefault="00043A1D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5D370A" w:rsidRPr="008E290F" w:rsidRDefault="005D370A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5D37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818B1" w:rsidRPr="008E290F" w:rsidRDefault="002818B1" w:rsidP="005D37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direktna</w:t>
      </w:r>
      <w:r w:rsidR="00A27EE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B770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4042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04042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2818B1" w:rsidRPr="008E290F" w:rsidRDefault="002818B1" w:rsidP="005D37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dostignuti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4042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04042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5A424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5D370A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noProof/>
          <w:color w:val="7030A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dostizanja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0777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ugovorenu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zaradu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51F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51F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51F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A50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B553E" w:rsidRPr="008E290F" w:rsidRDefault="001B553E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D330B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D330B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</w:p>
    <w:p w:rsidR="005D370A" w:rsidRPr="008E290F" w:rsidRDefault="005D370A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18B1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D084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CA4C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2136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zaključenja</w:t>
      </w:r>
      <w:r w:rsidR="00AE67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E67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E67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F0796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AE67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produžiti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CA4C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računajući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043A1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43A1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A4C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CA4C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dovele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objektivne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svrsishodno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najefikasniji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postižu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A4C7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podsticajnih</w:t>
      </w:r>
      <w:r w:rsidR="004458F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E593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18B1" w:rsidRPr="008E290F" w:rsidRDefault="008E290F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produžava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srazmerno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2818B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35797" w:rsidRPr="008E290F" w:rsidRDefault="00C35797" w:rsidP="00AE67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96991" w:rsidRPr="008E290F" w:rsidRDefault="008E290F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bookmarkStart w:id="1" w:name="str_16"/>
      <w:bookmarkEnd w:id="1"/>
      <w:r>
        <w:rPr>
          <w:rFonts w:ascii="Times New Roman" w:hAnsi="Times New Roman" w:cs="Times New Roman"/>
          <w:b w:val="0"/>
          <w:i w:val="0"/>
          <w:noProof/>
          <w:lang w:val="sr-Latn-CS"/>
        </w:rPr>
        <w:t>Kriterijumi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analizu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kvaliteta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investicionih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projekata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</w:p>
    <w:p w:rsidR="00C35797" w:rsidRPr="008E290F" w:rsidRDefault="00C35797" w:rsidP="005F4FC2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bookmarkStart w:id="2" w:name="clan_13"/>
      <w:bookmarkEnd w:id="2"/>
    </w:p>
    <w:p w:rsidR="00D96991" w:rsidRPr="008E290F" w:rsidRDefault="008E290F" w:rsidP="005F4FC2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b w:val="0"/>
          <w:noProof/>
          <w:lang w:val="sr-Latn-CS"/>
        </w:rPr>
        <w:t>12.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</w:p>
    <w:p w:rsidR="00D96991" w:rsidRPr="008E290F" w:rsidRDefault="008E290F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Kriterijumi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96991" w:rsidRPr="008E290F" w:rsidRDefault="009E31EA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reference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prepoznatljivost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reference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klijenata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uspešnost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kvalifikacije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odgovaraju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službe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procenat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visokokvalifikovanih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51F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greenfield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brownfield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građevinske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tehnološki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Evrostata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saradnja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dobavljačima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planirani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udeo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domaćih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efekti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prosečna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D96991" w:rsidRPr="008E290F" w:rsidRDefault="00D96991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planirani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D96991" w:rsidRPr="008E290F" w:rsidRDefault="00CD5F5C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finansijsko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ocena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likvidnost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profitabilnost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održivost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9E31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9E31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9E31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1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E31E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.);.</w:t>
      </w:r>
    </w:p>
    <w:p w:rsidR="00D96991" w:rsidRPr="008E290F" w:rsidRDefault="008E290F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51A7" w:rsidRPr="008E290F" w:rsidRDefault="00AA51A7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A51A7" w:rsidRPr="008E290F" w:rsidRDefault="00AA51A7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A51A7" w:rsidRPr="008E290F" w:rsidRDefault="00AA51A7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A51A7" w:rsidRPr="008E290F" w:rsidRDefault="00AA51A7" w:rsidP="00C35797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5464" w:rsidRPr="008E290F" w:rsidRDefault="00595464" w:rsidP="005F4FC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96991" w:rsidRPr="008E290F" w:rsidRDefault="00D96991" w:rsidP="005F4FC2">
      <w:pPr>
        <w:pStyle w:val="wyq060---pododeljak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3" w:name="str_17"/>
      <w:bookmarkEnd w:id="3"/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IV</w:t>
      </w:r>
      <w:r w:rsidR="00AA51A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330B5" w:rsidRPr="008E290F" w:rsidRDefault="00D330B5" w:rsidP="005F4FC2">
      <w:pPr>
        <w:pStyle w:val="wyq060---pododeljak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E6CBB" w:rsidRPr="008E290F" w:rsidRDefault="008E290F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bookmarkStart w:id="4" w:name="str_18"/>
      <w:bookmarkEnd w:id="4"/>
      <w:r>
        <w:rPr>
          <w:rFonts w:ascii="Times New Roman" w:hAnsi="Times New Roman" w:cs="Times New Roman"/>
          <w:b w:val="0"/>
          <w:i w:val="0"/>
          <w:noProof/>
          <w:lang w:val="sr-Latn-CS"/>
        </w:rPr>
        <w:t>Podsticaji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opravdane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troškove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bruto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zarada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nova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radna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mesta</w:t>
      </w:r>
    </w:p>
    <w:p w:rsidR="00D96991" w:rsidRPr="008E290F" w:rsidRDefault="008E290F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lang w:val="sr-Latn-CS"/>
        </w:rPr>
        <w:t>povezana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sa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investicionim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projektom</w:t>
      </w:r>
    </w:p>
    <w:p w:rsidR="00BE6CBB" w:rsidRPr="008E290F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</w:p>
    <w:p w:rsidR="00D96991" w:rsidRPr="008E290F" w:rsidRDefault="008E290F" w:rsidP="005F4FC2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bookmarkStart w:id="5" w:name="clan_14"/>
      <w:bookmarkEnd w:id="5"/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b w:val="0"/>
          <w:noProof/>
          <w:lang w:val="sr-Latn-CS"/>
        </w:rPr>
        <w:t>13.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odobravaju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novootvorenom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odobravaju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novootvorenom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novootvorenom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odobravaju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novootvorenom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devastirano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odobravaju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dinarskoj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protivvrednosti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novootvorenom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apsolutnom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pređe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gornju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BE6CB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E6CBB" w:rsidRPr="008E290F" w:rsidRDefault="00BE6CBB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96991" w:rsidRPr="008E290F" w:rsidRDefault="008E290F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bookmarkStart w:id="6" w:name="str_19"/>
      <w:bookmarkEnd w:id="6"/>
      <w:r>
        <w:rPr>
          <w:rFonts w:ascii="Times New Roman" w:hAnsi="Times New Roman" w:cs="Times New Roman"/>
          <w:b w:val="0"/>
          <w:i w:val="0"/>
          <w:noProof/>
          <w:lang w:val="sr-Latn-CS"/>
        </w:rPr>
        <w:t>Podsticaji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opravdane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troškove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ulaganja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u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osnovna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sredstva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</w:p>
    <w:p w:rsidR="00BE6CBB" w:rsidRPr="008E290F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</w:p>
    <w:p w:rsidR="00D96991" w:rsidRPr="008E290F" w:rsidRDefault="008E290F" w:rsidP="005F4FC2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bookmarkStart w:id="7" w:name="clan_15"/>
      <w:bookmarkEnd w:id="7"/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b w:val="0"/>
          <w:noProof/>
          <w:lang w:val="sr-Latn-CS"/>
        </w:rPr>
        <w:t>14.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424C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424C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2424C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2424C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2424C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razvrstavanja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devastirano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apsolutnom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pređe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gornju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E6CBB" w:rsidRPr="008E290F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bookmarkStart w:id="8" w:name="str_20"/>
      <w:bookmarkEnd w:id="8"/>
    </w:p>
    <w:p w:rsidR="00D96991" w:rsidRPr="008E290F" w:rsidRDefault="008E290F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lang w:val="sr-Latn-CS"/>
        </w:rPr>
        <w:t>Dodatni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podsticaji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radno</w:t>
      </w:r>
      <w:r w:rsidR="00D96991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intenzivne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investicione</w:t>
      </w:r>
      <w:r w:rsidR="00BE6CB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projekte</w:t>
      </w:r>
    </w:p>
    <w:p w:rsidR="00BE6CBB" w:rsidRPr="008E290F" w:rsidRDefault="00BE6CBB" w:rsidP="005F4FC2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</w:p>
    <w:p w:rsidR="00D96991" w:rsidRPr="008E290F" w:rsidRDefault="008E290F" w:rsidP="005F4FC2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bookmarkStart w:id="9" w:name="clan_16"/>
      <w:bookmarkEnd w:id="9"/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b w:val="0"/>
          <w:noProof/>
          <w:lang w:val="sr-Latn-CS"/>
        </w:rPr>
        <w:t>15</w:t>
      </w:r>
      <w:r w:rsidR="00BC2D35" w:rsidRPr="008E290F">
        <w:rPr>
          <w:rFonts w:ascii="Times New Roman" w:hAnsi="Times New Roman" w:cs="Times New Roman"/>
          <w:b w:val="0"/>
          <w:noProof/>
          <w:lang w:val="sr-Latn-CS"/>
        </w:rPr>
        <w:t>.</w:t>
      </w:r>
      <w:r w:rsidR="00D96991" w:rsidRPr="008E290F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Radno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intenzivni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intenzivni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intenzivni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96991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intenzivni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153D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BE6CBB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apsolutnom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pređe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gornju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9699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50150" w:rsidRPr="008E290F" w:rsidRDefault="00050150" w:rsidP="005F4FC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915FC8" w:rsidP="005F4F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9847E6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</w:p>
    <w:p w:rsidR="003D25B6" w:rsidRPr="008E290F" w:rsidRDefault="003D25B6" w:rsidP="005F4F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B7131E" w:rsidRPr="008E290F" w:rsidRDefault="008E290F" w:rsidP="005F4F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Pojam</w:t>
      </w:r>
      <w:r w:rsidR="00B7131E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ulaganja</w:t>
      </w:r>
      <w:r w:rsidR="00B7131E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B7131E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posebnog</w:t>
      </w:r>
      <w:r w:rsidR="00B7131E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značaja</w:t>
      </w:r>
      <w:r w:rsidR="008E48B0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8E48B0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Republiku</w:t>
      </w:r>
      <w:r w:rsidR="008E48B0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Srbiju</w:t>
      </w:r>
    </w:p>
    <w:p w:rsidR="00B7131E" w:rsidRPr="008E290F" w:rsidRDefault="00B7131E" w:rsidP="005F4F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8E290F" w:rsidP="005F4FC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915FC8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CD5F5C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16</w:t>
      </w:r>
      <w:r w:rsidR="000B2369" w:rsidRPr="008E290F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15FC8" w:rsidRPr="008E290F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dalji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unapređenju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podstiče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ravnomeran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teritorijalnu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koncentraciju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razvrstava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razvrstava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devastirano</w:t>
      </w:r>
      <w:r w:rsidR="0059546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5FC8" w:rsidRPr="008E290F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podstiče</w:t>
      </w:r>
      <w:r w:rsidR="00F8218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F8218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prioriteta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prioritet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donose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7E0B2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samouprave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F4C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zajednički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razvojni</w:t>
      </w:r>
      <w:r w:rsidR="009E3B6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prioritet</w:t>
      </w:r>
      <w:r w:rsidR="00AC04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C04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AC04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pribavljeno</w:t>
      </w:r>
      <w:r w:rsidR="00AC04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AC04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5FC8" w:rsidRPr="008E290F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usvojenih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bilateralnih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5FC8" w:rsidRPr="008E290F" w:rsidRDefault="00915FC8" w:rsidP="00B713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7131E" w:rsidRPr="008E290F" w:rsidRDefault="00B7131E" w:rsidP="00B713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08DE" w:rsidRPr="008E290F" w:rsidRDefault="008E290F" w:rsidP="004108DE">
      <w:pPr>
        <w:pStyle w:val="wyq100---naslov-grupe-clanova-kurziv"/>
        <w:spacing w:before="0" w:after="0"/>
        <w:rPr>
          <w:rFonts w:ascii="Times New Roman" w:hAnsi="Times New Roman" w:cs="Times New Roman"/>
          <w:b w:val="0"/>
          <w:i w:val="0"/>
          <w:noProof/>
          <w:lang w:val="sr-Latn-CS"/>
        </w:rPr>
      </w:pPr>
      <w:r>
        <w:rPr>
          <w:rFonts w:ascii="Times New Roman" w:hAnsi="Times New Roman" w:cs="Times New Roman"/>
          <w:b w:val="0"/>
          <w:i w:val="0"/>
          <w:noProof/>
          <w:lang w:val="sr-Latn-CS"/>
        </w:rPr>
        <w:t>Kriterijumi</w:t>
      </w:r>
      <w:r w:rsidR="002424C6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za</w:t>
      </w:r>
      <w:r w:rsidR="002424C6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analizu</w:t>
      </w:r>
      <w:r w:rsidR="002424C6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</w:t>
      </w:r>
      <w:r w:rsidR="002424C6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iznos</w:t>
      </w:r>
      <w:r w:rsidR="0047291B" w:rsidRPr="008E290F">
        <w:rPr>
          <w:rFonts w:ascii="Times New Roman" w:hAnsi="Times New Roman" w:cs="Times New Roman"/>
          <w:b w:val="0"/>
          <w:i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 w:val="0"/>
          <w:noProof/>
          <w:lang w:val="sr-Latn-CS"/>
        </w:rPr>
        <w:t>sredstava</w:t>
      </w:r>
    </w:p>
    <w:p w:rsidR="004108DE" w:rsidRPr="008E290F" w:rsidRDefault="004108DE" w:rsidP="00B713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0B236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4108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1217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1217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BC2D3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46F8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46F8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046F8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059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4108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108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108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kombinacijom</w:t>
      </w:r>
      <w:r w:rsidR="004108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opravdanih</w:t>
      </w:r>
      <w:r w:rsidR="004108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izračunati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108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najpovoljniji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proizilazi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AE50D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729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premašiti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gornju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330B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50150" w:rsidRPr="008E290F" w:rsidRDefault="00050150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915FC8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684F14" w:rsidRPr="008E290F" w:rsidRDefault="00684F14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</w:p>
    <w:p w:rsidR="00684F14" w:rsidRPr="008E290F" w:rsidRDefault="00684F14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15FC8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18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684F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684F1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684F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5FC8" w:rsidRPr="008E290F" w:rsidRDefault="008E290F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15FC8" w:rsidRPr="008E290F" w:rsidRDefault="008E290F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9341A" w:rsidRPr="008E290F" w:rsidRDefault="0099341A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15FC8" w:rsidRPr="008E290F" w:rsidRDefault="00915FC8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0501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5015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431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15FC8" w:rsidRPr="008E290F" w:rsidRDefault="00915FC8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15FC8" w:rsidRPr="008E290F" w:rsidRDefault="00915FC8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15FC8" w:rsidRPr="008E290F" w:rsidRDefault="00915FC8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učestvovanjem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kontakt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915FC8" w:rsidRPr="008E290F" w:rsidRDefault="00915FC8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2176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2369" w:rsidRPr="008E290F" w:rsidRDefault="008E290F" w:rsidP="00BB2B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15FC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BB2B9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9341A" w:rsidRPr="008E290F" w:rsidRDefault="0099341A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B39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Pismo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namerama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mogućem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</w:p>
    <w:p w:rsidR="00893508" w:rsidRPr="008E290F" w:rsidRDefault="00893508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CD5F5C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61B39" w:rsidRPr="008E290F" w:rsidRDefault="008E290F" w:rsidP="0089350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Pismo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61B3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namerama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8935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89350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563C" w:rsidRPr="008E290F" w:rsidRDefault="008E290F" w:rsidP="0089350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Pismo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namerama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FD54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planiranoj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FD54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FD54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troškovima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bruto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dvogodišnjem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dostizanja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pune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D5F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563C" w:rsidRPr="008E290F" w:rsidRDefault="008E290F" w:rsidP="00E5607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namerama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563C" w:rsidRPr="008E290F" w:rsidRDefault="008E290F" w:rsidP="00F716E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namerama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mogućem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ostavljajući</w:t>
      </w:r>
      <w:r w:rsidR="00F716E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859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59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izjasni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4CAB" w:rsidRPr="008E290F" w:rsidRDefault="008E290F" w:rsidP="009A1F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investicionom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DB407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 3</w:t>
      </w:r>
      <w:r w:rsidR="00DB407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DB407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544E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A1F1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postojanju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F7CDB" w:rsidRPr="008E290F" w:rsidRDefault="008E290F" w:rsidP="00954D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mogućem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neobavezujuće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954D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5F7C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565F6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="00565F6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565F6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565F6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565F6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E1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0E1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0E17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2D373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E2FC4" w:rsidRPr="008E290F" w:rsidRDefault="009E2FC4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54D30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8529C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529C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8529C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</w:p>
    <w:p w:rsidR="00954D30" w:rsidRPr="008E290F" w:rsidRDefault="00954D30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563C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EC563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F4515" w:rsidRPr="008E290F" w:rsidRDefault="008E290F" w:rsidP="00072F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izjašnjenja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7625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59738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7465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="00072F5A" w:rsidRPr="008E290F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A386C" w:rsidRPr="008E290F" w:rsidRDefault="008E290F" w:rsidP="00072F5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E66FC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predložiti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64CA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72F5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77F0" w:rsidRPr="008E290F" w:rsidRDefault="008E290F" w:rsidP="001D77F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pozivom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77F0" w:rsidRPr="008E290F" w:rsidRDefault="008E290F" w:rsidP="00C9707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mogućeg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D77F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77F0" w:rsidRPr="008E290F" w:rsidRDefault="001D77F0" w:rsidP="00C970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07D" w:rsidRPr="008E290F" w:rsidRDefault="008E290F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C9707D" w:rsidRPr="008E290F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07D" w:rsidRPr="008E290F" w:rsidRDefault="008E290F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</w:t>
      </w:r>
    </w:p>
    <w:p w:rsidR="002854AC" w:rsidRPr="008E290F" w:rsidRDefault="008E290F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2854AC" w:rsidRPr="008E290F" w:rsidRDefault="008E290F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33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854AC" w:rsidRPr="008E290F" w:rsidRDefault="002854AC" w:rsidP="004933C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="0045017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5017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5017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45017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konkuriše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pozivu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854AC" w:rsidRPr="008E290F" w:rsidRDefault="002854AC" w:rsidP="0045017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nalazom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nalaza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fotokopiju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prevod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nalaz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pribavlja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original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fotokopija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strani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stariji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overeni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prevod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izvoda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reorganizacija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likvidacija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stečaj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likvidacija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pisanu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opravdane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izmirenju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poslovali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potpisanu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poslovao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identifikacioni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dodeljen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osuđivano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nedozvoljene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službene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odgovornih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krivični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2854AC" w:rsidRPr="008E290F" w:rsidRDefault="002854AC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osuđivan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54AC" w:rsidRPr="008E290F" w:rsidRDefault="008E290F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tražiti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celishodnim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54AC" w:rsidRPr="008E290F" w:rsidRDefault="008E290F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overena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prevedena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jezik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prevodioca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854AC" w:rsidRPr="008E290F" w:rsidRDefault="008E290F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54AC" w:rsidRPr="008E290F" w:rsidRDefault="008E290F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3D194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854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707D" w:rsidRPr="008E290F" w:rsidRDefault="00C9707D" w:rsidP="003D194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07D" w:rsidRPr="008E290F" w:rsidRDefault="008E290F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formalnih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C9707D" w:rsidRPr="008E290F" w:rsidRDefault="00C9707D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9707D" w:rsidRPr="008E290F" w:rsidRDefault="008E290F" w:rsidP="00C970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707D" w:rsidRPr="008E290F" w:rsidRDefault="008E290F" w:rsidP="00706A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formalnih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707D" w:rsidRPr="008E290F" w:rsidRDefault="008E290F" w:rsidP="00706A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9707D" w:rsidRPr="008E290F" w:rsidRDefault="008E290F" w:rsidP="00706A3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60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21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nepotpunu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9707D" w:rsidRPr="008E290F" w:rsidRDefault="008E290F" w:rsidP="0099294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9294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odbacuje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nedopuštenu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9707D" w:rsidRPr="008E290F" w:rsidRDefault="008E290F" w:rsidP="0058792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5879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 2,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9707D" w:rsidRPr="008E290F" w:rsidRDefault="008E290F" w:rsidP="00DF51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prigovora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9707D" w:rsidRPr="008E290F" w:rsidRDefault="008E290F" w:rsidP="00DF51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dopuštene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DF512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213C" w:rsidRPr="008E290F" w:rsidRDefault="006D213C" w:rsidP="00DF51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5BA6" w:rsidRPr="008E290F" w:rsidRDefault="008E290F" w:rsidP="00935BA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Odlučivanje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</w:p>
    <w:p w:rsidR="00935BA6" w:rsidRPr="008E290F" w:rsidRDefault="00935BA6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A386C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7A386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819CE" w:rsidRPr="008E290F" w:rsidRDefault="008E290F" w:rsidP="00DD1C8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izjašnjenje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19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A13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stručnom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analizom</w:t>
      </w:r>
      <w:r w:rsidR="00F303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nacrtom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545E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1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819C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A26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7944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DB407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819C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819C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819C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819C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B14B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14B7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B2369" w:rsidRPr="008E290F" w:rsidRDefault="000B2369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5BA6" w:rsidRPr="008E290F" w:rsidRDefault="008E290F" w:rsidP="00935BA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</w:p>
    <w:p w:rsidR="00935BA6" w:rsidRPr="008E290F" w:rsidRDefault="00935BA6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53007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70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706A3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45300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860DE" w:rsidRPr="008E290F" w:rsidRDefault="008E290F" w:rsidP="007921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EE577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C563C" w:rsidRPr="008E290F" w:rsidRDefault="008E290F" w:rsidP="007921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35BA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678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678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99251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E678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dozvoljenosti</w:t>
      </w:r>
      <w:r w:rsidR="00E678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dodele</w:t>
      </w:r>
      <w:r w:rsidR="00E678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B3049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6860D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12C0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50094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50094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0094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</w:p>
    <w:p w:rsidR="001B1D5E" w:rsidRPr="008E290F" w:rsidRDefault="001B1D5E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6714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630EA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C066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sazivanje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sednice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sednicama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sednica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odlukama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0731" w:rsidRPr="008E290F" w:rsidRDefault="008E290F" w:rsidP="00630EA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D07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6D07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C066C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6D07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630EA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D073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68F0" w:rsidRPr="008E290F" w:rsidRDefault="00AC68F0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334E4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predlozima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</w:p>
    <w:p w:rsidR="005334E4" w:rsidRPr="008E290F" w:rsidRDefault="005334E4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1593E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159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86714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6159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34E4" w:rsidRPr="008E290F" w:rsidRDefault="008E290F" w:rsidP="005334E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investicionom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bitnim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investitoru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34E4" w:rsidRPr="008E290F" w:rsidRDefault="008E290F" w:rsidP="005334E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predlozima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najefikasniji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postižu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podrazumevaju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0F743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0F743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0F743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srazmerno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priznavanju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BF351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5334E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53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32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53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33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0F743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odluci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F743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E57BB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priznavanja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</w:t>
      </w:r>
      <w:r w:rsidR="00AF2D8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76350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6350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76350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6350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umanjenje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neisplaćenih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ugovorom</w:t>
      </w:r>
      <w:r w:rsidR="00A05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5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A05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1289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013D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5013D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13D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5013D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066F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066F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B206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odlukama</w:t>
      </w:r>
      <w:r w:rsidR="00DB206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3066F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postižu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obrazloženom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113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="003113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poravnanju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D2752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E00F4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00F4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18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18A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4F47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F47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F47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036B" w:rsidRPr="008E290F" w:rsidRDefault="008E290F" w:rsidP="0096036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momentu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međusobnom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regulisanju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poravnanju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96036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3A092A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3A092A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</w:t>
      </w:r>
      <w:r w:rsidR="000B236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5E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59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1593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195E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195E12" w:rsidRPr="008E290F" w:rsidRDefault="00195E1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95E12" w:rsidRPr="008E290F" w:rsidRDefault="008E290F" w:rsidP="00195E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195E1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</w:p>
    <w:p w:rsidR="00195E12" w:rsidRPr="008E290F" w:rsidRDefault="00195E12" w:rsidP="00195E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6714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27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5C81" w:rsidRPr="008E290F" w:rsidRDefault="008E290F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05C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9A71B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dvogodišnjem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dostizanja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ugovorene</w:t>
      </w:r>
      <w:r w:rsidR="00EB373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višoj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69351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projektovane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3113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</w:t>
      </w:r>
      <w:r w:rsidR="003113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dobavljača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osnovnoj</w:t>
      </w:r>
      <w:r w:rsidR="009D680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13746" w:rsidRPr="008E290F" w:rsidRDefault="008E290F" w:rsidP="0043505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raskidu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sednice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F40CE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prvoj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narednoj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sednici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D454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5058" w:rsidRPr="008E290F" w:rsidRDefault="00435058" w:rsidP="0043505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435058" w:rsidRPr="008E290F" w:rsidRDefault="00435058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6714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28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A558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podnetog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024D8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A558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Dodeljena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ratama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raspoloživim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budžetskim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procentualnom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A558A" w:rsidRPr="008E290F" w:rsidRDefault="00DA558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proporcionalan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izvršenog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definisana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A092A" w:rsidRPr="008E290F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proporcionalan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procentu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novozaposlenih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novozaposlenih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A092A" w:rsidRPr="008E290F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profesionalne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eventualni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A092A" w:rsidRPr="008E290F" w:rsidRDefault="003A092A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bankarska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056BE5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blanko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solo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meničnim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EC31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D213C" w:rsidRPr="008E290F" w:rsidRDefault="008E290F" w:rsidP="006D213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urednost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754B8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EC31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D213C" w:rsidRPr="008E290F" w:rsidRDefault="006D213C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</w:p>
    <w:p w:rsidR="00157F2F" w:rsidRPr="008E290F" w:rsidRDefault="00157F2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A092A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6714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bezuslovnu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plativu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737860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Isplaćena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bankarskom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garancijom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blanko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solo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meničnim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ovlašćenjem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blanko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solo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A092A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neispunjenja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delimičnog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bankarskih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blanko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solo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menica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A092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A092A" w:rsidRPr="008E290F" w:rsidRDefault="003A092A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602" w:rsidRPr="008E290F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0" w:name="str_32"/>
      <w:bookmarkEnd w:id="10"/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VII</w:t>
      </w:r>
      <w:r w:rsidR="007207E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</w:p>
    <w:p w:rsidR="00737860" w:rsidRPr="008E290F" w:rsidRDefault="00737860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11" w:name="str_33"/>
      <w:bookmarkEnd w:id="11"/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Izveštaji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podnosi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korisnik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sredstava</w:t>
      </w:r>
    </w:p>
    <w:p w:rsidR="00473241" w:rsidRPr="008E290F" w:rsidRDefault="00473241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12" w:name="clan_26"/>
      <w:bookmarkEnd w:id="12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30</w:t>
      </w:r>
      <w:r w:rsidR="00B678C4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743CC" w:rsidRPr="008E290F" w:rsidRDefault="008743CC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743CC" w:rsidRPr="008E290F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646602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786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46602" w:rsidRPr="008E290F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519C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Centralnog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30171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46602" w:rsidRPr="008E290F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46602" w:rsidRPr="008E290F" w:rsidRDefault="00646602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procenitelja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sadašnjoj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unete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upotrebljavane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E4266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743CC" w:rsidRPr="008E290F" w:rsidRDefault="008E290F" w:rsidP="004E73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nezavisnom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56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struktura</w:t>
      </w:r>
      <w:r w:rsidR="006756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F11D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11D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F11D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F11D0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56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održanja</w:t>
      </w:r>
      <w:r w:rsidR="00675627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DD297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E154B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473241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45C30" w:rsidRPr="008E290F" w:rsidRDefault="00A45C30" w:rsidP="00A45C3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pozitivnim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negativnim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mišljenjem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rezervom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uzdržavanja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izražavanja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zaključku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obrazloži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sastoje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navede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razloge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uzdržao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24CFB" w:rsidRPr="008E290F" w:rsidRDefault="00473241" w:rsidP="005F4F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punim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radnim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vremenom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licencirana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DC40D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54B0" w:rsidRPr="008E290F" w:rsidRDefault="00E154B0" w:rsidP="00E154B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nezavisnog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proizilazi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izvršio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8E290F">
        <w:rPr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garantovanog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zaposlenosti</w:t>
      </w:r>
      <w:r w:rsidR="00182DD8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negativno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rezervom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uzdržavanje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izražavanja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pisano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otklanjanja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E2DA9" w:rsidRPr="008E290F" w:rsidRDefault="008E290F" w:rsidP="00AF2D8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otkloni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4CFB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povraćaj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dodeljenih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isplaćenih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uvećan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E154B0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zatezne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kamate</w:t>
      </w:r>
      <w:r w:rsidR="00763509" w:rsidRPr="008E290F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odluci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zaključi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korisnikom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E2DA9" w:rsidRPr="008E290F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E2DA9" w:rsidRPr="008E290F" w:rsidRDefault="00BE2DA9" w:rsidP="00AF2D8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46602" w:rsidRPr="008E290F" w:rsidRDefault="008E290F" w:rsidP="004E7326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13" w:name="str_34"/>
      <w:bookmarkEnd w:id="13"/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lastRenderedPageBreak/>
        <w:t>Kontrola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praćenje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izvršenja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ugovornih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obaveza</w:t>
      </w:r>
    </w:p>
    <w:p w:rsidR="0046704A" w:rsidRPr="008E290F" w:rsidRDefault="0046704A" w:rsidP="004E7326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4E732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14" w:name="clan_27"/>
      <w:bookmarkEnd w:id="14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31</w:t>
      </w:r>
      <w:r w:rsidR="00B678C4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1677A" w:rsidRPr="008E290F" w:rsidRDefault="008E290F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novozaposlenih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8E290F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garantovanog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61677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spisku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1677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283A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angažuje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7C7F4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645D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45D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645D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645D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dinamiku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pribavljenom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predlogu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3B531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rezime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reviziji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DA5A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5A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="00DA5A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otvaranja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dinamici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blokada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tekućim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računima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problemima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investitor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susreće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46602" w:rsidRPr="008E290F" w:rsidRDefault="00646602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bilateralno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ugroženi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postupanjem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3B531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6550E" w:rsidRPr="008E290F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5" w:name="str_35"/>
      <w:bookmarkEnd w:id="15"/>
    </w:p>
    <w:p w:rsidR="00AA04A3" w:rsidRPr="008E290F" w:rsidRDefault="007207EB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IX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AA04A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</w:p>
    <w:p w:rsidR="00AA04A3" w:rsidRPr="008E290F" w:rsidRDefault="00AA04A3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16" w:name="str_36"/>
      <w:bookmarkEnd w:id="16"/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Uslovi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ostvarivanje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povlastice</w:t>
      </w:r>
    </w:p>
    <w:p w:rsidR="00AA04A3" w:rsidRPr="008E290F" w:rsidRDefault="00AA04A3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17" w:name="clan_28"/>
      <w:bookmarkEnd w:id="17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32</w:t>
      </w:r>
      <w:r w:rsidR="00820DCB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C53F5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D44A0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regionalne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53E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de minimis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="002228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8E290F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A5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nenovčanog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ukupna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62F3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F0EFD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="002228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A53E2" w:rsidRPr="008E290F" w:rsidRDefault="00646602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oslobođenja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8A5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A5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gornju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granicu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53E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de minimis</w:t>
      </w:r>
      <w:r w:rsidR="004B357A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23.000.000,00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dodela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C53F5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C53F5B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4E049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osnivačkog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povećanju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6E8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akcionarska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2228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2228C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646602" w:rsidRPr="008E290F" w:rsidRDefault="00646602" w:rsidP="004E049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osnivačkog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povećanju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ostala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6550E" w:rsidRPr="008E290F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18" w:name="str_37"/>
      <w:bookmarkEnd w:id="18"/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Postupak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ostvarivanje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povlastice</w:t>
      </w:r>
    </w:p>
    <w:p w:rsidR="00B50189" w:rsidRPr="008E290F" w:rsidRDefault="00B50189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19" w:name="clan_29"/>
      <w:bookmarkEnd w:id="19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33</w:t>
      </w:r>
      <w:r w:rsidR="00820DCB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dodatu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D961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povlastice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46602" w:rsidRPr="008E290F" w:rsidRDefault="00646602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izvod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registrovanim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upisanom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upisanog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nenovčanog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uloga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kapitalu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datumu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registracije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zabeležbe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2)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garantni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8A53E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starija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7DE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29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povlastice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53E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de minimis</w:t>
      </w:r>
      <w:r w:rsidR="00840BD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047F7E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ostvarenom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A53E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de minimis</w:t>
      </w:r>
      <w:r w:rsidR="00840BD2" w:rsidRPr="008E290F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tekućoj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fiskalnoj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uzastopne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646602" w:rsidRPr="008E290F" w:rsidRDefault="00646602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uvozi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služi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povlastice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oslobađanju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B5018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B5018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6550E" w:rsidRPr="008E290F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20" w:name="str_38"/>
      <w:bookmarkEnd w:id="20"/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Zabrana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otuđenja</w:t>
      </w:r>
    </w:p>
    <w:p w:rsidR="002958A1" w:rsidRPr="008E290F" w:rsidRDefault="002958A1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21" w:name="clan_30"/>
      <w:bookmarkEnd w:id="21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34</w:t>
      </w:r>
      <w:r w:rsidR="00820DCB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2958A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C7A4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34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18/10, 111/12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29/15).</w:t>
      </w:r>
    </w:p>
    <w:p w:rsidR="00646602" w:rsidRPr="008E290F" w:rsidRDefault="008E290F" w:rsidP="002958A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otuđi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2958A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6310F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34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stavljena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stavljena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izveze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dopuštena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plaćene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6550E" w:rsidRPr="008E290F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22" w:name="str_39"/>
      <w:bookmarkEnd w:id="22"/>
    </w:p>
    <w:p w:rsidR="00646602" w:rsidRPr="008E290F" w:rsidRDefault="00646602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X</w:t>
      </w:r>
      <w:r w:rsidR="00F70B9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PRELAZNE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ZAVRŠNE</w:t>
      </w:r>
      <w:r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F70B99" w:rsidRPr="008E290F" w:rsidRDefault="00F70B99" w:rsidP="005F4FC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23" w:name="str_40"/>
      <w:bookmarkEnd w:id="23"/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Prestanak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važenja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uredbe</w:t>
      </w:r>
    </w:p>
    <w:p w:rsidR="00F70B99" w:rsidRPr="008E290F" w:rsidRDefault="00F70B99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24" w:name="clan_31"/>
      <w:bookmarkEnd w:id="24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35</w:t>
      </w:r>
      <w:r w:rsidR="001A50BC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F70B9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0B9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F70B9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70B9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6602" w:rsidRPr="008E290F" w:rsidRDefault="008E290F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refundaciju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uloženih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28/15),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refundiranju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uloženih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rešavaće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direktnih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A4B6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A4B6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A4B6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4B68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65/14).</w:t>
      </w:r>
    </w:p>
    <w:p w:rsidR="009D3F94" w:rsidRPr="008E290F" w:rsidRDefault="008E290F" w:rsidP="002256B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A53E9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upotrebi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rezerve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401-12547/2016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godine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420.000.000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256B9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preneće</w:t>
      </w:r>
      <w:r w:rsidR="00A53E9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3E9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9D3F94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3E9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realizovati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utroška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6D16AE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6602" w:rsidRPr="008E290F" w:rsidRDefault="008E290F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privlačenja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A50BC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32EF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32EF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32EF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32EF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27/16).</w:t>
      </w:r>
    </w:p>
    <w:p w:rsidR="0076550E" w:rsidRPr="008E290F" w:rsidRDefault="0076550E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bookmarkStart w:id="25" w:name="str_41"/>
      <w:bookmarkEnd w:id="25"/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Stupanje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snagu</w:t>
      </w:r>
    </w:p>
    <w:p w:rsidR="00F70B99" w:rsidRPr="008E290F" w:rsidRDefault="00F70B99" w:rsidP="005F4FC2">
      <w:pPr>
        <w:spacing w:after="0" w:line="240" w:lineRule="auto"/>
        <w:jc w:val="center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</w:p>
    <w:p w:rsidR="00646602" w:rsidRPr="008E290F" w:rsidRDefault="008E290F" w:rsidP="005F4FC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bookmarkStart w:id="26" w:name="clan_32"/>
      <w:bookmarkEnd w:id="26"/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86714A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36</w:t>
      </w:r>
      <w:r w:rsidR="001A50BC" w:rsidRPr="008E290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46602" w:rsidRPr="008E290F" w:rsidRDefault="008E290F" w:rsidP="00F70B9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4660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40BD2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E7326" w:rsidRPr="008E290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B357A" w:rsidRPr="008E290F" w:rsidRDefault="004B357A" w:rsidP="001A652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A6522" w:rsidRPr="008E290F" w:rsidRDefault="001A6522" w:rsidP="001A652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E6C7E" w:rsidRPr="008E290F">
        <w:rPr>
          <w:rFonts w:ascii="Times New Roman" w:hAnsi="Times New Roman"/>
          <w:noProof/>
          <w:sz w:val="24"/>
          <w:szCs w:val="24"/>
          <w:lang w:val="sr-Latn-CS"/>
        </w:rPr>
        <w:t>110-12645/2016-3</w:t>
      </w:r>
    </w:p>
    <w:p w:rsidR="001A6522" w:rsidRPr="008E290F" w:rsidRDefault="008E290F" w:rsidP="001A652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40BD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840BD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66CFE" w:rsidRPr="008E290F">
        <w:rPr>
          <w:rFonts w:ascii="Times New Roman" w:hAnsi="Times New Roman"/>
          <w:noProof/>
          <w:sz w:val="24"/>
          <w:szCs w:val="24"/>
          <w:lang w:val="sr-Latn-CS"/>
        </w:rPr>
        <w:t>2016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</w:p>
    <w:p w:rsidR="001A6522" w:rsidRPr="008E290F" w:rsidRDefault="001A6522" w:rsidP="001A65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B357A" w:rsidRPr="008E290F" w:rsidRDefault="004B357A" w:rsidP="001A65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6522" w:rsidRPr="008E290F" w:rsidRDefault="008E290F" w:rsidP="001A65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A6522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4B357A" w:rsidRPr="008E290F" w:rsidRDefault="004B357A" w:rsidP="001A652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6522" w:rsidRPr="008E290F" w:rsidRDefault="001A6522" w:rsidP="001A6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1A6522" w:rsidRPr="008E290F" w:rsidRDefault="001A6522" w:rsidP="001A6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6522" w:rsidRPr="008E290F" w:rsidRDefault="001A6522" w:rsidP="001A6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6522" w:rsidRPr="008E290F" w:rsidRDefault="001A6522" w:rsidP="001A6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                                                      </w:t>
      </w:r>
      <w:r w:rsidR="002D2A1A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Vučić</w:t>
      </w:r>
    </w:p>
    <w:p w:rsidR="006D16AE" w:rsidRPr="008E290F" w:rsidRDefault="006D16AE" w:rsidP="001A65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40BD2" w:rsidRPr="008E290F" w:rsidRDefault="00840BD2" w:rsidP="00A905B9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val="sr-Latn-CS"/>
        </w:rPr>
        <w:sectPr w:rsidR="00840BD2" w:rsidRPr="008E290F" w:rsidSect="00840B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27" w:name="str_42"/>
      <w:bookmarkEnd w:id="27"/>
    </w:p>
    <w:p w:rsidR="00840BD2" w:rsidRPr="008E290F" w:rsidRDefault="00840BD2" w:rsidP="00A905B9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8E290F" w:rsidP="00A905B9">
      <w:pPr>
        <w:shd w:val="clear" w:color="auto" w:fill="FFFFFF"/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8E290F" w:rsidP="00A90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POSTUPAK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A905B9" w:rsidP="00A90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6A0F10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IZVRŠENOM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ULAGANJU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PREDVIĐENOG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BIZNIS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PLANU</w:t>
      </w:r>
    </w:p>
    <w:p w:rsidR="00A905B9" w:rsidRPr="008E290F" w:rsidRDefault="006A0F10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.1.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tačke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priloga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A905B9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sačinjava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izvršenom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predviđenog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biznis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daljem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tekstu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).</w:t>
      </w:r>
    </w:p>
    <w:p w:rsidR="00A905B9" w:rsidRPr="008E290F" w:rsidRDefault="006A0F10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.2.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ulaganju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visina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struktura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="001947A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uvodni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deo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osnovni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podaci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Ugovoru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aneksu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/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aneksima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040CFB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postoje</w:t>
      </w:r>
      <w:r w:rsidR="007E2B7D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naziv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matični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poreski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identifikacioni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dinamiku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investicionog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projekta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Prijavu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dodelu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podsticaja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revizorski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izveštaj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procenitelja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korišćeni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dostavljenu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eventualno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dostavljenu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visine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tačkom</w:t>
      </w:r>
      <w:r w:rsidR="006A0F10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priloga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podatke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dostavljena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</w:t>
      </w:r>
      <w:r w:rsidRPr="008E290F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nezavisnog</w:t>
      </w:r>
      <w:r w:rsidR="00DD1ABE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="00DD1ABE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revizora</w:t>
      </w:r>
      <w:r w:rsidR="00DD1ABE"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8E290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takve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4)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nalaz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analize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visine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tačkom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priloga</w:t>
      </w:r>
      <w:r w:rsidR="00DD1ABE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A905B9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DD1ABE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</w:p>
    <w:p w:rsidR="00A905B9" w:rsidRPr="008E290F" w:rsidRDefault="008E290F" w:rsidP="00A905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visine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ulaganja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investicionim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projektom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zavisnosti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investiranja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sledeće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dokazivanje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imovinu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stečenu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direktnom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investicijom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koristi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isključivo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odgovornog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imovinu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stečenu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direktnom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investicijom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koristi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isključivo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imovina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evidentirana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dokazivanje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trajanja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materijalna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zemljište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sticanje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kupoprodaji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plaćanju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porez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prenos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apsolutnih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izvod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katastra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zemljišnih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sticanje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sticanje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–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Pr="008E290F">
        <w:rPr>
          <w:noProof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zemljišta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zgrade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proizvodne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pogone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-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greenfield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građevinska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konkretnu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vrstu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građevinskih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objekte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izdata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građevinska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>3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upisan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nepokretnosti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vlasništvo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4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zapisnik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prijemu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izvršenih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zapisnik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komisije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tehnički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5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-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brownfield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obuhvataju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rekonstrukciju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postojećih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kupoprodaji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vlasnički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objekta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E035B3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podrazumevaju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rekonstrukciju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adaptaciju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postojećih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rekonstrukciju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adaptaciju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2) 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izdatoj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rekonstrukciju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adaptaciju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4)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rekonstrukciji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adaptaciji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5)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uredno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overene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privremene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situacije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okončana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situacija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dokazima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plaćanju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6)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prijemu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izvršenih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zapisnik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komisije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tehnički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radova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7)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Postrojenja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mašine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-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Nova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fakture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dobavljača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carinska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uvezenoj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postao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-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Upotrebljavana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fakture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dobavljača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carinska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dokumentacija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uvezenoj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plaćanju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dobavljaču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unosi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sopstveno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–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vlasništvu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unosu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sz w:val="24"/>
          <w:szCs w:val="24"/>
          <w:lang w:val="sr-Latn-CS"/>
        </w:rPr>
        <w:t>sadašnje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vrednosti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unetih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procenitelja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sudskog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veštaka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4)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postao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vlasnik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C43AC4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5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evidenciji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nematerijalna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pravni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sticanje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2)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fakture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dobavljača</w:t>
      </w: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3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dokaz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nematerijalno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evidentirano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knjigama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4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pregled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obračunate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amortizacije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nabavke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5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procenitelja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sudskog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veštaka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nematerijalno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nabavljeno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tržišnim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6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investitora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krivičnom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materijalnom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odgovornošću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nematerijalno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nabavljeno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njima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povezana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A905B9" w:rsidRPr="008E290F" w:rsidRDefault="00E035B3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7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izjava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odgovornog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nematerijalna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koristi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isključivo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8E290F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Usluge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mogu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biti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trgovine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:</w:t>
      </w:r>
    </w:p>
    <w:p w:rsidR="00A905B9" w:rsidRPr="008E290F" w:rsidRDefault="00C210FA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1)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kupoprodaji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vlasnički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list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upotrebna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dozvola</w:t>
      </w:r>
      <w:r w:rsidR="00C43AC4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C43AC4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objekat</w:t>
      </w:r>
      <w:r w:rsidR="00C43AC4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</w:t>
      </w:r>
      <w:r w:rsidR="00C43AC4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C43AC4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zakupu</w:t>
      </w:r>
      <w:r w:rsidR="00A905B9" w:rsidRPr="008E290F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905B9" w:rsidRPr="008E290F" w:rsidRDefault="00A905B9" w:rsidP="00A905B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A905B9" w:rsidRPr="008E290F" w:rsidRDefault="00A905B9" w:rsidP="00A905B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CFE" w:rsidRPr="008E290F" w:rsidRDefault="00466CFE" w:rsidP="00466C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46ACE" w:rsidRPr="008E290F" w:rsidRDefault="00546ACE" w:rsidP="00546AC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 w:eastAsia="sr-Cyrl-CS"/>
        </w:rPr>
      </w:pPr>
    </w:p>
    <w:sectPr w:rsidR="00546ACE" w:rsidRPr="008E290F" w:rsidSect="00840BD2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1" w:rsidRDefault="007D27C1" w:rsidP="00840BD2">
      <w:pPr>
        <w:spacing w:after="0" w:line="240" w:lineRule="auto"/>
      </w:pPr>
      <w:r>
        <w:separator/>
      </w:r>
    </w:p>
  </w:endnote>
  <w:endnote w:type="continuationSeparator" w:id="0">
    <w:p w:rsidR="007D27C1" w:rsidRDefault="007D27C1" w:rsidP="0084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0F" w:rsidRDefault="008E2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0F" w:rsidRDefault="008E2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0F" w:rsidRDefault="008E2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1" w:rsidRDefault="007D27C1" w:rsidP="00840BD2">
      <w:pPr>
        <w:spacing w:after="0" w:line="240" w:lineRule="auto"/>
      </w:pPr>
      <w:r>
        <w:separator/>
      </w:r>
    </w:p>
  </w:footnote>
  <w:footnote w:type="continuationSeparator" w:id="0">
    <w:p w:rsidR="007D27C1" w:rsidRDefault="007D27C1" w:rsidP="0084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0F" w:rsidRDefault="008E2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848699336"/>
      <w:docPartObj>
        <w:docPartGallery w:val="Page Numbers (Top of Page)"/>
        <w:docPartUnique/>
      </w:docPartObj>
    </w:sdtPr>
    <w:sdtEndPr/>
    <w:sdtContent>
      <w:p w:rsidR="00840BD2" w:rsidRPr="008E290F" w:rsidRDefault="00840BD2">
        <w:pPr>
          <w:pStyle w:val="Header"/>
          <w:jc w:val="center"/>
          <w:rPr>
            <w:noProof/>
            <w:lang w:val="sr-Latn-CS"/>
          </w:rPr>
        </w:pPr>
        <w:r w:rsidRPr="008E290F">
          <w:rPr>
            <w:noProof/>
            <w:lang w:val="sr-Latn-CS"/>
          </w:rPr>
          <w:fldChar w:fldCharType="begin"/>
        </w:r>
        <w:r w:rsidRPr="008E290F">
          <w:rPr>
            <w:noProof/>
            <w:lang w:val="sr-Latn-CS"/>
          </w:rPr>
          <w:instrText xml:space="preserve"> PAGE   \* MERGEFORMAT </w:instrText>
        </w:r>
        <w:r w:rsidRPr="008E290F">
          <w:rPr>
            <w:noProof/>
            <w:lang w:val="sr-Latn-CS"/>
          </w:rPr>
          <w:fldChar w:fldCharType="separate"/>
        </w:r>
        <w:r w:rsidR="008E290F">
          <w:rPr>
            <w:noProof/>
            <w:lang w:val="sr-Latn-CS"/>
          </w:rPr>
          <w:t>21</w:t>
        </w:r>
        <w:r w:rsidRPr="008E290F">
          <w:rPr>
            <w:noProof/>
            <w:lang w:val="sr-Latn-CS"/>
          </w:rPr>
          <w:fldChar w:fldCharType="end"/>
        </w:r>
      </w:p>
    </w:sdtContent>
  </w:sdt>
  <w:p w:rsidR="00840BD2" w:rsidRPr="008E290F" w:rsidRDefault="00840BD2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0F" w:rsidRDefault="008E2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256"/>
    <w:multiLevelType w:val="hybridMultilevel"/>
    <w:tmpl w:val="83827BC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151"/>
    <w:multiLevelType w:val="hybridMultilevel"/>
    <w:tmpl w:val="7A768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9280F"/>
    <w:multiLevelType w:val="hybridMultilevel"/>
    <w:tmpl w:val="116A60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040A"/>
    <w:multiLevelType w:val="hybridMultilevel"/>
    <w:tmpl w:val="E8161F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3137"/>
    <w:multiLevelType w:val="hybridMultilevel"/>
    <w:tmpl w:val="29B8C1F0"/>
    <w:lvl w:ilvl="0" w:tplc="D31EDBE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7686"/>
    <w:multiLevelType w:val="hybridMultilevel"/>
    <w:tmpl w:val="5510B18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92D84"/>
    <w:multiLevelType w:val="hybridMultilevel"/>
    <w:tmpl w:val="EDB005AE"/>
    <w:lvl w:ilvl="0" w:tplc="2E280E10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7664D"/>
    <w:multiLevelType w:val="hybridMultilevel"/>
    <w:tmpl w:val="5270E1A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4"/>
    <w:rsid w:val="000018AC"/>
    <w:rsid w:val="00013372"/>
    <w:rsid w:val="000233A1"/>
    <w:rsid w:val="00024D81"/>
    <w:rsid w:val="0003171A"/>
    <w:rsid w:val="00032F67"/>
    <w:rsid w:val="0004042F"/>
    <w:rsid w:val="00040CFB"/>
    <w:rsid w:val="00043A1D"/>
    <w:rsid w:val="00046F8D"/>
    <w:rsid w:val="00047CA7"/>
    <w:rsid w:val="00047F7E"/>
    <w:rsid w:val="00050150"/>
    <w:rsid w:val="0005125E"/>
    <w:rsid w:val="00056BE5"/>
    <w:rsid w:val="0006310F"/>
    <w:rsid w:val="00072F5A"/>
    <w:rsid w:val="000777BB"/>
    <w:rsid w:val="00083C1F"/>
    <w:rsid w:val="000919DA"/>
    <w:rsid w:val="000A189F"/>
    <w:rsid w:val="000A62F3"/>
    <w:rsid w:val="000B2369"/>
    <w:rsid w:val="000B6137"/>
    <w:rsid w:val="000B637D"/>
    <w:rsid w:val="000C4515"/>
    <w:rsid w:val="000C669C"/>
    <w:rsid w:val="000C7A4C"/>
    <w:rsid w:val="000D72DE"/>
    <w:rsid w:val="000E1160"/>
    <w:rsid w:val="000E17B0"/>
    <w:rsid w:val="000F4D06"/>
    <w:rsid w:val="000F743F"/>
    <w:rsid w:val="001006A1"/>
    <w:rsid w:val="00103CF9"/>
    <w:rsid w:val="0010670E"/>
    <w:rsid w:val="001076C5"/>
    <w:rsid w:val="00111491"/>
    <w:rsid w:val="00121766"/>
    <w:rsid w:val="00124CBF"/>
    <w:rsid w:val="00127D58"/>
    <w:rsid w:val="00135EB5"/>
    <w:rsid w:val="001422C0"/>
    <w:rsid w:val="00144533"/>
    <w:rsid w:val="00145EB8"/>
    <w:rsid w:val="0015382E"/>
    <w:rsid w:val="001550D0"/>
    <w:rsid w:val="00157F2F"/>
    <w:rsid w:val="0016426C"/>
    <w:rsid w:val="00164CB1"/>
    <w:rsid w:val="00167F06"/>
    <w:rsid w:val="00182DD8"/>
    <w:rsid w:val="001835C1"/>
    <w:rsid w:val="001847B2"/>
    <w:rsid w:val="00185930"/>
    <w:rsid w:val="00191150"/>
    <w:rsid w:val="00191C3E"/>
    <w:rsid w:val="00192D86"/>
    <w:rsid w:val="001947AE"/>
    <w:rsid w:val="00195E12"/>
    <w:rsid w:val="001A2550"/>
    <w:rsid w:val="001A2AEF"/>
    <w:rsid w:val="001A50BC"/>
    <w:rsid w:val="001A6522"/>
    <w:rsid w:val="001B1D5E"/>
    <w:rsid w:val="001B553E"/>
    <w:rsid w:val="001B6EF3"/>
    <w:rsid w:val="001B7101"/>
    <w:rsid w:val="001B7208"/>
    <w:rsid w:val="001B780D"/>
    <w:rsid w:val="001C62DF"/>
    <w:rsid w:val="001D4289"/>
    <w:rsid w:val="001D77F0"/>
    <w:rsid w:val="001E11AC"/>
    <w:rsid w:val="001F07A8"/>
    <w:rsid w:val="001F7656"/>
    <w:rsid w:val="00201788"/>
    <w:rsid w:val="002228C9"/>
    <w:rsid w:val="002256B9"/>
    <w:rsid w:val="00225B64"/>
    <w:rsid w:val="00241901"/>
    <w:rsid w:val="00241C47"/>
    <w:rsid w:val="002424C6"/>
    <w:rsid w:val="00244A69"/>
    <w:rsid w:val="0025258C"/>
    <w:rsid w:val="00260A32"/>
    <w:rsid w:val="002671DD"/>
    <w:rsid w:val="00270744"/>
    <w:rsid w:val="0027465C"/>
    <w:rsid w:val="00274E37"/>
    <w:rsid w:val="002818B1"/>
    <w:rsid w:val="002819B4"/>
    <w:rsid w:val="002854AC"/>
    <w:rsid w:val="002958A1"/>
    <w:rsid w:val="002A4B68"/>
    <w:rsid w:val="002B4A4F"/>
    <w:rsid w:val="002D08BC"/>
    <w:rsid w:val="002D2A1A"/>
    <w:rsid w:val="002D3738"/>
    <w:rsid w:val="002D4F80"/>
    <w:rsid w:val="002E0A14"/>
    <w:rsid w:val="002E4D1E"/>
    <w:rsid w:val="002E7269"/>
    <w:rsid w:val="002F0EFD"/>
    <w:rsid w:val="002F6AAB"/>
    <w:rsid w:val="00301714"/>
    <w:rsid w:val="003066F2"/>
    <w:rsid w:val="003103A7"/>
    <w:rsid w:val="00311341"/>
    <w:rsid w:val="00320C99"/>
    <w:rsid w:val="00321CBA"/>
    <w:rsid w:val="003220E9"/>
    <w:rsid w:val="003247B4"/>
    <w:rsid w:val="00332277"/>
    <w:rsid w:val="003322EC"/>
    <w:rsid w:val="00336BAA"/>
    <w:rsid w:val="00337FAE"/>
    <w:rsid w:val="00341311"/>
    <w:rsid w:val="003430B4"/>
    <w:rsid w:val="003434C0"/>
    <w:rsid w:val="00344DA6"/>
    <w:rsid w:val="003517FB"/>
    <w:rsid w:val="00351C8F"/>
    <w:rsid w:val="0036645B"/>
    <w:rsid w:val="00386842"/>
    <w:rsid w:val="0038715E"/>
    <w:rsid w:val="0039038F"/>
    <w:rsid w:val="003A092A"/>
    <w:rsid w:val="003A10EA"/>
    <w:rsid w:val="003A2133"/>
    <w:rsid w:val="003A27F4"/>
    <w:rsid w:val="003A62C3"/>
    <w:rsid w:val="003A65F7"/>
    <w:rsid w:val="003B5313"/>
    <w:rsid w:val="003B5F9A"/>
    <w:rsid w:val="003C7810"/>
    <w:rsid w:val="003D1944"/>
    <w:rsid w:val="003D196D"/>
    <w:rsid w:val="003D25B6"/>
    <w:rsid w:val="003D6162"/>
    <w:rsid w:val="003D68D0"/>
    <w:rsid w:val="003E020F"/>
    <w:rsid w:val="003E4210"/>
    <w:rsid w:val="003F10D6"/>
    <w:rsid w:val="003F70F6"/>
    <w:rsid w:val="004108DE"/>
    <w:rsid w:val="004208D8"/>
    <w:rsid w:val="00420B1D"/>
    <w:rsid w:val="00424CFB"/>
    <w:rsid w:val="00426452"/>
    <w:rsid w:val="00426802"/>
    <w:rsid w:val="0042689F"/>
    <w:rsid w:val="00435058"/>
    <w:rsid w:val="0044150F"/>
    <w:rsid w:val="0044313E"/>
    <w:rsid w:val="004458FE"/>
    <w:rsid w:val="0045017C"/>
    <w:rsid w:val="0045136E"/>
    <w:rsid w:val="004515B3"/>
    <w:rsid w:val="00453007"/>
    <w:rsid w:val="00466CFE"/>
    <w:rsid w:val="0046704A"/>
    <w:rsid w:val="00467867"/>
    <w:rsid w:val="004704CD"/>
    <w:rsid w:val="00471BE9"/>
    <w:rsid w:val="0047291B"/>
    <w:rsid w:val="00473241"/>
    <w:rsid w:val="00477521"/>
    <w:rsid w:val="00483D16"/>
    <w:rsid w:val="004867AD"/>
    <w:rsid w:val="004875DE"/>
    <w:rsid w:val="004933C9"/>
    <w:rsid w:val="004A28BD"/>
    <w:rsid w:val="004A5094"/>
    <w:rsid w:val="004A5B9D"/>
    <w:rsid w:val="004A6491"/>
    <w:rsid w:val="004B0FF4"/>
    <w:rsid w:val="004B357A"/>
    <w:rsid w:val="004C0877"/>
    <w:rsid w:val="004D69A1"/>
    <w:rsid w:val="004E049E"/>
    <w:rsid w:val="004E636A"/>
    <w:rsid w:val="004E7326"/>
    <w:rsid w:val="004F4781"/>
    <w:rsid w:val="004F4C89"/>
    <w:rsid w:val="00500947"/>
    <w:rsid w:val="005013D3"/>
    <w:rsid w:val="00501B01"/>
    <w:rsid w:val="0051001A"/>
    <w:rsid w:val="005178BF"/>
    <w:rsid w:val="005324E7"/>
    <w:rsid w:val="005334E4"/>
    <w:rsid w:val="005341FF"/>
    <w:rsid w:val="00536E64"/>
    <w:rsid w:val="00537555"/>
    <w:rsid w:val="00545EEB"/>
    <w:rsid w:val="00546ACE"/>
    <w:rsid w:val="00550B6D"/>
    <w:rsid w:val="00552609"/>
    <w:rsid w:val="005544E1"/>
    <w:rsid w:val="0056112E"/>
    <w:rsid w:val="005621F5"/>
    <w:rsid w:val="005650DF"/>
    <w:rsid w:val="00565F65"/>
    <w:rsid w:val="005738A9"/>
    <w:rsid w:val="00576F3C"/>
    <w:rsid w:val="00581397"/>
    <w:rsid w:val="00585360"/>
    <w:rsid w:val="00587927"/>
    <w:rsid w:val="00595464"/>
    <w:rsid w:val="0059651E"/>
    <w:rsid w:val="00597386"/>
    <w:rsid w:val="005A11EC"/>
    <w:rsid w:val="005A13E4"/>
    <w:rsid w:val="005A4248"/>
    <w:rsid w:val="005D0A95"/>
    <w:rsid w:val="005D246E"/>
    <w:rsid w:val="005D370A"/>
    <w:rsid w:val="005E593B"/>
    <w:rsid w:val="005E64AE"/>
    <w:rsid w:val="005F1F14"/>
    <w:rsid w:val="005F37B0"/>
    <w:rsid w:val="005F459E"/>
    <w:rsid w:val="005F4FC2"/>
    <w:rsid w:val="005F5279"/>
    <w:rsid w:val="005F7CDB"/>
    <w:rsid w:val="006153D6"/>
    <w:rsid w:val="0061593E"/>
    <w:rsid w:val="0061677A"/>
    <w:rsid w:val="00630EA1"/>
    <w:rsid w:val="00645D13"/>
    <w:rsid w:val="00646602"/>
    <w:rsid w:val="0065625E"/>
    <w:rsid w:val="00665C3F"/>
    <w:rsid w:val="00667DEA"/>
    <w:rsid w:val="00667F0A"/>
    <w:rsid w:val="006702CD"/>
    <w:rsid w:val="00675627"/>
    <w:rsid w:val="006819CE"/>
    <w:rsid w:val="0068270A"/>
    <w:rsid w:val="00684F14"/>
    <w:rsid w:val="006860DE"/>
    <w:rsid w:val="0069351F"/>
    <w:rsid w:val="006964FF"/>
    <w:rsid w:val="006A0F10"/>
    <w:rsid w:val="006A2CE4"/>
    <w:rsid w:val="006B1708"/>
    <w:rsid w:val="006B745A"/>
    <w:rsid w:val="006C5CC7"/>
    <w:rsid w:val="006D0731"/>
    <w:rsid w:val="006D16AE"/>
    <w:rsid w:val="006D213C"/>
    <w:rsid w:val="006D26F8"/>
    <w:rsid w:val="006D409F"/>
    <w:rsid w:val="006D63D9"/>
    <w:rsid w:val="006E6C7E"/>
    <w:rsid w:val="006F5949"/>
    <w:rsid w:val="00706A30"/>
    <w:rsid w:val="00710CFE"/>
    <w:rsid w:val="00712C04"/>
    <w:rsid w:val="007207EB"/>
    <w:rsid w:val="00736CFC"/>
    <w:rsid w:val="00737860"/>
    <w:rsid w:val="0074277F"/>
    <w:rsid w:val="00747D12"/>
    <w:rsid w:val="007543EB"/>
    <w:rsid w:val="00754B84"/>
    <w:rsid w:val="00763509"/>
    <w:rsid w:val="0076550E"/>
    <w:rsid w:val="00775B67"/>
    <w:rsid w:val="00776AB2"/>
    <w:rsid w:val="00784365"/>
    <w:rsid w:val="00791958"/>
    <w:rsid w:val="00792192"/>
    <w:rsid w:val="00794410"/>
    <w:rsid w:val="007A386C"/>
    <w:rsid w:val="007A4EA6"/>
    <w:rsid w:val="007B036E"/>
    <w:rsid w:val="007B4FE7"/>
    <w:rsid w:val="007C7B01"/>
    <w:rsid w:val="007C7F46"/>
    <w:rsid w:val="007D1063"/>
    <w:rsid w:val="007D27C1"/>
    <w:rsid w:val="007D44A0"/>
    <w:rsid w:val="007D462C"/>
    <w:rsid w:val="007E0B24"/>
    <w:rsid w:val="007E2B7D"/>
    <w:rsid w:val="007F185F"/>
    <w:rsid w:val="007F6A32"/>
    <w:rsid w:val="00803C9F"/>
    <w:rsid w:val="0080748B"/>
    <w:rsid w:val="00812EEA"/>
    <w:rsid w:val="00820DCB"/>
    <w:rsid w:val="00826BA4"/>
    <w:rsid w:val="00840BD2"/>
    <w:rsid w:val="00843E89"/>
    <w:rsid w:val="008529CF"/>
    <w:rsid w:val="0086714A"/>
    <w:rsid w:val="00867F01"/>
    <w:rsid w:val="00873111"/>
    <w:rsid w:val="008743CC"/>
    <w:rsid w:val="00874A27"/>
    <w:rsid w:val="00874A2C"/>
    <w:rsid w:val="008809D8"/>
    <w:rsid w:val="008913F9"/>
    <w:rsid w:val="00893508"/>
    <w:rsid w:val="008948CC"/>
    <w:rsid w:val="008A53E2"/>
    <w:rsid w:val="008B72CE"/>
    <w:rsid w:val="008C1437"/>
    <w:rsid w:val="008C2719"/>
    <w:rsid w:val="008C5664"/>
    <w:rsid w:val="008D2C8A"/>
    <w:rsid w:val="008D3257"/>
    <w:rsid w:val="008D6E47"/>
    <w:rsid w:val="008E290F"/>
    <w:rsid w:val="008E48B0"/>
    <w:rsid w:val="008E6E82"/>
    <w:rsid w:val="008F193E"/>
    <w:rsid w:val="009037B3"/>
    <w:rsid w:val="00905966"/>
    <w:rsid w:val="00906EBC"/>
    <w:rsid w:val="00911D89"/>
    <w:rsid w:val="009133DC"/>
    <w:rsid w:val="00913849"/>
    <w:rsid w:val="00915FC8"/>
    <w:rsid w:val="00926CCA"/>
    <w:rsid w:val="00935BA6"/>
    <w:rsid w:val="00937AC3"/>
    <w:rsid w:val="00943F9F"/>
    <w:rsid w:val="00954D30"/>
    <w:rsid w:val="0096036B"/>
    <w:rsid w:val="00963AAC"/>
    <w:rsid w:val="00964CAB"/>
    <w:rsid w:val="00966322"/>
    <w:rsid w:val="0097021A"/>
    <w:rsid w:val="00980B2E"/>
    <w:rsid w:val="009847E6"/>
    <w:rsid w:val="009911A4"/>
    <w:rsid w:val="00992510"/>
    <w:rsid w:val="00992949"/>
    <w:rsid w:val="0099341A"/>
    <w:rsid w:val="009A1F16"/>
    <w:rsid w:val="009A71B8"/>
    <w:rsid w:val="009B65E2"/>
    <w:rsid w:val="009C17E4"/>
    <w:rsid w:val="009D2221"/>
    <w:rsid w:val="009D3F94"/>
    <w:rsid w:val="009D680D"/>
    <w:rsid w:val="009E0F16"/>
    <w:rsid w:val="009E2C51"/>
    <w:rsid w:val="009E2FC4"/>
    <w:rsid w:val="009E31EA"/>
    <w:rsid w:val="009E3B6D"/>
    <w:rsid w:val="00A05C81"/>
    <w:rsid w:val="00A1289B"/>
    <w:rsid w:val="00A15557"/>
    <w:rsid w:val="00A169EB"/>
    <w:rsid w:val="00A27EE1"/>
    <w:rsid w:val="00A3678E"/>
    <w:rsid w:val="00A42E9C"/>
    <w:rsid w:val="00A45C30"/>
    <w:rsid w:val="00A46B77"/>
    <w:rsid w:val="00A53E96"/>
    <w:rsid w:val="00A54B1E"/>
    <w:rsid w:val="00A6506F"/>
    <w:rsid w:val="00A8204B"/>
    <w:rsid w:val="00A85DD0"/>
    <w:rsid w:val="00A905B9"/>
    <w:rsid w:val="00A94DFB"/>
    <w:rsid w:val="00A95178"/>
    <w:rsid w:val="00AA04A3"/>
    <w:rsid w:val="00AA260D"/>
    <w:rsid w:val="00AA51A7"/>
    <w:rsid w:val="00AB0887"/>
    <w:rsid w:val="00AB57D5"/>
    <w:rsid w:val="00AB6506"/>
    <w:rsid w:val="00AC0412"/>
    <w:rsid w:val="00AC5450"/>
    <w:rsid w:val="00AC68F0"/>
    <w:rsid w:val="00AD0842"/>
    <w:rsid w:val="00AD3D4D"/>
    <w:rsid w:val="00AE50D2"/>
    <w:rsid w:val="00AE67EA"/>
    <w:rsid w:val="00AF2D8C"/>
    <w:rsid w:val="00AF4239"/>
    <w:rsid w:val="00AF4515"/>
    <w:rsid w:val="00B01BD6"/>
    <w:rsid w:val="00B10A4E"/>
    <w:rsid w:val="00B13746"/>
    <w:rsid w:val="00B14B79"/>
    <w:rsid w:val="00B14E21"/>
    <w:rsid w:val="00B21362"/>
    <w:rsid w:val="00B3049E"/>
    <w:rsid w:val="00B423E2"/>
    <w:rsid w:val="00B43E47"/>
    <w:rsid w:val="00B43F71"/>
    <w:rsid w:val="00B46B0A"/>
    <w:rsid w:val="00B50189"/>
    <w:rsid w:val="00B5027C"/>
    <w:rsid w:val="00B519C4"/>
    <w:rsid w:val="00B5326F"/>
    <w:rsid w:val="00B56AD7"/>
    <w:rsid w:val="00B62171"/>
    <w:rsid w:val="00B66E88"/>
    <w:rsid w:val="00B678C4"/>
    <w:rsid w:val="00B7131E"/>
    <w:rsid w:val="00B7283A"/>
    <w:rsid w:val="00B76257"/>
    <w:rsid w:val="00B7700F"/>
    <w:rsid w:val="00B9087E"/>
    <w:rsid w:val="00B91F18"/>
    <w:rsid w:val="00BA2DBB"/>
    <w:rsid w:val="00BA568A"/>
    <w:rsid w:val="00BB2B97"/>
    <w:rsid w:val="00BB4006"/>
    <w:rsid w:val="00BB6D71"/>
    <w:rsid w:val="00BC0D93"/>
    <w:rsid w:val="00BC2D35"/>
    <w:rsid w:val="00BC59B2"/>
    <w:rsid w:val="00BD4BC6"/>
    <w:rsid w:val="00BD6521"/>
    <w:rsid w:val="00BD7193"/>
    <w:rsid w:val="00BD7379"/>
    <w:rsid w:val="00BE2DA9"/>
    <w:rsid w:val="00BE4E02"/>
    <w:rsid w:val="00BE6CBB"/>
    <w:rsid w:val="00BE6FF2"/>
    <w:rsid w:val="00BF351B"/>
    <w:rsid w:val="00BF675F"/>
    <w:rsid w:val="00C05533"/>
    <w:rsid w:val="00C066C1"/>
    <w:rsid w:val="00C167F5"/>
    <w:rsid w:val="00C210FA"/>
    <w:rsid w:val="00C30F0D"/>
    <w:rsid w:val="00C34945"/>
    <w:rsid w:val="00C35797"/>
    <w:rsid w:val="00C35BB2"/>
    <w:rsid w:val="00C426B3"/>
    <w:rsid w:val="00C43AC4"/>
    <w:rsid w:val="00C51A8A"/>
    <w:rsid w:val="00C51FF3"/>
    <w:rsid w:val="00C53E85"/>
    <w:rsid w:val="00C53F5B"/>
    <w:rsid w:val="00C55F66"/>
    <w:rsid w:val="00C61B39"/>
    <w:rsid w:val="00C6347E"/>
    <w:rsid w:val="00C63AA0"/>
    <w:rsid w:val="00C723CE"/>
    <w:rsid w:val="00C81D14"/>
    <w:rsid w:val="00C830DC"/>
    <w:rsid w:val="00C9707D"/>
    <w:rsid w:val="00CA27C1"/>
    <w:rsid w:val="00CA27E4"/>
    <w:rsid w:val="00CA4C7F"/>
    <w:rsid w:val="00CB7D23"/>
    <w:rsid w:val="00CD5F5C"/>
    <w:rsid w:val="00CD7E4C"/>
    <w:rsid w:val="00CE3954"/>
    <w:rsid w:val="00CF4BD5"/>
    <w:rsid w:val="00D07631"/>
    <w:rsid w:val="00D2752B"/>
    <w:rsid w:val="00D325DC"/>
    <w:rsid w:val="00D3306A"/>
    <w:rsid w:val="00D330B5"/>
    <w:rsid w:val="00D3514E"/>
    <w:rsid w:val="00D454B9"/>
    <w:rsid w:val="00D45931"/>
    <w:rsid w:val="00D55947"/>
    <w:rsid w:val="00D67DEF"/>
    <w:rsid w:val="00D71B06"/>
    <w:rsid w:val="00D76530"/>
    <w:rsid w:val="00D7682F"/>
    <w:rsid w:val="00D95674"/>
    <w:rsid w:val="00D95BAE"/>
    <w:rsid w:val="00D961D2"/>
    <w:rsid w:val="00D96967"/>
    <w:rsid w:val="00D96991"/>
    <w:rsid w:val="00DA1216"/>
    <w:rsid w:val="00DA558A"/>
    <w:rsid w:val="00DA5AB9"/>
    <w:rsid w:val="00DB206A"/>
    <w:rsid w:val="00DB4072"/>
    <w:rsid w:val="00DB419B"/>
    <w:rsid w:val="00DB46C1"/>
    <w:rsid w:val="00DC40DB"/>
    <w:rsid w:val="00DD1ABE"/>
    <w:rsid w:val="00DD1C81"/>
    <w:rsid w:val="00DD297D"/>
    <w:rsid w:val="00DE669C"/>
    <w:rsid w:val="00DE78C0"/>
    <w:rsid w:val="00DF216B"/>
    <w:rsid w:val="00DF5129"/>
    <w:rsid w:val="00DF6750"/>
    <w:rsid w:val="00E00214"/>
    <w:rsid w:val="00E00F45"/>
    <w:rsid w:val="00E035B3"/>
    <w:rsid w:val="00E154B0"/>
    <w:rsid w:val="00E251D1"/>
    <w:rsid w:val="00E25D97"/>
    <w:rsid w:val="00E42661"/>
    <w:rsid w:val="00E4293A"/>
    <w:rsid w:val="00E45534"/>
    <w:rsid w:val="00E5607A"/>
    <w:rsid w:val="00E57BB3"/>
    <w:rsid w:val="00E64C4B"/>
    <w:rsid w:val="00E66224"/>
    <w:rsid w:val="00E669CB"/>
    <w:rsid w:val="00E66FCA"/>
    <w:rsid w:val="00E67814"/>
    <w:rsid w:val="00E70939"/>
    <w:rsid w:val="00E7391A"/>
    <w:rsid w:val="00E7451F"/>
    <w:rsid w:val="00E74724"/>
    <w:rsid w:val="00E92E40"/>
    <w:rsid w:val="00E9769A"/>
    <w:rsid w:val="00EA0817"/>
    <w:rsid w:val="00EA0F7E"/>
    <w:rsid w:val="00EA0FA7"/>
    <w:rsid w:val="00EA1B16"/>
    <w:rsid w:val="00EA617B"/>
    <w:rsid w:val="00EB3732"/>
    <w:rsid w:val="00EB407A"/>
    <w:rsid w:val="00EB583C"/>
    <w:rsid w:val="00EC3126"/>
    <w:rsid w:val="00EC563C"/>
    <w:rsid w:val="00EC5DE7"/>
    <w:rsid w:val="00ED04AC"/>
    <w:rsid w:val="00ED38E9"/>
    <w:rsid w:val="00EE2A24"/>
    <w:rsid w:val="00EE5773"/>
    <w:rsid w:val="00EF5D94"/>
    <w:rsid w:val="00F00095"/>
    <w:rsid w:val="00F0796A"/>
    <w:rsid w:val="00F11D06"/>
    <w:rsid w:val="00F303B0"/>
    <w:rsid w:val="00F32EF6"/>
    <w:rsid w:val="00F40CE3"/>
    <w:rsid w:val="00F4171E"/>
    <w:rsid w:val="00F4570A"/>
    <w:rsid w:val="00F578F7"/>
    <w:rsid w:val="00F60C4F"/>
    <w:rsid w:val="00F70B99"/>
    <w:rsid w:val="00F716EE"/>
    <w:rsid w:val="00F77EED"/>
    <w:rsid w:val="00F8218B"/>
    <w:rsid w:val="00F909AA"/>
    <w:rsid w:val="00F90C81"/>
    <w:rsid w:val="00F94BC1"/>
    <w:rsid w:val="00FA3096"/>
    <w:rsid w:val="00FA57B1"/>
    <w:rsid w:val="00FB1971"/>
    <w:rsid w:val="00FB604B"/>
    <w:rsid w:val="00FD2F17"/>
    <w:rsid w:val="00FD547A"/>
    <w:rsid w:val="00FD624B"/>
    <w:rsid w:val="00FE1676"/>
    <w:rsid w:val="00FE4244"/>
    <w:rsid w:val="00FE4EFA"/>
    <w:rsid w:val="00FE53B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51BEC-C815-4789-93C8-D46357D6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86"/>
    <w:rPr>
      <w:b/>
      <w:bCs/>
      <w:sz w:val="20"/>
      <w:szCs w:val="20"/>
    </w:rPr>
  </w:style>
  <w:style w:type="paragraph" w:customStyle="1" w:styleId="clan">
    <w:name w:val="clan"/>
    <w:basedOn w:val="Normal"/>
    <w:rsid w:val="00D9699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D9699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D9699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9699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2">
    <w:name w:val="Normal2"/>
    <w:basedOn w:val="Normal"/>
    <w:rsid w:val="0033227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7F6A32"/>
    <w:pPr>
      <w:ind w:left="720"/>
      <w:contextualSpacing/>
    </w:pPr>
  </w:style>
  <w:style w:type="paragraph" w:customStyle="1" w:styleId="wyq110---naslov-clana">
    <w:name w:val="wyq110---naslov-clana"/>
    <w:basedOn w:val="Normal"/>
    <w:rsid w:val="00D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3">
    <w:name w:val="Normal3"/>
    <w:basedOn w:val="Normal"/>
    <w:rsid w:val="00D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84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D2"/>
  </w:style>
  <w:style w:type="paragraph" w:styleId="Footer">
    <w:name w:val="footer"/>
    <w:basedOn w:val="Normal"/>
    <w:link w:val="FooterChar"/>
    <w:uiPriority w:val="99"/>
    <w:unhideWhenUsed/>
    <w:rsid w:val="0084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B8A7-7804-424A-8650-6416C80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SIEPA</Company>
  <LinksUpToDate>false</LinksUpToDate>
  <CharactersWithSpaces>63871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Nenad Zdraljevic</cp:lastModifiedBy>
  <cp:revision>3</cp:revision>
  <cp:lastPrinted>2016-12-29T12:58:00Z</cp:lastPrinted>
  <dcterms:created xsi:type="dcterms:W3CDTF">2016-12-30T11:34:00Z</dcterms:created>
  <dcterms:modified xsi:type="dcterms:W3CDTF">2016-12-30T11:34:00Z</dcterms:modified>
</cp:coreProperties>
</file>