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8" w:rsidRPr="00803AC8" w:rsidRDefault="00392348" w:rsidP="00392348">
      <w:pPr>
        <w:autoSpaceDE w:val="0"/>
        <w:autoSpaceDN w:val="0"/>
        <w:adjustRightInd w:val="0"/>
        <w:ind w:firstLine="504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На основу члана 45. став 1. Закона о Влади („Службени</w:t>
      </w:r>
      <w:r w:rsidR="00F75F74" w:rsidRPr="00803AC8">
        <w:rPr>
          <w:color w:val="auto"/>
          <w:kern w:val="0"/>
          <w:lang/>
        </w:rPr>
        <w:t xml:space="preserve"> гласник РС”, бр. 55/05, 71/05-</w:t>
      </w:r>
      <w:r w:rsidRPr="00803AC8">
        <w:rPr>
          <w:color w:val="auto"/>
          <w:kern w:val="0"/>
          <w:lang/>
        </w:rPr>
        <w:t>исправк</w:t>
      </w:r>
      <w:r w:rsidR="00F87382" w:rsidRPr="00803AC8">
        <w:rPr>
          <w:color w:val="auto"/>
          <w:kern w:val="0"/>
          <w:lang/>
        </w:rPr>
        <w:t>а, 101/07, 65/08, 16/</w:t>
      </w:r>
      <w:r w:rsidR="00F75F74" w:rsidRPr="00803AC8">
        <w:rPr>
          <w:color w:val="auto"/>
          <w:kern w:val="0"/>
          <w:lang/>
        </w:rPr>
        <w:t>11, 68/12-УС, 72/12, 7/14-</w:t>
      </w:r>
      <w:r w:rsidR="00840455" w:rsidRPr="00803AC8">
        <w:rPr>
          <w:color w:val="auto"/>
          <w:kern w:val="0"/>
          <w:lang/>
        </w:rPr>
        <w:t>УС и 44/</w:t>
      </w:r>
      <w:r w:rsidRPr="00803AC8">
        <w:rPr>
          <w:color w:val="auto"/>
          <w:kern w:val="0"/>
          <w:lang/>
        </w:rPr>
        <w:t>14),</w:t>
      </w:r>
    </w:p>
    <w:p w:rsidR="00392348" w:rsidRPr="00803AC8" w:rsidRDefault="00392348" w:rsidP="00392348">
      <w:pPr>
        <w:autoSpaceDE w:val="0"/>
        <w:autoSpaceDN w:val="0"/>
        <w:adjustRightInd w:val="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ab/>
      </w:r>
      <w:r w:rsidRPr="00803AC8">
        <w:rPr>
          <w:color w:val="auto"/>
          <w:kern w:val="0"/>
          <w:lang/>
        </w:rPr>
        <w:t>Влада доноси</w:t>
      </w:r>
    </w:p>
    <w:p w:rsidR="003F1202" w:rsidRPr="00803AC8" w:rsidRDefault="003F1202" w:rsidP="003F1202">
      <w:pPr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  <w:lang/>
        </w:rPr>
      </w:pPr>
    </w:p>
    <w:p w:rsidR="001541C3" w:rsidRPr="00803AC8" w:rsidRDefault="00392348" w:rsidP="003F1202">
      <w:pPr>
        <w:autoSpaceDE w:val="0"/>
        <w:autoSpaceDN w:val="0"/>
        <w:adjustRightInd w:val="0"/>
        <w:jc w:val="center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НАЦИОНАЛНУ СТРАТЕГИЈУ</w:t>
      </w:r>
    </w:p>
    <w:p w:rsidR="00F75F74" w:rsidRPr="00803AC8" w:rsidRDefault="00F75F74" w:rsidP="003F1202">
      <w:pPr>
        <w:autoSpaceDE w:val="0"/>
        <w:autoSpaceDN w:val="0"/>
        <w:adjustRightInd w:val="0"/>
        <w:jc w:val="center"/>
        <w:rPr>
          <w:color w:val="auto"/>
          <w:kern w:val="0"/>
          <w:lang/>
        </w:rPr>
      </w:pPr>
    </w:p>
    <w:p w:rsidR="003F1202" w:rsidRPr="00803AC8" w:rsidRDefault="001541C3" w:rsidP="003F1202">
      <w:pPr>
        <w:autoSpaceDE w:val="0"/>
        <w:autoSpaceDN w:val="0"/>
        <w:adjustRightInd w:val="0"/>
        <w:jc w:val="center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ЗА БОРБУ ПРОТИВ ПРАЊА НОВЦА И ФИНАНСИРАЊА ТЕРОРИЗМА</w:t>
      </w:r>
      <w:r w:rsidR="003F1202" w:rsidRPr="00803AC8">
        <w:rPr>
          <w:color w:val="auto"/>
          <w:kern w:val="0"/>
          <w:lang/>
        </w:rPr>
        <w:t xml:space="preserve"> </w:t>
      </w:r>
    </w:p>
    <w:p w:rsidR="000B4BDD" w:rsidRPr="00803AC8" w:rsidRDefault="000B4BDD" w:rsidP="003F1202">
      <w:pPr>
        <w:autoSpaceDE w:val="0"/>
        <w:autoSpaceDN w:val="0"/>
        <w:adjustRightInd w:val="0"/>
        <w:jc w:val="center"/>
        <w:rPr>
          <w:b/>
          <w:color w:val="auto"/>
          <w:kern w:val="0"/>
          <w:lang/>
        </w:rPr>
      </w:pPr>
    </w:p>
    <w:p w:rsidR="000B4BDD" w:rsidRPr="00803AC8" w:rsidRDefault="00392348" w:rsidP="003F1202">
      <w:pPr>
        <w:autoSpaceDE w:val="0"/>
        <w:autoSpaceDN w:val="0"/>
        <w:adjustRightInd w:val="0"/>
        <w:jc w:val="center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1. </w:t>
      </w:r>
      <w:r w:rsidR="000B4BDD" w:rsidRPr="00803AC8">
        <w:rPr>
          <w:color w:val="auto"/>
          <w:kern w:val="0"/>
          <w:lang/>
        </w:rPr>
        <w:t>УВОД</w:t>
      </w:r>
      <w:r w:rsidRPr="00803AC8">
        <w:rPr>
          <w:color w:val="auto"/>
          <w:kern w:val="0"/>
          <w:lang/>
        </w:rPr>
        <w:t>НИ ДЕО</w:t>
      </w:r>
    </w:p>
    <w:p w:rsidR="003F1202" w:rsidRPr="00803AC8" w:rsidRDefault="003F1202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</w:p>
    <w:p w:rsidR="00DD45BB" w:rsidRPr="00803AC8" w:rsidRDefault="00295C95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Национална стратегија за борбу против прања новца и финансирања тероризма коју је Влада усвојила 25. септембра 2008. године („Службени гласник РС”, број 89/08) била је прва национална стратегија Републике Србије у овој област</w:t>
      </w:r>
      <w:r w:rsidR="00164E99" w:rsidRPr="00803AC8">
        <w:rPr>
          <w:color w:val="auto"/>
          <w:kern w:val="0"/>
          <w:lang/>
        </w:rPr>
        <w:t xml:space="preserve">и. </w:t>
      </w:r>
      <w:r w:rsidRPr="00803AC8">
        <w:rPr>
          <w:color w:val="auto"/>
          <w:kern w:val="0"/>
          <w:lang/>
        </w:rPr>
        <w:t>Национална стратегија из 2008. године имала је изузетно значајан циљ, наиме да ефикасно успостави комплекс</w:t>
      </w:r>
      <w:r w:rsidR="00DD45BB" w:rsidRPr="00803AC8">
        <w:rPr>
          <w:color w:val="auto"/>
          <w:kern w:val="0"/>
          <w:lang/>
        </w:rPr>
        <w:t>а</w:t>
      </w:r>
      <w:r w:rsidRPr="00803AC8">
        <w:rPr>
          <w:color w:val="auto"/>
          <w:kern w:val="0"/>
          <w:lang/>
        </w:rPr>
        <w:t xml:space="preserve">н и </w:t>
      </w:r>
      <w:r w:rsidR="00DD45BB" w:rsidRPr="00803AC8">
        <w:rPr>
          <w:color w:val="auto"/>
          <w:kern w:val="0"/>
          <w:lang/>
        </w:rPr>
        <w:t xml:space="preserve">свеобухватан </w:t>
      </w:r>
      <w:r w:rsidRPr="00803AC8">
        <w:rPr>
          <w:color w:val="auto"/>
          <w:kern w:val="0"/>
          <w:lang/>
        </w:rPr>
        <w:t>систем за борбу против прања новца и финансирања тероризма.</w:t>
      </w:r>
      <w:r w:rsidR="00751F00" w:rsidRPr="00803AC8">
        <w:rPr>
          <w:color w:val="auto"/>
          <w:kern w:val="0"/>
          <w:lang/>
        </w:rPr>
        <w:t xml:space="preserve"> </w:t>
      </w:r>
    </w:p>
    <w:p w:rsidR="00DD45BB" w:rsidRPr="00803AC8" w:rsidRDefault="00D2083E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 Национална стратегија из 2008. године предвидела је </w:t>
      </w:r>
      <w:r w:rsidR="00295C95" w:rsidRPr="00803AC8">
        <w:rPr>
          <w:color w:val="auto"/>
          <w:kern w:val="0"/>
          <w:lang/>
        </w:rPr>
        <w:t>препоруке за унапређење система Републике Србије за борбу против прања новца и финансирања тероризма</w:t>
      </w:r>
      <w:r w:rsidR="00840455" w:rsidRPr="00803AC8">
        <w:rPr>
          <w:color w:val="auto"/>
          <w:kern w:val="0"/>
          <w:lang/>
        </w:rPr>
        <w:t>,</w:t>
      </w:r>
      <w:r w:rsidR="00295C95" w:rsidRPr="00803AC8">
        <w:rPr>
          <w:color w:val="auto"/>
          <w:kern w:val="0"/>
          <w:lang/>
        </w:rPr>
        <w:t xml:space="preserve"> и то на законодавном, институционалном и оперативном плану, као и у погледу стручног усавршавања и обуке.</w:t>
      </w:r>
      <w:r w:rsidRPr="00803AC8">
        <w:rPr>
          <w:color w:val="auto"/>
          <w:kern w:val="0"/>
          <w:lang/>
        </w:rPr>
        <w:t xml:space="preserve"> Таква концепција стратегије је била примерена том тренутку развоја система и била је усмерена на задовољавање међународних стандарда.</w:t>
      </w:r>
      <w:r w:rsidR="000B4BDD" w:rsidRPr="00803AC8">
        <w:rPr>
          <w:color w:val="auto"/>
          <w:kern w:val="0"/>
          <w:lang/>
        </w:rPr>
        <w:t xml:space="preserve"> </w:t>
      </w:r>
      <w:r w:rsidR="000C256B" w:rsidRPr="00803AC8">
        <w:rPr>
          <w:color w:val="auto"/>
          <w:kern w:val="0"/>
          <w:lang/>
        </w:rPr>
        <w:t>С</w:t>
      </w:r>
      <w:r w:rsidR="000B4BDD" w:rsidRPr="00803AC8">
        <w:rPr>
          <w:color w:val="auto"/>
          <w:kern w:val="0"/>
          <w:lang/>
        </w:rPr>
        <w:t>трате</w:t>
      </w:r>
      <w:r w:rsidR="00F87382" w:rsidRPr="00803AC8">
        <w:rPr>
          <w:color w:val="auto"/>
          <w:kern w:val="0"/>
          <w:lang/>
        </w:rPr>
        <w:t xml:space="preserve">гија </w:t>
      </w:r>
      <w:r w:rsidR="000C256B" w:rsidRPr="00803AC8">
        <w:rPr>
          <w:color w:val="auto"/>
          <w:kern w:val="0"/>
          <w:lang/>
        </w:rPr>
        <w:t xml:space="preserve">је </w:t>
      </w:r>
      <w:r w:rsidR="00F87382" w:rsidRPr="00803AC8">
        <w:rPr>
          <w:color w:val="auto"/>
          <w:kern w:val="0"/>
          <w:lang/>
        </w:rPr>
        <w:t>испунила свој основни циљ -</w:t>
      </w:r>
      <w:r w:rsidR="000B4BDD" w:rsidRPr="00803AC8">
        <w:rPr>
          <w:color w:val="auto"/>
          <w:kern w:val="0"/>
          <w:lang/>
        </w:rPr>
        <w:t xml:space="preserve"> успостављање система за борбу против прања новца и финансирања тероризма.</w:t>
      </w:r>
      <w:r w:rsidR="00751F00" w:rsidRPr="00803AC8">
        <w:rPr>
          <w:color w:val="auto"/>
          <w:kern w:val="0"/>
          <w:lang/>
        </w:rPr>
        <w:t xml:space="preserve"> </w:t>
      </w:r>
    </w:p>
    <w:p w:rsidR="00C33962" w:rsidRPr="00803AC8" w:rsidRDefault="00D2083E" w:rsidP="00C33962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Нов</w:t>
      </w:r>
      <w:r w:rsidR="00840455" w:rsidRPr="00803AC8">
        <w:rPr>
          <w:color w:val="auto"/>
          <w:kern w:val="0"/>
          <w:lang/>
        </w:rPr>
        <w:t>а н</w:t>
      </w:r>
      <w:r w:rsidR="00AB5466" w:rsidRPr="00803AC8">
        <w:rPr>
          <w:color w:val="auto"/>
          <w:kern w:val="0"/>
          <w:lang/>
        </w:rPr>
        <w:t>ационална стратегија</w:t>
      </w:r>
      <w:r w:rsidRPr="00803AC8">
        <w:rPr>
          <w:color w:val="auto"/>
          <w:kern w:val="0"/>
          <w:lang/>
        </w:rPr>
        <w:t xml:space="preserve"> </w:t>
      </w:r>
      <w:r w:rsidR="00677245" w:rsidRPr="00803AC8">
        <w:rPr>
          <w:color w:val="auto"/>
          <w:kern w:val="0"/>
          <w:lang/>
        </w:rPr>
        <w:t>(у даљем тексту: Национална стратегија)</w:t>
      </w:r>
      <w:r w:rsidRPr="00803AC8">
        <w:rPr>
          <w:color w:val="auto"/>
          <w:kern w:val="0"/>
          <w:lang/>
        </w:rPr>
        <w:t xml:space="preserve"> </w:t>
      </w:r>
      <w:r w:rsidR="00AB5466" w:rsidRPr="00803AC8">
        <w:rPr>
          <w:color w:val="auto"/>
          <w:kern w:val="0"/>
          <w:lang/>
        </w:rPr>
        <w:t>представља логичан следећи корак</w:t>
      </w:r>
      <w:r w:rsidR="00840455" w:rsidRPr="00803AC8">
        <w:rPr>
          <w:color w:val="auto"/>
          <w:kern w:val="0"/>
          <w:lang/>
        </w:rPr>
        <w:t>,</w:t>
      </w:r>
      <w:r w:rsidR="00AB5466" w:rsidRPr="00803AC8">
        <w:rPr>
          <w:color w:val="auto"/>
          <w:kern w:val="0"/>
          <w:lang/>
        </w:rPr>
        <w:t xml:space="preserve"> а то је суштинско јачање појединих делова система циљаним и осмишљеним мерама.</w:t>
      </w:r>
    </w:p>
    <w:p w:rsidR="00DD45BB" w:rsidRPr="00803AC8" w:rsidRDefault="000B4BDD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О</w:t>
      </w:r>
      <w:r w:rsidR="00C33962" w:rsidRPr="00803AC8">
        <w:rPr>
          <w:color w:val="auto"/>
          <w:kern w:val="0"/>
          <w:lang/>
        </w:rPr>
        <w:t>длика ове националне стратегије јесте то што акценат ставља на сарадњу свих надлежних државних органа будући да систем може бити делотворан искључиво у сарадњи свих државних органа</w:t>
      </w:r>
      <w:r w:rsidR="00F87382" w:rsidRPr="00803AC8">
        <w:rPr>
          <w:color w:val="auto"/>
          <w:kern w:val="0"/>
          <w:lang/>
        </w:rPr>
        <w:t>,</w:t>
      </w:r>
      <w:r w:rsidR="00C33962" w:rsidRPr="00803AC8">
        <w:rPr>
          <w:color w:val="auto"/>
          <w:kern w:val="0"/>
          <w:lang/>
        </w:rPr>
        <w:t xml:space="preserve"> и то кроз размену информација и експертизе, приступ базама података и образовање радних тимова.</w:t>
      </w:r>
    </w:p>
    <w:p w:rsidR="00DD45BB" w:rsidRPr="00803AC8" w:rsidRDefault="00321B7F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Приликом израде Националне</w:t>
      </w:r>
      <w:r w:rsidR="00EA30AE" w:rsidRPr="00803AC8">
        <w:rPr>
          <w:color w:val="auto"/>
          <w:kern w:val="0"/>
          <w:lang/>
        </w:rPr>
        <w:t xml:space="preserve"> </w:t>
      </w:r>
      <w:r w:rsidRPr="00803AC8">
        <w:rPr>
          <w:color w:val="auto"/>
          <w:kern w:val="0"/>
          <w:lang/>
        </w:rPr>
        <w:t>стратегије</w:t>
      </w:r>
      <w:r w:rsidR="00EA30AE" w:rsidRPr="00803AC8">
        <w:rPr>
          <w:color w:val="auto"/>
          <w:kern w:val="0"/>
          <w:lang/>
        </w:rPr>
        <w:t xml:space="preserve"> </w:t>
      </w:r>
      <w:r w:rsidR="00D2083E" w:rsidRPr="00803AC8">
        <w:rPr>
          <w:color w:val="auto"/>
          <w:kern w:val="0"/>
          <w:lang/>
        </w:rPr>
        <w:t>води</w:t>
      </w:r>
      <w:r w:rsidRPr="00803AC8">
        <w:rPr>
          <w:color w:val="auto"/>
          <w:kern w:val="0"/>
          <w:lang/>
        </w:rPr>
        <w:t>ло се</w:t>
      </w:r>
      <w:r w:rsidR="00D2083E" w:rsidRPr="00803AC8">
        <w:rPr>
          <w:color w:val="auto"/>
          <w:kern w:val="0"/>
          <w:lang/>
        </w:rPr>
        <w:t xml:space="preserve"> рачуна и о последњим </w:t>
      </w:r>
      <w:r w:rsidRPr="00803AC8">
        <w:rPr>
          <w:color w:val="auto"/>
          <w:kern w:val="0"/>
          <w:lang/>
        </w:rPr>
        <w:t xml:space="preserve">променама у </w:t>
      </w:r>
      <w:r w:rsidR="00D2083E" w:rsidRPr="00803AC8">
        <w:rPr>
          <w:color w:val="auto"/>
          <w:kern w:val="0"/>
          <w:lang/>
        </w:rPr>
        <w:t>међународним стандардима</w:t>
      </w:r>
      <w:r w:rsidRPr="00803AC8">
        <w:rPr>
          <w:rStyle w:val="FootnoteReference"/>
          <w:color w:val="auto"/>
          <w:kern w:val="0"/>
          <w:lang/>
        </w:rPr>
        <w:footnoteReference w:id="1"/>
      </w:r>
      <w:r w:rsidR="00D2083E" w:rsidRPr="00803AC8">
        <w:rPr>
          <w:color w:val="auto"/>
          <w:kern w:val="0"/>
          <w:lang/>
        </w:rPr>
        <w:t xml:space="preserve">. </w:t>
      </w:r>
      <w:r w:rsidRPr="00803AC8">
        <w:rPr>
          <w:color w:val="auto"/>
          <w:kern w:val="0"/>
          <w:lang/>
        </w:rPr>
        <w:t>Међународни стандарди сада т</w:t>
      </w:r>
      <w:r w:rsidR="00D36152" w:rsidRPr="00803AC8">
        <w:rPr>
          <w:color w:val="auto"/>
          <w:kern w:val="0"/>
          <w:lang/>
        </w:rPr>
        <w:t>раже не само техничко испуњавање</w:t>
      </w:r>
      <w:r w:rsidRPr="00803AC8">
        <w:rPr>
          <w:color w:val="auto"/>
          <w:kern w:val="0"/>
          <w:lang/>
        </w:rPr>
        <w:t xml:space="preserve"> стандарда</w:t>
      </w:r>
      <w:r w:rsidR="00F87382" w:rsidRPr="00803AC8">
        <w:rPr>
          <w:color w:val="auto"/>
          <w:kern w:val="0"/>
          <w:lang/>
        </w:rPr>
        <w:t>,</w:t>
      </w:r>
      <w:r w:rsidRPr="00803AC8">
        <w:rPr>
          <w:color w:val="auto"/>
          <w:kern w:val="0"/>
          <w:lang/>
        </w:rPr>
        <w:t xml:space="preserve"> него се успешност система за борбу </w:t>
      </w:r>
      <w:r w:rsidR="00D36152" w:rsidRPr="00803AC8">
        <w:rPr>
          <w:color w:val="auto"/>
          <w:kern w:val="0"/>
          <w:lang/>
        </w:rPr>
        <w:t>против прања новца и финансирања</w:t>
      </w:r>
      <w:r w:rsidRPr="00803AC8">
        <w:rPr>
          <w:color w:val="auto"/>
          <w:kern w:val="0"/>
          <w:lang/>
        </w:rPr>
        <w:t xml:space="preserve"> тероризма цени кроз </w:t>
      </w:r>
      <w:r w:rsidR="00D2083E" w:rsidRPr="00803AC8">
        <w:rPr>
          <w:color w:val="auto"/>
          <w:kern w:val="0"/>
          <w:lang/>
        </w:rPr>
        <w:t xml:space="preserve">ефикасност њихове примене. </w:t>
      </w:r>
      <w:r w:rsidR="00225B49" w:rsidRPr="00803AC8">
        <w:rPr>
          <w:color w:val="auto"/>
          <w:kern w:val="0"/>
          <w:lang/>
        </w:rPr>
        <w:t>Н</w:t>
      </w:r>
      <w:r w:rsidR="00D2083E" w:rsidRPr="00803AC8">
        <w:rPr>
          <w:color w:val="auto"/>
          <w:kern w:val="0"/>
          <w:lang/>
        </w:rPr>
        <w:t xml:space="preserve">ационална стратегија </w:t>
      </w:r>
      <w:r w:rsidRPr="00803AC8">
        <w:rPr>
          <w:color w:val="auto"/>
          <w:kern w:val="0"/>
          <w:lang/>
        </w:rPr>
        <w:t>је осмишљена тако да обезбеди испуњеност стандарда</w:t>
      </w:r>
      <w:r w:rsidR="00677245" w:rsidRPr="00803AC8">
        <w:rPr>
          <w:color w:val="auto"/>
          <w:kern w:val="0"/>
          <w:lang/>
        </w:rPr>
        <w:t xml:space="preserve"> </w:t>
      </w:r>
      <w:r w:rsidR="00D244C2" w:rsidRPr="00803AC8">
        <w:rPr>
          <w:color w:val="auto"/>
          <w:kern w:val="0"/>
          <w:lang/>
        </w:rPr>
        <w:t>на законо</w:t>
      </w:r>
      <w:r w:rsidR="00677245" w:rsidRPr="00803AC8">
        <w:rPr>
          <w:color w:val="auto"/>
          <w:kern w:val="0"/>
          <w:lang/>
        </w:rPr>
        <w:t>давном и институционалном нивоу,</w:t>
      </w:r>
      <w:r w:rsidR="00D244C2" w:rsidRPr="00803AC8">
        <w:rPr>
          <w:color w:val="auto"/>
          <w:kern w:val="0"/>
          <w:lang/>
        </w:rPr>
        <w:t xml:space="preserve"> </w:t>
      </w:r>
      <w:r w:rsidRPr="00803AC8">
        <w:rPr>
          <w:color w:val="auto"/>
          <w:kern w:val="0"/>
          <w:lang/>
        </w:rPr>
        <w:t>ал</w:t>
      </w:r>
      <w:r w:rsidR="00EA30AE" w:rsidRPr="00803AC8">
        <w:rPr>
          <w:color w:val="auto"/>
          <w:kern w:val="0"/>
          <w:lang/>
        </w:rPr>
        <w:t xml:space="preserve">и </w:t>
      </w:r>
      <w:r w:rsidR="00D244C2" w:rsidRPr="00803AC8">
        <w:rPr>
          <w:color w:val="auto"/>
          <w:kern w:val="0"/>
          <w:lang/>
        </w:rPr>
        <w:t xml:space="preserve">на такав начин да </w:t>
      </w:r>
      <w:r w:rsidRPr="00803AC8">
        <w:rPr>
          <w:color w:val="auto"/>
          <w:kern w:val="0"/>
          <w:lang/>
        </w:rPr>
        <w:t>се тиме остваре</w:t>
      </w:r>
      <w:r w:rsidR="00D244C2" w:rsidRPr="00803AC8">
        <w:rPr>
          <w:color w:val="auto"/>
          <w:kern w:val="0"/>
          <w:lang/>
        </w:rPr>
        <w:t xml:space="preserve"> ефикасни</w:t>
      </w:r>
      <w:r w:rsidR="003E2C4C" w:rsidRPr="00803AC8">
        <w:rPr>
          <w:color w:val="auto"/>
          <w:kern w:val="0"/>
          <w:lang/>
        </w:rPr>
        <w:t xml:space="preserve"> резул</w:t>
      </w:r>
      <w:r w:rsidRPr="00803AC8">
        <w:rPr>
          <w:color w:val="auto"/>
          <w:kern w:val="0"/>
          <w:lang/>
        </w:rPr>
        <w:t>тати</w:t>
      </w:r>
      <w:r w:rsidR="00D244C2" w:rsidRPr="00803AC8">
        <w:rPr>
          <w:color w:val="auto"/>
          <w:kern w:val="0"/>
          <w:lang/>
        </w:rPr>
        <w:t>.</w:t>
      </w:r>
    </w:p>
    <w:p w:rsidR="000B4BDD" w:rsidRPr="00803AC8" w:rsidRDefault="000B4BDD" w:rsidP="000B4BDD">
      <w:pPr>
        <w:autoSpaceDE w:val="0"/>
        <w:autoSpaceDN w:val="0"/>
        <w:adjustRightInd w:val="0"/>
        <w:ind w:left="0"/>
        <w:jc w:val="both"/>
        <w:rPr>
          <w:color w:val="auto"/>
          <w:kern w:val="0"/>
          <w:lang/>
        </w:rPr>
      </w:pPr>
    </w:p>
    <w:p w:rsidR="000B4BDD" w:rsidRPr="00803AC8" w:rsidRDefault="00392348" w:rsidP="000B4BDD">
      <w:pPr>
        <w:autoSpaceDE w:val="0"/>
        <w:autoSpaceDN w:val="0"/>
        <w:adjustRightInd w:val="0"/>
        <w:ind w:left="0"/>
        <w:jc w:val="center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2. </w:t>
      </w:r>
      <w:r w:rsidR="000B4BDD" w:rsidRPr="00803AC8">
        <w:rPr>
          <w:color w:val="auto"/>
          <w:kern w:val="0"/>
          <w:lang/>
        </w:rPr>
        <w:t>ЦИЉ НАЦИОНАЛНЕ СТРАТЕГИЈЕ</w:t>
      </w:r>
    </w:p>
    <w:p w:rsidR="000B4BDD" w:rsidRPr="00803AC8" w:rsidRDefault="000B4BDD" w:rsidP="000B4BDD">
      <w:pPr>
        <w:autoSpaceDE w:val="0"/>
        <w:autoSpaceDN w:val="0"/>
        <w:adjustRightInd w:val="0"/>
        <w:ind w:left="0"/>
        <w:jc w:val="center"/>
        <w:rPr>
          <w:b/>
          <w:color w:val="auto"/>
          <w:kern w:val="0"/>
          <w:lang/>
        </w:rPr>
      </w:pPr>
    </w:p>
    <w:p w:rsidR="00DD45BB" w:rsidRPr="00803AC8" w:rsidRDefault="00321B7F" w:rsidP="00F91300">
      <w:pPr>
        <w:autoSpaceDE w:val="0"/>
        <w:autoSpaceDN w:val="0"/>
        <w:adjustRightInd w:val="0"/>
        <w:ind w:left="0" w:firstLine="720"/>
        <w:jc w:val="both"/>
        <w:rPr>
          <w:i/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У формулисању циљева Националне стратегије</w:t>
      </w:r>
      <w:r w:rsidR="00D244C2" w:rsidRPr="00803AC8">
        <w:rPr>
          <w:color w:val="auto"/>
          <w:kern w:val="0"/>
          <w:lang/>
        </w:rPr>
        <w:t xml:space="preserve"> </w:t>
      </w:r>
      <w:r w:rsidRPr="00803AC8">
        <w:rPr>
          <w:color w:val="auto"/>
          <w:kern w:val="0"/>
          <w:lang/>
        </w:rPr>
        <w:t>у обзир је узета и хијерар</w:t>
      </w:r>
      <w:r w:rsidR="00803AC8">
        <w:rPr>
          <w:color w:val="auto"/>
          <w:kern w:val="0"/>
          <w:lang/>
        </w:rPr>
        <w:t>х</w:t>
      </w:r>
      <w:r w:rsidRPr="00803AC8">
        <w:rPr>
          <w:color w:val="auto"/>
          <w:kern w:val="0"/>
          <w:lang/>
        </w:rPr>
        <w:t>ија циљева делотворног система за борбу против прања новца и финансирања тероризма која је дата у методологији</w:t>
      </w:r>
      <w:r w:rsidR="00D244C2" w:rsidRPr="00803AC8">
        <w:rPr>
          <w:color w:val="auto"/>
          <w:kern w:val="0"/>
          <w:lang/>
        </w:rPr>
        <w:t xml:space="preserve"> ФАТФ. </w:t>
      </w:r>
      <w:r w:rsidR="00EA30AE" w:rsidRPr="00803AC8">
        <w:rPr>
          <w:color w:val="auto"/>
          <w:kern w:val="0"/>
          <w:lang/>
        </w:rPr>
        <w:t xml:space="preserve">Отуда </w:t>
      </w:r>
      <w:r w:rsidRPr="00803AC8">
        <w:rPr>
          <w:color w:val="auto"/>
          <w:kern w:val="0"/>
          <w:lang/>
        </w:rPr>
        <w:t xml:space="preserve">је и општи циљ и сврха Националне стратегије да </w:t>
      </w:r>
      <w:r w:rsidRPr="00803AC8">
        <w:rPr>
          <w:i/>
          <w:color w:val="auto"/>
          <w:kern w:val="0"/>
          <w:lang/>
        </w:rPr>
        <w:t>у потпуности заштити</w:t>
      </w:r>
      <w:r w:rsidR="00EA30AE" w:rsidRPr="00803AC8">
        <w:rPr>
          <w:i/>
          <w:color w:val="auto"/>
          <w:kern w:val="0"/>
          <w:lang/>
        </w:rPr>
        <w:t xml:space="preserve"> финансијск</w:t>
      </w:r>
      <w:r w:rsidRPr="00803AC8">
        <w:rPr>
          <w:i/>
          <w:color w:val="auto"/>
          <w:kern w:val="0"/>
          <w:lang/>
        </w:rPr>
        <w:t>и</w:t>
      </w:r>
      <w:r w:rsidR="00EA30AE" w:rsidRPr="00803AC8">
        <w:rPr>
          <w:i/>
          <w:color w:val="auto"/>
          <w:kern w:val="0"/>
          <w:lang/>
        </w:rPr>
        <w:t xml:space="preserve"> </w:t>
      </w:r>
      <w:r w:rsidR="00D244C2" w:rsidRPr="00803AC8">
        <w:rPr>
          <w:i/>
          <w:color w:val="auto"/>
          <w:kern w:val="0"/>
          <w:lang/>
        </w:rPr>
        <w:t>систем</w:t>
      </w:r>
      <w:r w:rsidRPr="00803AC8">
        <w:rPr>
          <w:i/>
          <w:color w:val="auto"/>
          <w:kern w:val="0"/>
          <w:lang/>
        </w:rPr>
        <w:t xml:space="preserve"> и привреду државе</w:t>
      </w:r>
      <w:r w:rsidR="00D244C2" w:rsidRPr="00803AC8">
        <w:rPr>
          <w:i/>
          <w:color w:val="auto"/>
          <w:kern w:val="0"/>
          <w:lang/>
        </w:rPr>
        <w:t xml:space="preserve"> од опасности </w:t>
      </w:r>
      <w:r w:rsidRPr="00803AC8">
        <w:rPr>
          <w:i/>
          <w:color w:val="auto"/>
          <w:kern w:val="0"/>
          <w:lang/>
        </w:rPr>
        <w:t xml:space="preserve">које узрокују </w:t>
      </w:r>
      <w:r w:rsidRPr="00803AC8">
        <w:rPr>
          <w:i/>
          <w:color w:val="auto"/>
          <w:kern w:val="0"/>
          <w:lang/>
        </w:rPr>
        <w:lastRenderedPageBreak/>
        <w:t>прање</w:t>
      </w:r>
      <w:r w:rsidR="00EA30AE" w:rsidRPr="00803AC8">
        <w:rPr>
          <w:i/>
          <w:color w:val="auto"/>
          <w:kern w:val="0"/>
          <w:lang/>
        </w:rPr>
        <w:t xml:space="preserve"> </w:t>
      </w:r>
      <w:r w:rsidRPr="00803AC8">
        <w:rPr>
          <w:i/>
          <w:color w:val="auto"/>
          <w:kern w:val="0"/>
          <w:lang/>
        </w:rPr>
        <w:t>новца и финансирање</w:t>
      </w:r>
      <w:r w:rsidR="009C494D" w:rsidRPr="00803AC8">
        <w:rPr>
          <w:i/>
          <w:color w:val="auto"/>
          <w:kern w:val="0"/>
          <w:lang/>
        </w:rPr>
        <w:t xml:space="preserve"> тероризма и ширење</w:t>
      </w:r>
      <w:r w:rsidR="00D244C2" w:rsidRPr="00803AC8">
        <w:rPr>
          <w:i/>
          <w:color w:val="auto"/>
          <w:kern w:val="0"/>
          <w:lang/>
        </w:rPr>
        <w:t xml:space="preserve"> оружја за масовно уништење, чиме се јача интегритет финансијског</w:t>
      </w:r>
      <w:r w:rsidR="00F05D11" w:rsidRPr="00803AC8">
        <w:rPr>
          <w:i/>
          <w:color w:val="auto"/>
          <w:kern w:val="0"/>
          <w:lang/>
        </w:rPr>
        <w:t xml:space="preserve"> сектора</w:t>
      </w:r>
      <w:r w:rsidR="00D244C2" w:rsidRPr="00803AC8">
        <w:rPr>
          <w:i/>
          <w:color w:val="auto"/>
          <w:kern w:val="0"/>
          <w:lang/>
        </w:rPr>
        <w:t xml:space="preserve"> и допр</w:t>
      </w:r>
      <w:r w:rsidR="00EA30AE" w:rsidRPr="00803AC8">
        <w:rPr>
          <w:i/>
          <w:color w:val="auto"/>
          <w:kern w:val="0"/>
          <w:lang/>
        </w:rPr>
        <w:t>иноси безбедности и сигурности.</w:t>
      </w:r>
    </w:p>
    <w:p w:rsidR="00DA096A" w:rsidRPr="00803AC8" w:rsidRDefault="00DA096A" w:rsidP="00871C7C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Национална стратегија и Акциони план </w:t>
      </w:r>
      <w:r w:rsidR="00AF29C6" w:rsidRPr="00803AC8">
        <w:rPr>
          <w:color w:val="auto"/>
          <w:kern w:val="0"/>
          <w:lang/>
        </w:rPr>
        <w:t xml:space="preserve">за спровођење Националне стратегије за борбу против прања новца и финансирања тероризма (у даљем тексту: Акциони план) </w:t>
      </w:r>
      <w:r w:rsidRPr="00803AC8">
        <w:rPr>
          <w:color w:val="auto"/>
          <w:kern w:val="0"/>
          <w:lang/>
        </w:rPr>
        <w:t>узели су у обзир и закључке националне процене ризика која је спроведена 2012. године, сходно препоруци 1 ФАТФ, а на осно</w:t>
      </w:r>
      <w:r w:rsidR="009C494D" w:rsidRPr="00803AC8">
        <w:rPr>
          <w:color w:val="auto"/>
          <w:kern w:val="0"/>
          <w:lang/>
        </w:rPr>
        <w:t>ву методологије Светске банке.</w:t>
      </w:r>
    </w:p>
    <w:p w:rsidR="004A51B0" w:rsidRPr="00803AC8" w:rsidRDefault="004A51B0" w:rsidP="004A51B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Имајући у виду опредељење Републике Србије ка чланству у Европској унији и преговоре о приступању који су у току, надлежни државни органи су приликом израде </w:t>
      </w:r>
      <w:r w:rsidR="00E73129" w:rsidRPr="00803AC8">
        <w:rPr>
          <w:color w:val="auto"/>
          <w:kern w:val="0"/>
          <w:lang/>
        </w:rPr>
        <w:t xml:space="preserve">ове </w:t>
      </w:r>
      <w:r w:rsidRPr="00803AC8">
        <w:rPr>
          <w:color w:val="auto"/>
          <w:kern w:val="0"/>
          <w:lang/>
        </w:rPr>
        <w:t xml:space="preserve">стратегије водили рачуна и о примедбама и препорукама релевантних служби Европске комисије. Такође, </w:t>
      </w:r>
      <w:r w:rsidR="00113EBA" w:rsidRPr="00803AC8">
        <w:rPr>
          <w:color w:val="auto"/>
          <w:kern w:val="0"/>
          <w:lang/>
        </w:rPr>
        <w:t xml:space="preserve">надлежни </w:t>
      </w:r>
      <w:r w:rsidRPr="00803AC8">
        <w:rPr>
          <w:color w:val="auto"/>
          <w:kern w:val="0"/>
          <w:lang/>
        </w:rPr>
        <w:t>органи Републике Србије ће са нарочитом пажњом пратити активности</w:t>
      </w:r>
      <w:r w:rsidR="00113EBA" w:rsidRPr="00803AC8">
        <w:rPr>
          <w:color w:val="auto"/>
          <w:kern w:val="0"/>
          <w:lang/>
        </w:rPr>
        <w:t xml:space="preserve"> и акта</w:t>
      </w:r>
      <w:r w:rsidRPr="00803AC8">
        <w:rPr>
          <w:color w:val="auto"/>
          <w:kern w:val="0"/>
          <w:lang/>
        </w:rPr>
        <w:t xml:space="preserve"> </w:t>
      </w:r>
      <w:r w:rsidR="00113EBA" w:rsidRPr="00803AC8">
        <w:rPr>
          <w:color w:val="auto"/>
          <w:kern w:val="0"/>
          <w:lang/>
        </w:rPr>
        <w:t xml:space="preserve">у области </w:t>
      </w:r>
      <w:r w:rsidRPr="00803AC8">
        <w:rPr>
          <w:color w:val="auto"/>
          <w:kern w:val="0"/>
          <w:lang/>
        </w:rPr>
        <w:t>борбе против прања новца и финансирања тероризма</w:t>
      </w:r>
      <w:r w:rsidR="00113EBA" w:rsidRPr="00803AC8">
        <w:rPr>
          <w:color w:val="auto"/>
          <w:kern w:val="0"/>
          <w:lang/>
        </w:rPr>
        <w:t xml:space="preserve"> на нивоу Европске уније</w:t>
      </w:r>
      <w:r w:rsidRPr="00803AC8">
        <w:rPr>
          <w:color w:val="auto"/>
          <w:kern w:val="0"/>
          <w:lang/>
        </w:rPr>
        <w:t>, а нарочито рад на доношењу Директиве Европског парламента и Савета о спречавању употребе финансијског система у сврхе прања новца и финансирања тероризма (тзв. Четврта директива) и предуз</w:t>
      </w:r>
      <w:r w:rsidR="00113EBA" w:rsidRPr="00803AC8">
        <w:rPr>
          <w:color w:val="auto"/>
          <w:kern w:val="0"/>
          <w:lang/>
        </w:rPr>
        <w:t>имати адекватне мере и радње на правовременом усклађивању система Републике Србије за борбу против прања новца и финансирања тероризма са решењима из тих аката.</w:t>
      </w:r>
    </w:p>
    <w:p w:rsidR="00DA096A" w:rsidRPr="00803AC8" w:rsidRDefault="00D244C2" w:rsidP="00F9130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Национална стратегија </w:t>
      </w:r>
      <w:r w:rsidR="00EA30AE" w:rsidRPr="00803AC8">
        <w:rPr>
          <w:color w:val="auto"/>
          <w:kern w:val="0"/>
          <w:lang/>
        </w:rPr>
        <w:t xml:space="preserve">овај општи циљ разрађује кроз </w:t>
      </w:r>
      <w:r w:rsidR="00F91300" w:rsidRPr="00803AC8">
        <w:rPr>
          <w:color w:val="auto"/>
          <w:kern w:val="0"/>
          <w:lang/>
        </w:rPr>
        <w:t xml:space="preserve">четири </w:t>
      </w:r>
      <w:r w:rsidRPr="00803AC8">
        <w:rPr>
          <w:color w:val="auto"/>
          <w:kern w:val="0"/>
          <w:lang/>
        </w:rPr>
        <w:t xml:space="preserve">стратешке </w:t>
      </w:r>
      <w:r w:rsidR="00F91300" w:rsidRPr="00803AC8">
        <w:rPr>
          <w:color w:val="auto"/>
          <w:kern w:val="0"/>
          <w:lang/>
        </w:rPr>
        <w:t>т</w:t>
      </w:r>
      <w:r w:rsidR="004350FA" w:rsidRPr="00803AC8">
        <w:rPr>
          <w:color w:val="auto"/>
          <w:kern w:val="0"/>
          <w:lang/>
        </w:rPr>
        <w:t>еме, и то:</w:t>
      </w:r>
    </w:p>
    <w:p w:rsidR="004350FA" w:rsidRPr="00803AC8" w:rsidRDefault="002B5645" w:rsidP="002B5645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4350FA" w:rsidRPr="00803AC8">
        <w:rPr>
          <w:color w:val="auto"/>
          <w:kern w:val="0"/>
          <w:lang/>
        </w:rPr>
        <w:t>Смањивање ризика од прања новца и финансирања тероризма кроз стратешко планирање, координацију и сарадњу свих учесника у систему</w:t>
      </w:r>
      <w:r w:rsidR="00871C7C" w:rsidRPr="00803AC8">
        <w:rPr>
          <w:color w:val="auto"/>
          <w:kern w:val="0"/>
          <w:lang/>
        </w:rPr>
        <w:t>;</w:t>
      </w:r>
    </w:p>
    <w:p w:rsidR="004350FA" w:rsidRPr="00803AC8" w:rsidRDefault="002B5645" w:rsidP="002B5645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4350FA" w:rsidRPr="00803AC8">
        <w:rPr>
          <w:color w:val="auto"/>
          <w:kern w:val="0"/>
          <w:lang/>
        </w:rPr>
        <w:t>Спречавање уношења имовине за коју се сумња да је стечена кривичним делом у финансијски систем и друге секторе, односно откривање и пријављивање већ унете имовине</w:t>
      </w:r>
      <w:r w:rsidR="00871C7C" w:rsidRPr="00803AC8">
        <w:rPr>
          <w:color w:val="auto"/>
          <w:kern w:val="0"/>
          <w:lang/>
        </w:rPr>
        <w:t>;</w:t>
      </w:r>
    </w:p>
    <w:p w:rsidR="004350FA" w:rsidRPr="00803AC8" w:rsidRDefault="002B5645" w:rsidP="002B5645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4350FA" w:rsidRPr="00803AC8">
        <w:rPr>
          <w:color w:val="auto"/>
          <w:kern w:val="0"/>
          <w:lang/>
        </w:rPr>
        <w:t>Уочавање и отклањање претњи од прања новца и финансирања тероризма, кажњавање извршилаца кривичних дела и одузимање незаконито стечене имовине</w:t>
      </w:r>
      <w:r w:rsidR="00871C7C" w:rsidRPr="00803AC8">
        <w:rPr>
          <w:color w:val="auto"/>
          <w:kern w:val="0"/>
          <w:lang/>
        </w:rPr>
        <w:t>;</w:t>
      </w:r>
    </w:p>
    <w:p w:rsidR="004350FA" w:rsidRPr="00803AC8" w:rsidRDefault="002B5645" w:rsidP="002B5645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4350FA" w:rsidRPr="00803AC8">
        <w:rPr>
          <w:color w:val="auto"/>
          <w:kern w:val="0"/>
          <w:lang/>
        </w:rPr>
        <w:t>Квалификовани кадрови оспособљени за делотворно учешће у свим сегментима система за борбу против прања новца и финансирања тероризма и разумевање у јавности улоге и планова надлежних органа</w:t>
      </w:r>
      <w:r w:rsidR="00871C7C" w:rsidRPr="00803AC8">
        <w:rPr>
          <w:color w:val="auto"/>
          <w:kern w:val="0"/>
          <w:lang/>
        </w:rPr>
        <w:t>.</w:t>
      </w:r>
    </w:p>
    <w:p w:rsidR="00C33962" w:rsidRPr="00803AC8" w:rsidRDefault="00C6782D" w:rsidP="00C33962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Т</w:t>
      </w:r>
      <w:r w:rsidR="004350FA" w:rsidRPr="00803AC8">
        <w:rPr>
          <w:color w:val="auto"/>
          <w:kern w:val="0"/>
          <w:lang/>
        </w:rPr>
        <w:t xml:space="preserve">еме </w:t>
      </w:r>
      <w:r w:rsidR="00871C7C" w:rsidRPr="00803AC8">
        <w:rPr>
          <w:color w:val="auto"/>
          <w:kern w:val="0"/>
          <w:lang/>
        </w:rPr>
        <w:t>су даље</w:t>
      </w:r>
      <w:r w:rsidRPr="00803AC8">
        <w:rPr>
          <w:color w:val="auto"/>
          <w:kern w:val="0"/>
          <w:lang/>
        </w:rPr>
        <w:t xml:space="preserve"> разрађене </w:t>
      </w:r>
      <w:r w:rsidR="004350FA" w:rsidRPr="00803AC8">
        <w:rPr>
          <w:color w:val="auto"/>
          <w:kern w:val="0"/>
          <w:lang/>
        </w:rPr>
        <w:t>у основне циљеве и мере</w:t>
      </w:r>
      <w:r w:rsidRPr="00803AC8">
        <w:rPr>
          <w:color w:val="auto"/>
          <w:kern w:val="0"/>
          <w:lang/>
        </w:rPr>
        <w:t>,</w:t>
      </w:r>
      <w:r w:rsidR="004350FA" w:rsidRPr="00803AC8">
        <w:rPr>
          <w:color w:val="auto"/>
          <w:kern w:val="0"/>
          <w:lang/>
        </w:rPr>
        <w:t xml:space="preserve"> а приликом осмишљавања мера нарочито се водило рачуна о областима и питањима који су у извештају о националној процени ризика од прања новца у Републици Србији означени као најризичнији.</w:t>
      </w:r>
    </w:p>
    <w:p w:rsidR="000B4BDD" w:rsidRPr="00803AC8" w:rsidRDefault="000B4BDD" w:rsidP="00871C7C">
      <w:pPr>
        <w:autoSpaceDE w:val="0"/>
        <w:autoSpaceDN w:val="0"/>
        <w:adjustRightInd w:val="0"/>
        <w:ind w:left="0"/>
        <w:jc w:val="both"/>
        <w:rPr>
          <w:color w:val="auto"/>
          <w:kern w:val="0"/>
          <w:lang/>
        </w:rPr>
      </w:pPr>
    </w:p>
    <w:p w:rsidR="00BE2B29" w:rsidRPr="00803AC8" w:rsidRDefault="00532E14" w:rsidP="002B5645">
      <w:pPr>
        <w:ind w:left="0"/>
        <w:jc w:val="center"/>
        <w:rPr>
          <w:b/>
          <w:color w:val="auto"/>
          <w:lang/>
        </w:rPr>
      </w:pPr>
      <w:r w:rsidRPr="00803AC8">
        <w:rPr>
          <w:b/>
          <w:color w:val="auto"/>
          <w:lang/>
        </w:rPr>
        <w:t xml:space="preserve">Стратешка тема </w:t>
      </w:r>
      <w:r w:rsidR="00706478" w:rsidRPr="00803AC8">
        <w:rPr>
          <w:b/>
          <w:color w:val="auto"/>
          <w:lang/>
        </w:rPr>
        <w:t>1</w:t>
      </w:r>
      <w:r w:rsidR="00711876" w:rsidRPr="00803AC8">
        <w:rPr>
          <w:b/>
          <w:color w:val="auto"/>
          <w:lang/>
        </w:rPr>
        <w:t xml:space="preserve"> -</w:t>
      </w:r>
      <w:r w:rsidR="002B5645" w:rsidRPr="00803AC8">
        <w:rPr>
          <w:b/>
          <w:color w:val="auto"/>
          <w:lang/>
        </w:rPr>
        <w:t xml:space="preserve"> </w:t>
      </w:r>
      <w:r w:rsidR="00BE2B29" w:rsidRPr="00803AC8">
        <w:rPr>
          <w:b/>
          <w:color w:val="auto"/>
          <w:lang/>
        </w:rPr>
        <w:t xml:space="preserve">Смањивање ризика од прања новца и финансирања </w:t>
      </w:r>
      <w:r w:rsidR="002B5645" w:rsidRPr="00803AC8">
        <w:rPr>
          <w:b/>
          <w:color w:val="auto"/>
          <w:lang/>
        </w:rPr>
        <w:t xml:space="preserve"> т</w:t>
      </w:r>
      <w:r w:rsidR="00BE2B29" w:rsidRPr="00803AC8">
        <w:rPr>
          <w:b/>
          <w:color w:val="auto"/>
          <w:lang/>
        </w:rPr>
        <w:t>ероризма кроз стратешко планирање, координацију и сарадњу свих учесника у систему</w:t>
      </w:r>
    </w:p>
    <w:p w:rsidR="00BE2B29" w:rsidRPr="00803AC8" w:rsidRDefault="00BE2B29" w:rsidP="00BE2B29">
      <w:pPr>
        <w:rPr>
          <w:b/>
          <w:color w:val="auto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1.1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Потпуно разумевање ризика од прања новца у Републици Србији 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Очекивани резултати:</w:t>
            </w:r>
            <w:r w:rsidRPr="00803AC8">
              <w:rPr>
                <w:color w:val="auto"/>
                <w:lang/>
              </w:rPr>
              <w:t xml:space="preserve"> Добро разумевање ризика омогућиће надлежним државним органима да утврђују приоритете у свом раду ради отклањања најважнијих претњи по систем и његових слабих тачака. Очекује се више успешно решених предмета, како кроз поступке за та кривична дела тако и у погледу одузимања имовине стечене кривичним делом. Обвезници и надзорни органи ће помоћу квалитетних анализа ризика правити сопствене анализе и утврђивати приоритете у свом раду. Те ризике ће разумети сви учесници у систему и шира јавност.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6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1.1.1. Редовно ажурирати националну процену ризика од прања новца;</w:t>
            </w:r>
          </w:p>
          <w:p w:rsidR="00BE2B29" w:rsidRPr="00803AC8" w:rsidRDefault="00BE2B29" w:rsidP="001541C3">
            <w:pPr>
              <w:numPr>
                <w:ilvl w:val="0"/>
                <w:numId w:val="6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rFonts w:eastAsia="Times New Roman"/>
                <w:bCs/>
                <w:color w:val="auto"/>
                <w:lang/>
              </w:rPr>
              <w:t>М</w:t>
            </w:r>
            <w:r w:rsidR="001541C3" w:rsidRPr="00803AC8">
              <w:rPr>
                <w:rFonts w:eastAsia="Times New Roman"/>
                <w:bCs/>
                <w:color w:val="auto"/>
                <w:lang/>
              </w:rPr>
              <w:t xml:space="preserve">ера </w:t>
            </w:r>
            <w:r w:rsidRPr="00803AC8">
              <w:rPr>
                <w:rFonts w:eastAsia="Times New Roman"/>
                <w:bCs/>
                <w:color w:val="auto"/>
                <w:lang/>
              </w:rPr>
              <w:t xml:space="preserve">1.1.2. </w:t>
            </w:r>
            <w:r w:rsidRPr="00803AC8">
              <w:rPr>
                <w:color w:val="auto"/>
                <w:lang/>
              </w:rPr>
              <w:t>Свим учесницима у систему у примереној форми достављати резултате националне процене ризика и омогућити им да у свом раду примене одговарајуће закључке и смернице, а у циљу смањења препознатих ризика</w:t>
            </w:r>
            <w:r w:rsidR="00791675" w:rsidRPr="00803AC8">
              <w:rPr>
                <w:rFonts w:eastAsia="Times New Roman"/>
                <w:bCs/>
                <w:color w:val="auto"/>
                <w:lang/>
              </w:rPr>
              <w:t>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lastRenderedPageBreak/>
              <w:t>Циљ 1.2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Потпуно разумевање ризика од финансирања тероризма у Републици Србији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Очекивани резултати:</w:t>
            </w:r>
            <w:r w:rsidRPr="00803AC8">
              <w:rPr>
                <w:color w:val="auto"/>
                <w:lang/>
              </w:rPr>
              <w:t xml:space="preserve"> Разумевање ризика, претњи и рањивости у области финансирања тероризма помаже надлежним државним органима да ефикасно и сразмерно расподеле средства за отклањање ризика од финансирања тероризма.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8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1.2.1. Израдити националну процену ризика од финансирања тероризма и редовно је ажурирати;</w:t>
            </w:r>
          </w:p>
          <w:p w:rsidR="00BE2B29" w:rsidRPr="00803AC8" w:rsidRDefault="00BE2B29" w:rsidP="00BE2B29">
            <w:pPr>
              <w:numPr>
                <w:ilvl w:val="0"/>
                <w:numId w:val="8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1.2.2. Усклађивати мере за смањивање ризика од финансирања тероризма из Акционог плана уз ову стратегију са ризицима утврђеним у националној процени ризика од финансирања тероризма;</w:t>
            </w:r>
          </w:p>
          <w:p w:rsidR="00BE2B29" w:rsidRPr="00803AC8" w:rsidRDefault="00BE2B29" w:rsidP="00BE2B29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rFonts w:eastAsia="Times New Roman"/>
                <w:bCs/>
                <w:color w:val="auto"/>
                <w:lang/>
              </w:rPr>
              <w:t xml:space="preserve">Мера 1.2.3. Донети одговарајуће прописе о спровођењу релевантних резолуција Савета </w:t>
            </w:r>
            <w:r w:rsidRPr="00803AC8">
              <w:rPr>
                <w:bCs/>
                <w:color w:val="auto"/>
                <w:lang w:eastAsia="en-GB"/>
              </w:rPr>
              <w:t>безбедности Уједињених нација и других релевантних међународних стандарда</w:t>
            </w:r>
            <w:r w:rsidR="00E53C98" w:rsidRPr="00803AC8">
              <w:rPr>
                <w:bCs/>
                <w:color w:val="auto"/>
                <w:lang w:eastAsia="en-GB"/>
              </w:rPr>
              <w:t>, нарочито Резолуције Савета безбедности Уједињених нација 1267 и 1373</w:t>
            </w:r>
            <w:r w:rsidR="00316311" w:rsidRPr="00803AC8">
              <w:rPr>
                <w:bCs/>
                <w:color w:val="auto"/>
                <w:lang w:eastAsia="en-GB"/>
              </w:rPr>
              <w:t>, као и релевантних правних тековина Европске уније у овој области</w:t>
            </w:r>
            <w:r w:rsidR="00E53C98" w:rsidRPr="00803AC8">
              <w:rPr>
                <w:bCs/>
                <w:color w:val="auto"/>
                <w:lang w:eastAsia="en-GB"/>
              </w:rPr>
              <w:t>;</w:t>
            </w:r>
          </w:p>
          <w:p w:rsidR="00E53C98" w:rsidRPr="00803AC8" w:rsidRDefault="00E53C98" w:rsidP="00677245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1.2.4. Јачање капацитета релевантних државних органа, кроз стручно усавршавањ</w:t>
            </w:r>
            <w:r w:rsidR="00677245" w:rsidRPr="00803AC8">
              <w:rPr>
                <w:rFonts w:eastAsia="Times New Roman"/>
                <w:color w:val="auto"/>
                <w:lang/>
              </w:rPr>
              <w:t>е, прерасподелу постојећих или ангажовање додатних ресу</w:t>
            </w:r>
            <w:r w:rsidRPr="00803AC8">
              <w:rPr>
                <w:rFonts w:eastAsia="Times New Roman"/>
                <w:color w:val="auto"/>
                <w:lang/>
              </w:rPr>
              <w:t>р</w:t>
            </w:r>
            <w:r w:rsidR="00677245" w:rsidRPr="00803AC8">
              <w:rPr>
                <w:rFonts w:eastAsia="Times New Roman"/>
                <w:color w:val="auto"/>
                <w:lang/>
              </w:rPr>
              <w:t>с</w:t>
            </w:r>
            <w:r w:rsidRPr="00803AC8">
              <w:rPr>
                <w:rFonts w:eastAsia="Times New Roman"/>
                <w:color w:val="auto"/>
                <w:lang/>
              </w:rPr>
              <w:t>а, а у складу са анализом потреба.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1.3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Унапређење координације и сарадње између државних органа надлежних за надзор, прикупљање података, истрагу, гоњење за кривична дела прања новца и финансирања тероризма и одузимање имовине стечене кривичним делом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Очекивани резултати:</w:t>
            </w:r>
            <w:r w:rsidRPr="00803AC8">
              <w:rPr>
                <w:color w:val="auto"/>
                <w:lang/>
              </w:rPr>
              <w:t xml:space="preserve"> Делотворнији рад доводи до повећања броја успешно решених случајева на којима је било ангажовано више различитих државних органа и доприноси бољем разумевању ризика.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7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1.3.1. Успоставити механизме за анализу најзначајнијих питања за функционисање система за борбу против прања новца и финансирања тероризма;</w:t>
            </w:r>
          </w:p>
          <w:p w:rsidR="00BE2B29" w:rsidRPr="00803AC8" w:rsidRDefault="00BE2B29" w:rsidP="00BE2B29">
            <w:pPr>
              <w:numPr>
                <w:ilvl w:val="0"/>
                <w:numId w:val="7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1.3.2. Ојачати положај и састав Сталне координационе групе за надзор над спровођењем националне стратегије за борбу против прања новца и финансирања тероризма;</w:t>
            </w:r>
          </w:p>
          <w:p w:rsidR="00BE2B29" w:rsidRPr="00803AC8" w:rsidRDefault="00BE2B29" w:rsidP="00BE2B29">
            <w:pPr>
              <w:numPr>
                <w:ilvl w:val="0"/>
                <w:numId w:val="7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1.3.3. Редовно преиспитивати делотворност механизама међусобне сарадње на нивоу стратешког планирања, координације и сарадње свих учесника у систему, и предузимати радње на отклањању уочених недостатака;</w:t>
            </w:r>
          </w:p>
          <w:p w:rsidR="00BE2B29" w:rsidRPr="00803AC8" w:rsidRDefault="00BE2B29" w:rsidP="00BE2B29">
            <w:pPr>
              <w:numPr>
                <w:ilvl w:val="0"/>
                <w:numId w:val="7"/>
              </w:numPr>
              <w:contextualSpacing/>
              <w:jc w:val="both"/>
              <w:rPr>
                <w:color w:val="auto"/>
                <w:lang/>
              </w:rPr>
            </w:pPr>
            <w:r w:rsidRPr="00803AC8">
              <w:rPr>
                <w:bCs/>
                <w:color w:val="auto"/>
                <w:lang w:eastAsia="en-GB"/>
              </w:rPr>
              <w:t>Мера 1.3.4. Анализирати и преиспитивати постојеће механизме међународне сарадње, укључујући пружање међународне правне помоћи, размену података и одузимање имовине;</w:t>
            </w:r>
          </w:p>
          <w:p w:rsidR="00BE2B29" w:rsidRPr="00803AC8" w:rsidRDefault="00BE2B29" w:rsidP="00BE2B29">
            <w:pPr>
              <w:numPr>
                <w:ilvl w:val="0"/>
                <w:numId w:val="7"/>
              </w:numPr>
              <w:contextualSpacing/>
              <w:jc w:val="both"/>
              <w:rPr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 w:eastAsia="en-GB"/>
              </w:rPr>
              <w:t>Мера 1.3.5. Анализирати релевантне законе, друге прописе и опште акте и секторске стратегије у фази припреме са аспекта њиховог утицаја на систем за борбу против прања новца и финансирања тероризма.</w:t>
            </w:r>
          </w:p>
        </w:tc>
      </w:tr>
    </w:tbl>
    <w:p w:rsidR="00BE2B29" w:rsidRDefault="00BE2B29" w:rsidP="00BE2B29">
      <w:pPr>
        <w:rPr>
          <w:color w:val="auto"/>
          <w:lang/>
        </w:rPr>
      </w:pPr>
    </w:p>
    <w:p w:rsidR="00803AC8" w:rsidRDefault="00803AC8" w:rsidP="00BE2B29">
      <w:pPr>
        <w:rPr>
          <w:color w:val="auto"/>
          <w:lang/>
        </w:rPr>
      </w:pPr>
    </w:p>
    <w:p w:rsidR="00803AC8" w:rsidRDefault="00803AC8" w:rsidP="00BE2B29">
      <w:pPr>
        <w:rPr>
          <w:color w:val="auto"/>
          <w:lang/>
        </w:rPr>
      </w:pPr>
    </w:p>
    <w:p w:rsidR="00803AC8" w:rsidRDefault="00803AC8" w:rsidP="00BE2B29">
      <w:pPr>
        <w:rPr>
          <w:color w:val="auto"/>
          <w:lang/>
        </w:rPr>
      </w:pPr>
    </w:p>
    <w:p w:rsidR="00803AC8" w:rsidRDefault="00803AC8" w:rsidP="00BE2B29">
      <w:pPr>
        <w:rPr>
          <w:color w:val="auto"/>
          <w:lang/>
        </w:rPr>
      </w:pPr>
    </w:p>
    <w:p w:rsidR="00803AC8" w:rsidRPr="00803AC8" w:rsidRDefault="00803AC8" w:rsidP="00BE2B29">
      <w:pPr>
        <w:rPr>
          <w:color w:val="auto"/>
          <w:lang/>
        </w:rPr>
      </w:pPr>
    </w:p>
    <w:p w:rsidR="00BE2B29" w:rsidRPr="00803AC8" w:rsidRDefault="00532E14" w:rsidP="00BE2B29">
      <w:pPr>
        <w:jc w:val="center"/>
        <w:rPr>
          <w:b/>
          <w:color w:val="auto"/>
          <w:lang/>
        </w:rPr>
      </w:pPr>
      <w:r w:rsidRPr="00803AC8">
        <w:rPr>
          <w:b/>
          <w:color w:val="auto"/>
          <w:lang/>
        </w:rPr>
        <w:lastRenderedPageBreak/>
        <w:t>Стратешка тема</w:t>
      </w:r>
      <w:r w:rsidR="00706478" w:rsidRPr="00803AC8">
        <w:rPr>
          <w:b/>
          <w:color w:val="auto"/>
          <w:lang/>
        </w:rPr>
        <w:t xml:space="preserve"> 2</w:t>
      </w:r>
      <w:r w:rsidR="00711876" w:rsidRPr="00803AC8">
        <w:rPr>
          <w:b/>
          <w:color w:val="auto"/>
          <w:lang/>
        </w:rPr>
        <w:t xml:space="preserve"> -</w:t>
      </w:r>
      <w:r w:rsidR="002B5645" w:rsidRPr="00803AC8">
        <w:rPr>
          <w:b/>
          <w:color w:val="auto"/>
          <w:lang/>
        </w:rPr>
        <w:t xml:space="preserve"> </w:t>
      </w:r>
      <w:r w:rsidR="00BE2B29" w:rsidRPr="00803AC8">
        <w:rPr>
          <w:b/>
          <w:color w:val="auto"/>
          <w:lang/>
        </w:rPr>
        <w:t>Спречавање уношења имовине за коју се сумња да је стечена кривичним делом у финансијски систем и друге секторе, односно откривање и пријављивање већ унете имовине</w:t>
      </w:r>
    </w:p>
    <w:p w:rsidR="00BE2B29" w:rsidRPr="00803AC8" w:rsidRDefault="00BE2B29" w:rsidP="00BE2B29">
      <w:pPr>
        <w:jc w:val="center"/>
        <w:rPr>
          <w:b/>
          <w:color w:val="auto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2.1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Побољшање квалитета пријава које Управа</w:t>
            </w:r>
            <w:r w:rsidR="00711876" w:rsidRPr="00803AC8">
              <w:rPr>
                <w:b/>
                <w:color w:val="auto"/>
                <w:lang/>
              </w:rPr>
              <w:t xml:space="preserve"> за спречавање прања новца</w:t>
            </w:r>
            <w:r w:rsidRPr="00803AC8">
              <w:rPr>
                <w:b/>
                <w:color w:val="auto"/>
                <w:lang/>
              </w:rPr>
              <w:t xml:space="preserve"> прима од обвезника тако да се из њиховог садржаја могу извести корисни финансијскообавештајни подаци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 xml:space="preserve">Већи број квалитетних извештаја из приватног сектора допринеће квалитету извештаја које сачињавају Управа за спречавање прања новца и други надлежни органи, а нарочито у областима у којима је утврђен висок степен ризика. 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2.1.1. Унапредити смернице за пријављивање сумњивих трансакција у различитим секторима;</w:t>
            </w:r>
          </w:p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2.1.2. Утицати на обвезнике да побољшају механизме интерне контроле и извештавања;</w:t>
            </w:r>
          </w:p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2.1.3. Обавештавати обвезнике о квалитету њиховог извештавања и пружати им друге информације, попут информација из извештаја о националној процени ризика и других значајних докумената, како би унапредили своју ефикасност;</w:t>
            </w:r>
          </w:p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2.1.4. Анализирати систем за борбу против прања новца и финансирања тероризма у банкарском сектору, и утврдити и спровести стратегију јачања овог система;</w:t>
            </w:r>
          </w:p>
          <w:p w:rsidR="00E53C98" w:rsidRPr="00803AC8" w:rsidRDefault="00E53C98" w:rsidP="005E46F3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2.1.</w:t>
            </w:r>
            <w:r w:rsidR="005E46F3" w:rsidRPr="00803AC8">
              <w:rPr>
                <w:bCs/>
                <w:color w:val="auto"/>
                <w:lang w:eastAsia="en-GB"/>
              </w:rPr>
              <w:t>5</w:t>
            </w:r>
            <w:r w:rsidRPr="00803AC8">
              <w:rPr>
                <w:bCs/>
                <w:color w:val="auto"/>
                <w:lang w:eastAsia="en-GB"/>
              </w:rPr>
              <w:t>. Унапређивати услове за појачан приступ финансијским услугама и погодности њиховог коришћења.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532E14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2.2.</w:t>
            </w:r>
            <w:r w:rsidR="00BE2B29" w:rsidRPr="00803AC8">
              <w:rPr>
                <w:b/>
                <w:color w:val="auto"/>
                <w:lang/>
              </w:rPr>
              <w:t xml:space="preserve"> Спречавање злоупотребе финансијског и других сектора кроз мере познавања и праћења странке</w:t>
            </w:r>
          </w:p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>Извршиоци кривичних дела ће се</w:t>
            </w:r>
            <w:r w:rsidRPr="00803AC8">
              <w:rPr>
                <w:b/>
                <w:color w:val="auto"/>
                <w:lang/>
              </w:rPr>
              <w:t xml:space="preserve"> </w:t>
            </w:r>
            <w:r w:rsidRPr="00803AC8">
              <w:rPr>
                <w:color w:val="auto"/>
                <w:lang/>
              </w:rPr>
              <w:t>ефикасно спречавати у покушају злоупотребе финансијског и других сектора, али тако да се у најмањој могућој мери негативно утиче на пословање и на доступност услуга финансијског и других сектора корисницима. Органи који учествују у истрагама моћи ће брзо да дођу до информација које прикупљају обвезници у оквиру радњи и мера познавања и праћења странке. Стицање власништва над обвезницима и управљање њима биће искључиво у складу са стандардом подобности и поузданости (</w:t>
            </w:r>
            <w:r w:rsidR="00E33449" w:rsidRPr="00803AC8">
              <w:rPr>
                <w:color w:val="auto"/>
                <w:lang/>
              </w:rPr>
              <w:t>енг. „</w:t>
            </w:r>
            <w:r w:rsidR="004C68AF" w:rsidRPr="00803AC8">
              <w:rPr>
                <w:i/>
                <w:color w:val="auto"/>
                <w:lang/>
              </w:rPr>
              <w:t>fit</w:t>
            </w:r>
            <w:r w:rsidRPr="00803AC8">
              <w:rPr>
                <w:i/>
                <w:color w:val="auto"/>
                <w:lang/>
              </w:rPr>
              <w:t xml:space="preserve"> </w:t>
            </w:r>
            <w:r w:rsidR="004C68AF" w:rsidRPr="00803AC8">
              <w:rPr>
                <w:i/>
                <w:color w:val="auto"/>
                <w:lang/>
              </w:rPr>
              <w:t>and</w:t>
            </w:r>
            <w:r w:rsidRPr="00803AC8">
              <w:rPr>
                <w:i/>
                <w:color w:val="auto"/>
                <w:lang/>
              </w:rPr>
              <w:t xml:space="preserve"> </w:t>
            </w:r>
            <w:r w:rsidR="004C68AF" w:rsidRPr="00803AC8">
              <w:rPr>
                <w:i/>
                <w:color w:val="auto"/>
                <w:lang/>
              </w:rPr>
              <w:t>proper</w:t>
            </w:r>
            <w:r w:rsidR="005260E3" w:rsidRPr="00803AC8">
              <w:rPr>
                <w:i/>
                <w:color w:val="auto"/>
                <w:lang/>
              </w:rPr>
              <w:t>”</w:t>
            </w:r>
            <w:r w:rsidRPr="00803AC8">
              <w:rPr>
                <w:color w:val="auto"/>
                <w:lang/>
              </w:rPr>
              <w:t>).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E3344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2.2.1.</w:t>
            </w:r>
            <w:r w:rsidR="00BE2B29" w:rsidRPr="00803AC8">
              <w:rPr>
                <w:bCs/>
                <w:color w:val="auto"/>
                <w:lang w:eastAsia="en-GB"/>
              </w:rPr>
              <w:t xml:space="preserve"> Разрадити делотворне мере како би се обезбедило да обвезници поступају у складу са приступом заснованим на анализи и процени ризика;</w:t>
            </w:r>
          </w:p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2.2.2. Унапредити механизме познавања и праћења странке код обвезника;</w:t>
            </w:r>
          </w:p>
          <w:p w:rsidR="00BE2B29" w:rsidRPr="00803AC8" w:rsidRDefault="00BE2B29" w:rsidP="00BE2B29">
            <w:pPr>
              <w:numPr>
                <w:ilvl w:val="0"/>
                <w:numId w:val="9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2.2.3. Унапредити прописе који се односе на регистрацију привредних субјеката и невладиних организација и на стварно власништво, посебно у циљу повећања транспарентности власништва и једноставности приступа обвезника тим подацима</w:t>
            </w:r>
            <w:r w:rsidRPr="00803AC8">
              <w:rPr>
                <w:color w:val="auto"/>
                <w:lang/>
              </w:rPr>
              <w:t>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2.3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Унапређење рада органа који надзиру финансијске институције, нарочито банкарски сектор, и одређене делатности ван финансијског сектора  </w:t>
            </w:r>
          </w:p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Очекивани резултати:</w:t>
            </w:r>
            <w:r w:rsidRPr="00803AC8">
              <w:rPr>
                <w:color w:val="auto"/>
                <w:lang/>
              </w:rPr>
              <w:t xml:space="preserve"> Надзор</w:t>
            </w:r>
            <w:r w:rsidR="00714274" w:rsidRPr="00803AC8">
              <w:rPr>
                <w:color w:val="auto"/>
                <w:lang/>
              </w:rPr>
              <w:t>ни органи из Закона о спречавању</w:t>
            </w:r>
            <w:r w:rsidRPr="00803AC8">
              <w:rPr>
                <w:color w:val="auto"/>
                <w:lang/>
              </w:rPr>
              <w:t xml:space="preserve"> прања новца и финансирања тероризма врше надзор, праћење и регулисање рада финансијских институција и одређених делатности ван финансијског сектора сразмерно утврђеним ризицима за сваку делатност.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lastRenderedPageBreak/>
              <w:t>Мера 2.3.1. Трајно усклађивати надзор над применом Закона о спречавању прања новца и финансирања тероризма са националном проценом ризика;</w:t>
            </w:r>
          </w:p>
          <w:p w:rsidR="00BE2B29" w:rsidRPr="00803AC8" w:rsidRDefault="00BE2B2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2.3.2. Унапредити капацитет и способност надзорних органа у области спречавања прања новца и финансирања тероризма, нарочито за банкарски сектор, додатним ангажовањем запослених, очувањем кадровске основе и стручним усавршавањем;</w:t>
            </w:r>
          </w:p>
          <w:p w:rsidR="00BE2B29" w:rsidRPr="00803AC8" w:rsidRDefault="00BE2B2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2.3.3. Унапредити рад органа који врше надзор у другим секторима, попут рада мењачница, лица која пружају услуге преноса новца, учесника на тржишту капитала и хартија од вредности, у складу са проценом ризика у тим областима;</w:t>
            </w:r>
          </w:p>
          <w:p w:rsidR="00BE2B29" w:rsidRPr="00803AC8" w:rsidRDefault="00E3344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2.3.4.</w:t>
            </w:r>
            <w:r w:rsidR="00BE2B29" w:rsidRPr="00803AC8">
              <w:rPr>
                <w:bCs/>
                <w:color w:val="auto"/>
                <w:lang w:eastAsia="en-GB"/>
              </w:rPr>
              <w:t xml:space="preserve"> Унапредити рад органа који врше надзор над радом одређених физичких и правних лица ван финансијског сектора, попут рачу</w:t>
            </w:r>
            <w:r w:rsidRPr="00803AC8">
              <w:rPr>
                <w:bCs/>
                <w:color w:val="auto"/>
                <w:lang w:eastAsia="en-GB"/>
              </w:rPr>
              <w:t>н</w:t>
            </w:r>
            <w:r w:rsidR="00BE2B29" w:rsidRPr="00803AC8">
              <w:rPr>
                <w:bCs/>
                <w:color w:val="auto"/>
                <w:lang w:eastAsia="en-GB"/>
              </w:rPr>
              <w:t>овођа и ревизора, у складу са проценом ризика у тим областима;</w:t>
            </w:r>
          </w:p>
          <w:p w:rsidR="00BE2B29" w:rsidRPr="00803AC8" w:rsidRDefault="00BE2B2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2.3.5. Донети одговарајуће прописе и процедуре у области надзора, који су засновани на анализи и процени ризика, за све обвезнике у складу са међународним стандардима у конкретној области;</w:t>
            </w:r>
          </w:p>
          <w:p w:rsidR="00BE2B29" w:rsidRPr="00803AC8" w:rsidRDefault="00BE2B29" w:rsidP="00BE2B29">
            <w:pPr>
              <w:numPr>
                <w:ilvl w:val="0"/>
                <w:numId w:val="10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2.3.6. Преиспитати и по потреби унапредити постојећи систем санкционисања за непоступање у складу са Законом о спречавању прања новца и финансирања тероризма.</w:t>
            </w:r>
          </w:p>
        </w:tc>
      </w:tr>
    </w:tbl>
    <w:p w:rsidR="00BE2B29" w:rsidRDefault="00BE2B29" w:rsidP="00BE2B29">
      <w:pPr>
        <w:jc w:val="center"/>
        <w:rPr>
          <w:b/>
          <w:color w:val="auto"/>
          <w:lang/>
        </w:rPr>
      </w:pPr>
    </w:p>
    <w:p w:rsidR="00803AC8" w:rsidRPr="00803AC8" w:rsidRDefault="00803AC8" w:rsidP="00BE2B29">
      <w:pPr>
        <w:jc w:val="center"/>
        <w:rPr>
          <w:b/>
          <w:color w:val="auto"/>
          <w:lang/>
        </w:rPr>
      </w:pPr>
    </w:p>
    <w:p w:rsidR="00BE2B29" w:rsidRPr="00803AC8" w:rsidRDefault="00532E14" w:rsidP="00BE2B29">
      <w:pPr>
        <w:jc w:val="center"/>
        <w:rPr>
          <w:color w:val="auto"/>
          <w:lang/>
        </w:rPr>
      </w:pPr>
      <w:r w:rsidRPr="00803AC8">
        <w:rPr>
          <w:b/>
          <w:color w:val="auto"/>
          <w:lang/>
        </w:rPr>
        <w:t>Стратешка тема</w:t>
      </w:r>
      <w:r w:rsidR="00706478" w:rsidRPr="00803AC8">
        <w:rPr>
          <w:b/>
          <w:color w:val="auto"/>
          <w:lang/>
        </w:rPr>
        <w:t xml:space="preserve"> 3</w:t>
      </w:r>
      <w:r w:rsidR="00711876" w:rsidRPr="00803AC8">
        <w:rPr>
          <w:b/>
          <w:color w:val="auto"/>
          <w:lang/>
        </w:rPr>
        <w:t xml:space="preserve"> -</w:t>
      </w:r>
      <w:r w:rsidR="002B5645" w:rsidRPr="00803AC8">
        <w:rPr>
          <w:b/>
          <w:color w:val="auto"/>
          <w:lang/>
        </w:rPr>
        <w:t xml:space="preserve"> </w:t>
      </w:r>
      <w:r w:rsidR="00BE2B29" w:rsidRPr="00803AC8">
        <w:rPr>
          <w:b/>
          <w:color w:val="auto"/>
          <w:lang/>
        </w:rPr>
        <w:t>Уочавање</w:t>
      </w:r>
      <w:r w:rsidRPr="00803AC8">
        <w:rPr>
          <w:b/>
          <w:color w:val="auto"/>
          <w:lang/>
        </w:rPr>
        <w:t xml:space="preserve"> </w:t>
      </w:r>
      <w:r w:rsidR="00BE2B29" w:rsidRPr="00803AC8">
        <w:rPr>
          <w:b/>
          <w:color w:val="auto"/>
          <w:lang/>
        </w:rPr>
        <w:t>и отклањање претњи од прања новца и финансирања тероризма, кажњавање извршилаца кривичних дела и одузимање незаконито стечене имовине</w:t>
      </w:r>
    </w:p>
    <w:p w:rsidR="00BE2B29" w:rsidRPr="00803AC8" w:rsidRDefault="00BE2B29" w:rsidP="00BE2B29">
      <w:pPr>
        <w:jc w:val="center"/>
        <w:rPr>
          <w:color w:val="auto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3.1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Повећање броја случајева у којима је утврђен основ сумње на кривично дело прања новца или финансирања тероризма и по којима се поступа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>Унапредиће се квалитет информација и учесталост њихове размене. Случајеви прања новца и финансирања тероризма ће се откривати делотворније и ефикасније. То ће помоћи тужиоцима у утврђивању постојања елемената кривичног дела и обезбедити им доказе потребне за успешно гоњење.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3.1.1.</w:t>
            </w:r>
            <w:r w:rsidR="00BE2B29" w:rsidRPr="00803AC8">
              <w:rPr>
                <w:bCs/>
                <w:color w:val="auto"/>
                <w:lang w:eastAsia="en-GB"/>
              </w:rPr>
              <w:t xml:space="preserve"> Обезбедити</w:t>
            </w:r>
            <w:r w:rsidR="00711876" w:rsidRPr="00803AC8">
              <w:rPr>
                <w:bCs/>
                <w:color w:val="auto"/>
                <w:lang w:eastAsia="en-GB"/>
              </w:rPr>
              <w:t>,</w:t>
            </w:r>
            <w:r w:rsidR="00BE2B29" w:rsidRPr="00803AC8">
              <w:rPr>
                <w:bCs/>
                <w:color w:val="auto"/>
                <w:lang w:eastAsia="en-GB"/>
              </w:rPr>
              <w:t xml:space="preserve"> односно унапредити правни оквир за размену информација у конкретним случајевима прања новца или финансирања тероризма и претходних кривичних дела; </w:t>
            </w:r>
          </w:p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3.1.2.</w:t>
            </w:r>
            <w:r w:rsidR="00BE2B29" w:rsidRPr="00803AC8">
              <w:rPr>
                <w:bCs/>
                <w:color w:val="auto"/>
                <w:lang w:eastAsia="en-GB"/>
              </w:rPr>
              <w:t xml:space="preserve"> </w:t>
            </w:r>
            <w:r w:rsidR="00BE2B29" w:rsidRPr="00803AC8">
              <w:rPr>
                <w:bCs/>
                <w:color w:val="auto"/>
                <w:lang/>
              </w:rPr>
              <w:t>Обезбедити</w:t>
            </w:r>
            <w:r w:rsidR="00711876" w:rsidRPr="00803AC8">
              <w:rPr>
                <w:bCs/>
                <w:color w:val="auto"/>
                <w:lang/>
              </w:rPr>
              <w:t>,</w:t>
            </w:r>
            <w:r w:rsidR="00BE2B29" w:rsidRPr="00803AC8">
              <w:rPr>
                <w:bCs/>
                <w:color w:val="auto"/>
                <w:lang/>
              </w:rPr>
              <w:t xml:space="preserve"> односно јачати механизме сарадње и размене информација </w:t>
            </w:r>
            <w:r w:rsidR="00BE2B29" w:rsidRPr="00803AC8">
              <w:rPr>
                <w:bCs/>
                <w:color w:val="auto"/>
                <w:lang w:eastAsia="en-GB"/>
              </w:rPr>
              <w:t>у конкретним случајевима прања новца или финансирања тероризма и претходних кривичних дела, како на домаће</w:t>
            </w:r>
            <w:r w:rsidR="0075798C" w:rsidRPr="00803AC8">
              <w:rPr>
                <w:bCs/>
                <w:color w:val="auto"/>
                <w:lang w:eastAsia="en-GB"/>
              </w:rPr>
              <w:t>м тако и на међународном нивоу,</w:t>
            </w:r>
            <w:r w:rsidR="00BE2B29" w:rsidRPr="00803AC8">
              <w:rPr>
                <w:bCs/>
                <w:color w:val="auto"/>
                <w:lang/>
              </w:rPr>
              <w:t xml:space="preserve"> и утврђивати одговарајуће методологије;</w:t>
            </w:r>
          </w:p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3.1.3.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Обезбедити информационотехнолошке системе за размену информација у релевантним органима.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BE2B29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3.2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Унапређење свих фаза поступања у конкретним случајевима прања новца и финансирања тероризма од основа сумње до завршетка поступка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>Успешно ће се решити већи број случајева прања новца, посебно у вези са претходним кривичним делима утврђеним у националној процени ризика, и финансирања тероризма. Одузеће се више имовине стечене кривичним делом</w:t>
            </w:r>
            <w:r w:rsidR="00711876" w:rsidRPr="00803AC8">
              <w:rPr>
                <w:color w:val="auto"/>
                <w:lang/>
              </w:rPr>
              <w:t>,</w:t>
            </w:r>
            <w:r w:rsidRPr="00803AC8">
              <w:rPr>
                <w:color w:val="auto"/>
                <w:lang/>
              </w:rPr>
              <w:t xml:space="preserve"> односно више имовине намењене финансирању тероризма.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/>
              </w:rPr>
              <w:lastRenderedPageBreak/>
              <w:t>Мера 3.2.1.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Образовати заједничке радне групе које ће се бавити посебно великим предметима и областима високог степена приоритета;</w:t>
            </w:r>
          </w:p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3.2.2.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Разрадити механизме поверавања задатака и координације између надлежних органа у заједничким радним групама и радним тимовима; </w:t>
            </w:r>
          </w:p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3.2.3.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Утврђивати приоритете, у складу са националном проценом ризика, кроз међусобну сарадњу надлежних државних органа који учествују у истрагама кривичних дела прања новца и финансирања тероризма</w:t>
            </w:r>
            <w:r w:rsidR="002C112E" w:rsidRPr="00803AC8">
              <w:rPr>
                <w:rFonts w:eastAsia="Times New Roman"/>
                <w:color w:val="auto"/>
                <w:lang/>
              </w:rPr>
              <w:t>,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односно прикупљању обавештајних података;</w:t>
            </w:r>
          </w:p>
          <w:p w:rsidR="00BE2B29" w:rsidRPr="00803AC8" w:rsidRDefault="00E33449" w:rsidP="00BE2B29">
            <w:pPr>
              <w:numPr>
                <w:ilvl w:val="0"/>
                <w:numId w:val="11"/>
              </w:numPr>
              <w:contextualSpacing/>
              <w:jc w:val="both"/>
              <w:rPr>
                <w:color w:val="auto"/>
                <w:lang/>
              </w:rPr>
            </w:pPr>
            <w:r w:rsidRPr="00803AC8">
              <w:rPr>
                <w:rFonts w:eastAsia="Times New Roman"/>
                <w:color w:val="auto"/>
                <w:lang/>
              </w:rPr>
              <w:t>Мера 3.2.4.</w:t>
            </w:r>
            <w:r w:rsidR="00BE2B29" w:rsidRPr="00803AC8">
              <w:rPr>
                <w:rFonts w:eastAsia="Times New Roman"/>
                <w:color w:val="auto"/>
                <w:lang/>
              </w:rPr>
              <w:t xml:space="preserve"> Анализом финансијскообавештајног циклуса и рада на п</w:t>
            </w:r>
            <w:r w:rsidR="002C112E" w:rsidRPr="00803AC8">
              <w:rPr>
                <w:rFonts w:eastAsia="Times New Roman"/>
                <w:color w:val="auto"/>
                <w:lang/>
              </w:rPr>
              <w:t>редмету побољшати праксу у раду;</w:t>
            </w:r>
          </w:p>
          <w:p w:rsidR="00426A0C" w:rsidRPr="00803AC8" w:rsidRDefault="00426A0C" w:rsidP="00994AAE">
            <w:pPr>
              <w:numPr>
                <w:ilvl w:val="0"/>
                <w:numId w:val="11"/>
              </w:numPr>
              <w:jc w:val="both"/>
              <w:rPr>
                <w:color w:val="auto"/>
                <w:lang/>
              </w:rPr>
            </w:pPr>
            <w:r w:rsidRPr="00803AC8">
              <w:rPr>
                <w:color w:val="auto"/>
                <w:lang/>
              </w:rPr>
              <w:t>Мера 3.2.5.</w:t>
            </w:r>
            <w:r w:rsidRPr="00803AC8">
              <w:rPr>
                <w:i/>
                <w:color w:val="auto"/>
                <w:lang/>
              </w:rPr>
              <w:t xml:space="preserve"> </w:t>
            </w:r>
            <w:r w:rsidRPr="00803AC8">
              <w:rPr>
                <w:color w:val="auto"/>
                <w:lang/>
              </w:rPr>
              <w:t>Предвидети ефикасне и свеобухватне процедуре за статистичко праћење (мерење) стања у свим фазама поступка, од основа сумње до завршетка поступка;</w:t>
            </w:r>
          </w:p>
          <w:p w:rsidR="00426A0C" w:rsidRPr="00803AC8" w:rsidRDefault="00426A0C" w:rsidP="00426A0C">
            <w:pPr>
              <w:numPr>
                <w:ilvl w:val="0"/>
                <w:numId w:val="11"/>
              </w:numPr>
              <w:contextualSpacing/>
              <w:jc w:val="both"/>
              <w:rPr>
                <w:color w:val="auto"/>
                <w:lang/>
              </w:rPr>
            </w:pPr>
            <w:r w:rsidRPr="00803AC8">
              <w:rPr>
                <w:color w:val="auto"/>
                <w:lang/>
              </w:rPr>
              <w:t>Мера 3.2.6.</w:t>
            </w:r>
            <w:r w:rsidRPr="00803AC8">
              <w:rPr>
                <w:i/>
                <w:color w:val="auto"/>
                <w:lang/>
              </w:rPr>
              <w:t xml:space="preserve"> </w:t>
            </w:r>
            <w:r w:rsidRPr="00803AC8">
              <w:rPr>
                <w:color w:val="auto"/>
                <w:lang/>
              </w:rPr>
              <w:t>У активностима откривања и гоњења за кривична дела финансијског криминала прерасподелити ресурсе у смеру разумевања и откривања кривичног дела прања новца и утврдити показатеље успешности.</w:t>
            </w:r>
          </w:p>
        </w:tc>
      </w:tr>
      <w:tr w:rsidR="000A4C7D" w:rsidRPr="00803AC8" w:rsidTr="00E33449">
        <w:trPr>
          <w:trHeight w:val="196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4C7D" w:rsidRPr="00803AC8" w:rsidRDefault="000A4C7D" w:rsidP="000A4C7D">
            <w:pPr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3.3</w:t>
            </w:r>
            <w:r w:rsidR="00532E14" w:rsidRPr="00803AC8">
              <w:rPr>
                <w:b/>
                <w:color w:val="auto"/>
                <w:lang/>
              </w:rPr>
              <w:t>.</w:t>
            </w:r>
            <w:r w:rsidRPr="00803AC8">
              <w:rPr>
                <w:b/>
                <w:color w:val="auto"/>
                <w:lang/>
              </w:rPr>
              <w:t xml:space="preserve"> Унапређење капацитета Управе за спречавање прања новца</w:t>
            </w:r>
          </w:p>
          <w:p w:rsidR="000A4C7D" w:rsidRPr="00803AC8" w:rsidRDefault="000A4C7D" w:rsidP="00CB3258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>Унапредиће се брзина и учесталост размене информација, квалитет анализа у Управи</w:t>
            </w:r>
            <w:r w:rsidR="002C112E" w:rsidRPr="00803AC8">
              <w:rPr>
                <w:color w:val="auto"/>
                <w:lang/>
              </w:rPr>
              <w:t xml:space="preserve"> за спречавање прања новца</w:t>
            </w:r>
            <w:r w:rsidRPr="00803AC8">
              <w:rPr>
                <w:color w:val="auto"/>
                <w:lang/>
              </w:rPr>
              <w:t xml:space="preserve"> из којих ће други надлежни органи и органи страних држава моћи извлачити корисне информације за поступке из њихове надлежности. Статистичко праћење и мерење одређених елемената у сарадњи и размени информација омогућиће боље разумевање квалитета и трендова у сарадњи и одговарајуће кориговање механизама сарадње.</w:t>
            </w:r>
          </w:p>
          <w:p w:rsidR="000A4C7D" w:rsidRPr="00803AC8" w:rsidRDefault="000A4C7D" w:rsidP="000A4C7D">
            <w:pPr>
              <w:rPr>
                <w:b/>
                <w:color w:val="auto"/>
                <w:lang/>
              </w:rPr>
            </w:pPr>
          </w:p>
        </w:tc>
      </w:tr>
      <w:tr w:rsidR="000A4C7D" w:rsidRPr="00803AC8" w:rsidTr="000A4C7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C7D" w:rsidRPr="00803AC8" w:rsidRDefault="000A4C7D" w:rsidP="000A4C7D">
            <w:pPr>
              <w:numPr>
                <w:ilvl w:val="0"/>
                <w:numId w:val="11"/>
              </w:numPr>
              <w:rPr>
                <w:color w:val="auto"/>
                <w:lang/>
              </w:rPr>
            </w:pPr>
            <w:r w:rsidRPr="00803AC8">
              <w:rPr>
                <w:color w:val="auto"/>
                <w:lang/>
              </w:rPr>
              <w:t>Мера 3.3.1. Унапредити ресурсе у Управи</w:t>
            </w:r>
            <w:r w:rsidR="002C112E" w:rsidRPr="00803AC8">
              <w:rPr>
                <w:color w:val="auto"/>
                <w:lang/>
              </w:rPr>
              <w:t xml:space="preserve"> за спречавање прања новца</w:t>
            </w:r>
            <w:r w:rsidR="00677245" w:rsidRPr="00803AC8">
              <w:rPr>
                <w:color w:val="auto"/>
                <w:lang/>
              </w:rPr>
              <w:t>;</w:t>
            </w:r>
          </w:p>
          <w:p w:rsidR="000A4C7D" w:rsidRPr="00803AC8" w:rsidRDefault="000A4C7D" w:rsidP="000A4C7D">
            <w:pPr>
              <w:numPr>
                <w:ilvl w:val="0"/>
                <w:numId w:val="11"/>
              </w:numPr>
              <w:rPr>
                <w:b/>
                <w:color w:val="auto"/>
                <w:lang/>
              </w:rPr>
            </w:pPr>
            <w:r w:rsidRPr="00803AC8">
              <w:rPr>
                <w:color w:val="auto"/>
                <w:lang/>
              </w:rPr>
              <w:t>Мера 3.3.2. Унапредити пословне процесе у Управи</w:t>
            </w:r>
            <w:r w:rsidR="002C112E" w:rsidRPr="00803AC8">
              <w:rPr>
                <w:color w:val="auto"/>
                <w:lang/>
              </w:rPr>
              <w:t xml:space="preserve"> за спречавање прања новца</w:t>
            </w:r>
            <w:r w:rsidR="00677245" w:rsidRPr="00803AC8">
              <w:rPr>
                <w:color w:val="auto"/>
                <w:lang/>
              </w:rPr>
              <w:t>.</w:t>
            </w:r>
          </w:p>
        </w:tc>
      </w:tr>
    </w:tbl>
    <w:p w:rsidR="00E52F93" w:rsidRPr="00803AC8" w:rsidRDefault="00E52F93" w:rsidP="00CB3258">
      <w:pPr>
        <w:jc w:val="center"/>
        <w:rPr>
          <w:b/>
          <w:color w:val="auto"/>
          <w:lang/>
        </w:rPr>
      </w:pPr>
    </w:p>
    <w:p w:rsidR="00BE2B29" w:rsidRPr="00803AC8" w:rsidRDefault="00532E14" w:rsidP="00BE2B29">
      <w:pPr>
        <w:jc w:val="center"/>
        <w:rPr>
          <w:b/>
          <w:color w:val="auto"/>
          <w:lang/>
        </w:rPr>
      </w:pPr>
      <w:r w:rsidRPr="00803AC8">
        <w:rPr>
          <w:b/>
          <w:color w:val="auto"/>
          <w:lang/>
        </w:rPr>
        <w:t>Стратешка тема</w:t>
      </w:r>
      <w:r w:rsidR="00706478" w:rsidRPr="00803AC8">
        <w:rPr>
          <w:b/>
          <w:color w:val="auto"/>
          <w:lang/>
        </w:rPr>
        <w:t xml:space="preserve"> 4</w:t>
      </w:r>
      <w:r w:rsidR="002C112E" w:rsidRPr="00803AC8">
        <w:rPr>
          <w:b/>
          <w:color w:val="auto"/>
          <w:lang/>
        </w:rPr>
        <w:t xml:space="preserve"> -</w:t>
      </w:r>
      <w:r w:rsidR="002B5645" w:rsidRPr="00803AC8">
        <w:rPr>
          <w:b/>
          <w:color w:val="auto"/>
          <w:lang/>
        </w:rPr>
        <w:t xml:space="preserve"> </w:t>
      </w:r>
      <w:r w:rsidR="00BE2B29" w:rsidRPr="00803AC8">
        <w:rPr>
          <w:b/>
          <w:color w:val="auto"/>
          <w:lang/>
        </w:rPr>
        <w:t>Квалификовани кадрови оспособљени за делотворно учешће у свим сегментима система за борбу против прања новца и финансирања тероризма и разумевање у јавности улоге и планова надлежних органа</w:t>
      </w:r>
    </w:p>
    <w:p w:rsidR="00BE2B29" w:rsidRPr="00803AC8" w:rsidRDefault="00BE2B29" w:rsidP="00BE2B29">
      <w:pPr>
        <w:jc w:val="center"/>
        <w:rPr>
          <w:color w:val="auto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532E14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Циљ 4.1.</w:t>
            </w:r>
            <w:r w:rsidR="00BE2B29" w:rsidRPr="00803AC8">
              <w:rPr>
                <w:b/>
                <w:color w:val="auto"/>
                <w:lang/>
              </w:rPr>
              <w:t xml:space="preserve"> Обука и стручно усавршавање учесника у систему борбе против прања новца и финансирања тероризма за стицање теоретских и практичних знања и вештина и за њихову адекватну примену у оквиру својих овлашћења и надлежности</w:t>
            </w:r>
          </w:p>
          <w:p w:rsidR="00BE2B29" w:rsidRPr="00803AC8" w:rsidRDefault="00BE2B29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>Очекивани резултати:</w:t>
            </w:r>
            <w:r w:rsidRPr="00803AC8">
              <w:rPr>
                <w:color w:val="auto"/>
                <w:lang/>
              </w:rPr>
              <w:t xml:space="preserve"> Учесници у систему ће користити стечена знања и вештине у циљу делотворног и ефикасног ангажовања у превентивном и репресивном делу система за борбу против прања новца и финансирања тероризма. 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E33449" w:rsidP="00BE2B29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auto"/>
                <w:lang/>
              </w:rPr>
            </w:pPr>
            <w:r w:rsidRPr="00803AC8">
              <w:rPr>
                <w:bCs/>
                <w:color w:val="auto"/>
                <w:lang/>
              </w:rPr>
              <w:t>Мера 4.1.1.</w:t>
            </w:r>
            <w:r w:rsidR="00BE2B29" w:rsidRPr="00803AC8">
              <w:rPr>
                <w:bCs/>
                <w:color w:val="auto"/>
                <w:lang/>
              </w:rPr>
              <w:t xml:space="preserve"> Побољшати капацитете учесника у систему борбе против прања новца и финансирања тероризма доношењем стратегије обуке и стручног усавршавања; </w:t>
            </w:r>
          </w:p>
          <w:p w:rsidR="00BE2B29" w:rsidRPr="00803AC8" w:rsidRDefault="00E33449" w:rsidP="00BE2B2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color w:val="auto"/>
                <w:lang/>
              </w:rPr>
            </w:pPr>
            <w:r w:rsidRPr="00803AC8">
              <w:rPr>
                <w:bCs/>
                <w:color w:val="auto"/>
                <w:lang/>
              </w:rPr>
              <w:t>Мера 4.1.2.</w:t>
            </w:r>
            <w:r w:rsidR="00BE2B29" w:rsidRPr="00803AC8">
              <w:rPr>
                <w:bCs/>
                <w:color w:val="auto"/>
                <w:lang/>
              </w:rPr>
              <w:t xml:space="preserve"> Развити центар за обуку у циљу пружања обуке и координације обуке у области борбе против прања новца и финансирања тероризма;</w:t>
            </w:r>
          </w:p>
          <w:p w:rsidR="00BE2B29" w:rsidRPr="00803AC8" w:rsidRDefault="00470A95" w:rsidP="00BE2B2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color w:val="auto"/>
                <w:lang/>
              </w:rPr>
            </w:pPr>
            <w:r w:rsidRPr="00803AC8">
              <w:rPr>
                <w:bCs/>
                <w:color w:val="auto"/>
                <w:lang/>
              </w:rPr>
              <w:t xml:space="preserve">Мера </w:t>
            </w:r>
            <w:r w:rsidR="00E33449" w:rsidRPr="00803AC8">
              <w:rPr>
                <w:bCs/>
                <w:color w:val="auto"/>
                <w:lang/>
              </w:rPr>
              <w:t>4.1.3.</w:t>
            </w:r>
            <w:r w:rsidR="00BE2B29" w:rsidRPr="00803AC8">
              <w:rPr>
                <w:bCs/>
                <w:color w:val="auto"/>
                <w:lang/>
              </w:rPr>
              <w:t xml:space="preserve"> Искуства и најбоље праксе у раду на предметима учинити доступним што ширем броју запослених у надлежним државним органима који су ангажовани на предметима спречавања, откривања и кажњавања за кривично </w:t>
            </w:r>
            <w:r w:rsidR="00BE2B29" w:rsidRPr="00803AC8">
              <w:rPr>
                <w:bCs/>
                <w:color w:val="auto"/>
                <w:lang/>
              </w:rPr>
              <w:lastRenderedPageBreak/>
              <w:t>дело прања новца и повезана кривична дела;</w:t>
            </w:r>
          </w:p>
          <w:p w:rsidR="00BE2B29" w:rsidRPr="00803AC8" w:rsidRDefault="00E33449" w:rsidP="00BE2B2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color w:val="auto"/>
                <w:lang/>
              </w:rPr>
            </w:pPr>
            <w:r w:rsidRPr="00803AC8">
              <w:rPr>
                <w:bCs/>
                <w:color w:val="auto"/>
                <w:lang/>
              </w:rPr>
              <w:t>Мера 4.1.4.</w:t>
            </w:r>
            <w:r w:rsidR="00BE2B29" w:rsidRPr="00803AC8">
              <w:rPr>
                <w:bCs/>
                <w:color w:val="auto"/>
                <w:lang/>
              </w:rPr>
              <w:t xml:space="preserve"> Обучавати запослене у надлежним државним органима о правним основима сарадње и размене информација и механизмима за њихову практичну примену;</w:t>
            </w:r>
          </w:p>
          <w:p w:rsidR="00BE2B29" w:rsidRPr="00803AC8" w:rsidRDefault="00BE2B29" w:rsidP="00BE2B29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auto"/>
                <w:lang/>
              </w:rPr>
            </w:pPr>
            <w:r w:rsidRPr="00803AC8">
              <w:rPr>
                <w:bCs/>
                <w:color w:val="auto"/>
                <w:lang/>
              </w:rPr>
              <w:t>Мера 4.1.5. Нарочито ширити знања у области финансирања тероризма и финансирања ширења оружја за масовно уништење.</w:t>
            </w:r>
          </w:p>
        </w:tc>
      </w:tr>
      <w:tr w:rsidR="00BE2B29" w:rsidRPr="00803AC8" w:rsidTr="00BE2B29">
        <w:trPr>
          <w:trHeight w:val="37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2B29" w:rsidRPr="00803AC8" w:rsidRDefault="00532E14">
            <w:pPr>
              <w:jc w:val="both"/>
              <w:rPr>
                <w:b/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lastRenderedPageBreak/>
              <w:t>Циљ 4.2.</w:t>
            </w:r>
            <w:r w:rsidR="00BE2B29" w:rsidRPr="00803AC8">
              <w:rPr>
                <w:b/>
                <w:color w:val="auto"/>
                <w:lang/>
              </w:rPr>
              <w:t xml:space="preserve"> Јачање свести код стручне и шире јавности о појавама прања новца и финансирања тероризма, мерама које држава предузима у борби против тих појава и улогама надлежних државних органа. </w:t>
            </w:r>
          </w:p>
          <w:p w:rsidR="00BE2B29" w:rsidRPr="00803AC8" w:rsidRDefault="00BE2B29" w:rsidP="00803AC8">
            <w:pPr>
              <w:jc w:val="both"/>
              <w:rPr>
                <w:color w:val="auto"/>
                <w:lang/>
              </w:rPr>
            </w:pPr>
            <w:r w:rsidRPr="00803AC8">
              <w:rPr>
                <w:b/>
                <w:color w:val="auto"/>
                <w:lang/>
              </w:rPr>
              <w:t xml:space="preserve">Очекивани резултати: </w:t>
            </w:r>
            <w:r w:rsidRPr="00803AC8">
              <w:rPr>
                <w:color w:val="auto"/>
                <w:lang/>
              </w:rPr>
              <w:t>Већи интерес и стручнији академски радови, медијски написи, компетентније истраживачко новинарство и свакодневно информисање грађана о темама прања новца и финансирања тероризма.</w:t>
            </w:r>
            <w:r w:rsidRPr="00803AC8">
              <w:rPr>
                <w:b/>
                <w:color w:val="auto"/>
                <w:lang/>
              </w:rPr>
              <w:t xml:space="preserve"> </w:t>
            </w:r>
          </w:p>
        </w:tc>
      </w:tr>
      <w:tr w:rsidR="00BE2B29" w:rsidRPr="00803AC8" w:rsidTr="00BE2B2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B29" w:rsidRPr="00803AC8" w:rsidRDefault="00BE2B29" w:rsidP="00BE2B2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>Мера 4.2.1. Редовно информисати заинтересовану јавност о трендовима и типологијама прања новца и финансирања тероризма и раду надлежних државних органа на спречавању и откривању прањ</w:t>
            </w:r>
            <w:r w:rsidR="00E53C98" w:rsidRPr="00803AC8">
              <w:rPr>
                <w:bCs/>
                <w:color w:val="auto"/>
                <w:lang w:eastAsia="en-GB"/>
              </w:rPr>
              <w:t>а новца и финансирања тероризма;</w:t>
            </w:r>
          </w:p>
          <w:p w:rsidR="00E53C98" w:rsidRPr="00803AC8" w:rsidRDefault="00E53C98" w:rsidP="00BE2B29">
            <w:pPr>
              <w:numPr>
                <w:ilvl w:val="0"/>
                <w:numId w:val="12"/>
              </w:numPr>
              <w:contextualSpacing/>
              <w:jc w:val="both"/>
              <w:rPr>
                <w:bCs/>
                <w:color w:val="auto"/>
                <w:lang w:eastAsia="en-GB"/>
              </w:rPr>
            </w:pPr>
            <w:r w:rsidRPr="00803AC8">
              <w:rPr>
                <w:bCs/>
                <w:color w:val="auto"/>
                <w:lang w:eastAsia="en-GB"/>
              </w:rPr>
              <w:t xml:space="preserve">Мера 4.2.2. </w:t>
            </w:r>
            <w:r w:rsidRPr="00803AC8">
              <w:rPr>
                <w:bCs/>
                <w:lang/>
              </w:rPr>
              <w:t>Редовно на примерен начин информисати све субјекте на које се односе одредбе прописа који имају утицај на област борбе против прања новца и финансирања тероризма о свим битним питањима.</w:t>
            </w:r>
          </w:p>
        </w:tc>
      </w:tr>
    </w:tbl>
    <w:p w:rsidR="00BE2B29" w:rsidRPr="00803AC8" w:rsidRDefault="00BE2B29" w:rsidP="00BE2B29">
      <w:pPr>
        <w:rPr>
          <w:b/>
          <w:color w:val="auto"/>
          <w:lang/>
        </w:rPr>
      </w:pPr>
    </w:p>
    <w:p w:rsidR="002B5645" w:rsidRPr="00803AC8" w:rsidRDefault="002B5645" w:rsidP="002B5645">
      <w:pPr>
        <w:ind w:firstLine="504"/>
        <w:jc w:val="center"/>
        <w:rPr>
          <w:bCs/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3. </w:t>
      </w:r>
      <w:r w:rsidRPr="00803AC8">
        <w:rPr>
          <w:bCs/>
          <w:color w:val="auto"/>
          <w:kern w:val="0"/>
          <w:lang/>
        </w:rPr>
        <w:t>УЧЕСНИЦИ У СИСТЕМУ БОРБЕ ПРОТИВ ПРАЊА НОВЦА И ФИНАНСИРАЊА ТЕРОРИЗМА</w:t>
      </w:r>
    </w:p>
    <w:p w:rsidR="00BE2B29" w:rsidRPr="00803AC8" w:rsidRDefault="00BE2B29" w:rsidP="00803AC8">
      <w:pPr>
        <w:autoSpaceDE w:val="0"/>
        <w:autoSpaceDN w:val="0"/>
        <w:adjustRightInd w:val="0"/>
        <w:ind w:left="0"/>
        <w:jc w:val="both"/>
        <w:rPr>
          <w:color w:val="auto"/>
          <w:kern w:val="0"/>
          <w:lang/>
        </w:rPr>
      </w:pPr>
    </w:p>
    <w:p w:rsidR="00351794" w:rsidRPr="00803AC8" w:rsidRDefault="00351794" w:rsidP="00803AC8">
      <w:pPr>
        <w:ind w:left="0" w:firstLine="720"/>
        <w:jc w:val="both"/>
        <w:rPr>
          <w:lang/>
        </w:rPr>
      </w:pPr>
      <w:r w:rsidRPr="00803AC8">
        <w:rPr>
          <w:b/>
          <w:color w:val="auto"/>
          <w:kern w:val="0"/>
          <w:lang/>
        </w:rPr>
        <w:t>Управа за спречавање прања новца</w:t>
      </w:r>
      <w:r w:rsidRPr="00803AC8">
        <w:rPr>
          <w:color w:val="auto"/>
          <w:kern w:val="0"/>
          <w:lang/>
        </w:rPr>
        <w:t xml:space="preserve"> (у даљем тексту: Управа) је орган управе у саставу Министарства</w:t>
      </w:r>
      <w:r w:rsidR="005D58F1" w:rsidRPr="00803AC8">
        <w:rPr>
          <w:color w:val="auto"/>
          <w:kern w:val="0"/>
          <w:lang/>
        </w:rPr>
        <w:t xml:space="preserve"> финансија</w:t>
      </w:r>
      <w:r w:rsidRPr="00803AC8">
        <w:rPr>
          <w:color w:val="auto"/>
          <w:kern w:val="0"/>
          <w:lang/>
        </w:rPr>
        <w:t xml:space="preserve">. Управа је члан Егмонт групе од 2003. године. </w:t>
      </w:r>
      <w:r w:rsidRPr="00803AC8">
        <w:rPr>
          <w:lang/>
        </w:rPr>
        <w:t xml:space="preserve">На основу Закона о спречавању прања новца и финансирања тероризма </w:t>
      </w:r>
      <w:r w:rsidR="00470A95" w:rsidRPr="00803AC8">
        <w:rPr>
          <w:lang/>
        </w:rPr>
        <w:t>(„Службени гласник РС</w:t>
      </w:r>
      <w:r w:rsidR="005260E3" w:rsidRPr="00803AC8">
        <w:rPr>
          <w:color w:val="auto"/>
          <w:kern w:val="0"/>
          <w:lang/>
        </w:rPr>
        <w:t>”</w:t>
      </w:r>
      <w:r w:rsidR="00FE7235" w:rsidRPr="00803AC8">
        <w:rPr>
          <w:lang/>
        </w:rPr>
        <w:t>, бр. 20/09, 72/09,</w:t>
      </w:r>
      <w:r w:rsidRPr="00803AC8">
        <w:rPr>
          <w:lang/>
        </w:rPr>
        <w:t xml:space="preserve"> 91/10</w:t>
      </w:r>
      <w:r w:rsidR="00FE7235" w:rsidRPr="00803AC8">
        <w:rPr>
          <w:lang/>
        </w:rPr>
        <w:t xml:space="preserve"> и 139/14 -</w:t>
      </w:r>
      <w:r w:rsidRPr="00803AC8">
        <w:rPr>
          <w:lang/>
        </w:rPr>
        <w:t xml:space="preserve"> у даљем тексту: Закон), Управа обавља финансијско-информационе послове: прикупља, обрађује и анализира информације, податке и документацију коју добија од обвезника из члана 4. Закона</w:t>
      </w:r>
      <w:r w:rsidR="005260E3" w:rsidRPr="00803AC8">
        <w:rPr>
          <w:lang/>
        </w:rPr>
        <w:t xml:space="preserve">, надлежних државних органа, као и од </w:t>
      </w:r>
      <w:r w:rsidRPr="00803AC8">
        <w:rPr>
          <w:lang/>
        </w:rPr>
        <w:t>органа</w:t>
      </w:r>
      <w:r w:rsidR="005260E3" w:rsidRPr="00803AC8">
        <w:rPr>
          <w:lang/>
        </w:rPr>
        <w:t xml:space="preserve"> надлежних за спречавање прања новца других држава</w:t>
      </w:r>
      <w:r w:rsidRPr="00803AC8">
        <w:rPr>
          <w:lang/>
        </w:rPr>
        <w:t>.</w:t>
      </w:r>
    </w:p>
    <w:p w:rsidR="00351794" w:rsidRPr="00803AC8" w:rsidRDefault="00351794" w:rsidP="00803AC8">
      <w:pPr>
        <w:autoSpaceDE w:val="0"/>
        <w:autoSpaceDN w:val="0"/>
        <w:adjustRightInd w:val="0"/>
        <w:ind w:left="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 </w:t>
      </w:r>
      <w:r w:rsidRPr="00803AC8">
        <w:rPr>
          <w:color w:val="auto"/>
          <w:kern w:val="0"/>
          <w:lang/>
        </w:rPr>
        <w:tab/>
        <w:t xml:space="preserve">У погледу откривања прања новца и финансирања тероризма, Управа може да:  </w:t>
      </w:r>
    </w:p>
    <w:p w:rsidR="00351794" w:rsidRPr="00803AC8" w:rsidRDefault="00351794" w:rsidP="00803AC8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- тражи податке од обвезника и адвоката када процени да постоји сумња у постојање кривичног дела прања новца и финансирања тероризм</w:t>
      </w:r>
      <w:r w:rsidR="00F3400F" w:rsidRPr="00803AC8">
        <w:rPr>
          <w:color w:val="auto"/>
          <w:kern w:val="0"/>
          <w:lang/>
        </w:rPr>
        <w:t>а</w:t>
      </w:r>
      <w:r w:rsidRPr="00803AC8">
        <w:rPr>
          <w:color w:val="auto"/>
          <w:kern w:val="0"/>
          <w:lang/>
        </w:rPr>
        <w:t xml:space="preserve">; </w:t>
      </w:r>
    </w:p>
    <w:p w:rsidR="00351794" w:rsidRPr="00803AC8" w:rsidRDefault="00351794" w:rsidP="00803AC8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тражи податке од надлежних државних органа у Републици Србији; </w:t>
      </w:r>
    </w:p>
    <w:p w:rsidR="00351794" w:rsidRPr="00803AC8" w:rsidRDefault="00351794" w:rsidP="00803AC8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издаје писане налоге обвезницима да привремено обуставе трансакције када постоји сумња у прање новца или финансирање тероризма или налоге за праћење трансакција и пословних активности клијента; </w:t>
      </w:r>
    </w:p>
    <w:p w:rsidR="00351794" w:rsidRPr="00803AC8" w:rsidRDefault="00351794" w:rsidP="00351794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прослеђује податке надлежним државним органима; даје одговоре обвезницима, адвокатима и државним органима; </w:t>
      </w:r>
    </w:p>
    <w:p w:rsidR="00351794" w:rsidRPr="00803AC8" w:rsidRDefault="00351794" w:rsidP="00351794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- сарађује са стр</w:t>
      </w:r>
      <w:r w:rsidR="00FE7235" w:rsidRPr="00803AC8">
        <w:rPr>
          <w:color w:val="auto"/>
          <w:kern w:val="0"/>
          <w:lang/>
        </w:rPr>
        <w:t>аним државама</w:t>
      </w:r>
      <w:r w:rsidRPr="00803AC8">
        <w:rPr>
          <w:color w:val="auto"/>
          <w:kern w:val="0"/>
          <w:lang/>
        </w:rPr>
        <w:t>.</w:t>
      </w:r>
    </w:p>
    <w:p w:rsidR="00351794" w:rsidRPr="00803AC8" w:rsidRDefault="00351794" w:rsidP="00351794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Улога Управе у спречавању прања новца и финансирања тероризма (у даљем тексту: ПН/ФТ) обухвата следеће елементе: надзор над применом одредаба Закона</w:t>
      </w:r>
      <w:r w:rsidR="009F3E68" w:rsidRPr="00803AC8">
        <w:rPr>
          <w:color w:val="auto"/>
          <w:kern w:val="0"/>
          <w:lang/>
        </w:rPr>
        <w:t xml:space="preserve"> и предузимање радњи и мера у циљу</w:t>
      </w:r>
      <w:r w:rsidRPr="00803AC8">
        <w:rPr>
          <w:color w:val="auto"/>
          <w:kern w:val="0"/>
          <w:lang/>
        </w:rPr>
        <w:t xml:space="preserve"> отклањања уочених недостатака,</w:t>
      </w:r>
      <w:r w:rsidR="009F3E68" w:rsidRPr="00803AC8">
        <w:rPr>
          <w:color w:val="auto"/>
          <w:kern w:val="0"/>
          <w:lang/>
        </w:rPr>
        <w:t xml:space="preserve"> подношење</w:t>
      </w:r>
      <w:r w:rsidR="00AB2A50" w:rsidRPr="00803AC8">
        <w:rPr>
          <w:color w:val="auto"/>
          <w:kern w:val="0"/>
          <w:lang/>
        </w:rPr>
        <w:t xml:space="preserve"> предлога м</w:t>
      </w:r>
      <w:r w:rsidRPr="00803AC8">
        <w:rPr>
          <w:color w:val="auto"/>
          <w:kern w:val="0"/>
          <w:lang/>
        </w:rPr>
        <w:t xml:space="preserve">инистру за измене </w:t>
      </w:r>
      <w:r w:rsidR="009F3E68" w:rsidRPr="00803AC8">
        <w:rPr>
          <w:color w:val="auto"/>
          <w:kern w:val="0"/>
          <w:lang/>
        </w:rPr>
        <w:t>и допуне Закона и</w:t>
      </w:r>
      <w:r w:rsidRPr="00803AC8">
        <w:rPr>
          <w:color w:val="auto"/>
          <w:kern w:val="0"/>
          <w:lang/>
        </w:rPr>
        <w:t xml:space="preserve"> подзаконских аката који регулишу спречавање и препознавање ПН/ФТ, учествовање у изради листе индикатора за препознавање трансакција које наводе на сумњу да се ради о ПН/ФТ, израду закона и подзаконских </w:t>
      </w:r>
      <w:r w:rsidRPr="00803AC8">
        <w:rPr>
          <w:color w:val="auto"/>
          <w:kern w:val="0"/>
          <w:lang/>
        </w:rPr>
        <w:lastRenderedPageBreak/>
        <w:t>аката и давање мишљења о спровођењу Закона и одредаба усвојених на основу Закона, израда и објављивање препорука за једнообразну примену одредаба Закона у целом систему, покретање процедура за закључивање споразума о сарадњи са државним органима, надлежним органима страних држава и међународним организацијама, учешће у међународној сарадњи у борби против ПН/ФТ, објављивање релевантних статистичких података, информисање јавности о аспектима и проблематици борбе против ПН/ФТ.</w:t>
      </w:r>
    </w:p>
    <w:p w:rsidR="00351794" w:rsidRPr="00803AC8" w:rsidRDefault="00351794" w:rsidP="00DC2690">
      <w:pPr>
        <w:autoSpaceDE w:val="0"/>
        <w:autoSpaceDN w:val="0"/>
        <w:adjustRightInd w:val="0"/>
        <w:ind w:left="0" w:firstLine="720"/>
        <w:jc w:val="both"/>
        <w:rPr>
          <w:b/>
          <w:color w:val="auto"/>
          <w:kern w:val="0"/>
          <w:lang/>
        </w:rPr>
      </w:pPr>
    </w:p>
    <w:p w:rsidR="00DC2690" w:rsidRPr="00803AC8" w:rsidRDefault="00DC2690" w:rsidP="00DC269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>Републичко јавно тужилаштво</w:t>
      </w:r>
      <w:r w:rsidRPr="00803AC8">
        <w:rPr>
          <w:color w:val="auto"/>
          <w:kern w:val="0"/>
          <w:lang/>
        </w:rPr>
        <w:t xml:space="preserve"> је самостални државни орган који гони учиниоце кривичних дела и других кажњивих дела и предузима мере за заштиту уставности и законитости. У Републици Србији за </w:t>
      </w:r>
      <w:r w:rsidR="00037BF7" w:rsidRPr="00803AC8">
        <w:rPr>
          <w:color w:val="auto"/>
          <w:kern w:val="0"/>
          <w:lang/>
        </w:rPr>
        <w:t>поступање у предметима за кривична дела</w:t>
      </w:r>
      <w:r w:rsidRPr="00803AC8">
        <w:rPr>
          <w:color w:val="auto"/>
          <w:kern w:val="0"/>
          <w:lang/>
        </w:rPr>
        <w:t xml:space="preserve"> прања новца </w:t>
      </w:r>
      <w:r w:rsidR="00037BF7" w:rsidRPr="00803AC8">
        <w:rPr>
          <w:color w:val="auto"/>
          <w:kern w:val="0"/>
          <w:lang/>
        </w:rPr>
        <w:t xml:space="preserve">надлежна су виша јавна тужилаштва, којих има </w:t>
      </w:r>
      <w:r w:rsidRPr="00803AC8">
        <w:rPr>
          <w:color w:val="auto"/>
          <w:kern w:val="0"/>
          <w:lang/>
        </w:rPr>
        <w:t>26.</w:t>
      </w:r>
      <w:r w:rsidR="00E01E46" w:rsidRPr="00803AC8">
        <w:rPr>
          <w:color w:val="auto"/>
          <w:kern w:val="0"/>
          <w:lang/>
        </w:rPr>
        <w:t xml:space="preserve"> За кривична дела прања новца надлежно је </w:t>
      </w:r>
      <w:r w:rsidR="0021462B" w:rsidRPr="00803AC8">
        <w:rPr>
          <w:color w:val="auto"/>
          <w:kern w:val="0"/>
          <w:lang/>
        </w:rPr>
        <w:t xml:space="preserve">и </w:t>
      </w:r>
      <w:r w:rsidR="00E01E46" w:rsidRPr="00803AC8">
        <w:rPr>
          <w:color w:val="auto"/>
          <w:kern w:val="0"/>
          <w:lang/>
        </w:rPr>
        <w:t>Тужилаштво за организовани криминал, када имовина која је предмет прања новца потиче из неког од кривичних дела организованог криминала, корупције и других посебно тешких кривичних дела која су у надл</w:t>
      </w:r>
      <w:r w:rsidR="00AB2A50" w:rsidRPr="00803AC8">
        <w:rPr>
          <w:color w:val="auto"/>
          <w:kern w:val="0"/>
          <w:lang/>
        </w:rPr>
        <w:t>ежности ти</w:t>
      </w:r>
      <w:r w:rsidR="00E01E46" w:rsidRPr="00803AC8">
        <w:rPr>
          <w:color w:val="auto"/>
          <w:kern w:val="0"/>
          <w:lang/>
        </w:rPr>
        <w:t xml:space="preserve">х тужилаштва. Републичко јавно тужилаштво </w:t>
      </w:r>
      <w:r w:rsidR="0021462B" w:rsidRPr="00803AC8">
        <w:rPr>
          <w:color w:val="auto"/>
          <w:kern w:val="0"/>
          <w:lang/>
        </w:rPr>
        <w:t>и четири апелациона јавна тужилаштва</w:t>
      </w:r>
      <w:r w:rsidRPr="00803AC8">
        <w:rPr>
          <w:color w:val="auto"/>
          <w:kern w:val="0"/>
          <w:lang/>
        </w:rPr>
        <w:t xml:space="preserve"> </w:t>
      </w:r>
      <w:r w:rsidR="0021462B" w:rsidRPr="00803AC8">
        <w:rPr>
          <w:color w:val="auto"/>
          <w:kern w:val="0"/>
          <w:lang/>
        </w:rPr>
        <w:t>прате рад виших јавних тужилаштава у предметима прања новца, и по потреби им пружају стручну помоћ.</w:t>
      </w:r>
      <w:r w:rsidR="0075798C" w:rsidRPr="00803AC8">
        <w:rPr>
          <w:color w:val="auto"/>
          <w:kern w:val="0"/>
          <w:lang/>
        </w:rPr>
        <w:t xml:space="preserve"> За поступање у свим предметима</w:t>
      </w:r>
      <w:r w:rsidR="0021462B" w:rsidRPr="00803AC8">
        <w:rPr>
          <w:color w:val="auto"/>
          <w:kern w:val="0"/>
          <w:lang/>
        </w:rPr>
        <w:t xml:space="preserve"> за кривична дела финансирања тероризма на територији Републике Србије надлежно је Тужилаштво за организовани криминал. </w:t>
      </w:r>
      <w:r w:rsidRPr="00803AC8">
        <w:rPr>
          <w:color w:val="auto"/>
          <w:kern w:val="0"/>
          <w:lang/>
        </w:rPr>
        <w:t>Према Законику о кривичном поступку</w:t>
      </w:r>
      <w:r w:rsidR="00142C73" w:rsidRPr="00803AC8">
        <w:rPr>
          <w:color w:val="auto"/>
          <w:kern w:val="0"/>
          <w:lang/>
        </w:rPr>
        <w:t xml:space="preserve"> („Службени</w:t>
      </w:r>
      <w:r w:rsidR="0021462B" w:rsidRPr="00803AC8">
        <w:rPr>
          <w:color w:val="auto"/>
          <w:kern w:val="0"/>
          <w:lang/>
        </w:rPr>
        <w:t xml:space="preserve">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21462B" w:rsidRPr="00803AC8">
        <w:rPr>
          <w:color w:val="auto"/>
          <w:kern w:val="0"/>
          <w:lang/>
        </w:rPr>
        <w:t>, бр.</w:t>
      </w:r>
      <w:r w:rsidR="00604FB5" w:rsidRPr="00803AC8">
        <w:rPr>
          <w:lang/>
        </w:rPr>
        <w:t xml:space="preserve"> 72/11, 101/11, 121/12, 32/13, 45/13 и 55/14</w:t>
      </w:r>
      <w:r w:rsidR="00604FB5" w:rsidRPr="00803AC8">
        <w:rPr>
          <w:color w:val="auto"/>
          <w:kern w:val="0"/>
          <w:lang/>
        </w:rPr>
        <w:t>)</w:t>
      </w:r>
      <w:r w:rsidRPr="00803AC8">
        <w:rPr>
          <w:color w:val="auto"/>
          <w:kern w:val="0"/>
          <w:lang/>
        </w:rPr>
        <w:t>, јавни тужиоци су укључени у све фазе поступка</w:t>
      </w:r>
      <w:r w:rsidR="00460464" w:rsidRPr="00803AC8">
        <w:rPr>
          <w:color w:val="auto"/>
          <w:kern w:val="0"/>
          <w:lang/>
        </w:rPr>
        <w:t xml:space="preserve"> -</w:t>
      </w:r>
      <w:r w:rsidR="0021462B" w:rsidRPr="00803AC8">
        <w:rPr>
          <w:color w:val="auto"/>
          <w:kern w:val="0"/>
          <w:lang/>
        </w:rPr>
        <w:t xml:space="preserve"> руководе предистражним поступком, спроводе кривичне истраге ради прикупљања доказа и подижу оптужне акте. Стога је</w:t>
      </w:r>
      <w:r w:rsidRPr="00803AC8">
        <w:rPr>
          <w:color w:val="auto"/>
          <w:kern w:val="0"/>
          <w:lang/>
        </w:rPr>
        <w:t xml:space="preserve"> њихова улога у обезбеђењу ефикасне истраге и гоњења за дела прања новца и финансир</w:t>
      </w:r>
      <w:r w:rsidR="0021462B" w:rsidRPr="00803AC8">
        <w:rPr>
          <w:color w:val="auto"/>
          <w:kern w:val="0"/>
          <w:lang/>
        </w:rPr>
        <w:t>а</w:t>
      </w:r>
      <w:r w:rsidRPr="00803AC8">
        <w:rPr>
          <w:color w:val="auto"/>
          <w:kern w:val="0"/>
          <w:lang/>
        </w:rPr>
        <w:t xml:space="preserve">ња тероризма од </w:t>
      </w:r>
      <w:r w:rsidR="0021462B" w:rsidRPr="00803AC8">
        <w:rPr>
          <w:color w:val="auto"/>
          <w:kern w:val="0"/>
          <w:lang/>
        </w:rPr>
        <w:t>великог</w:t>
      </w:r>
      <w:r w:rsidRPr="00803AC8">
        <w:rPr>
          <w:color w:val="auto"/>
          <w:kern w:val="0"/>
          <w:lang/>
        </w:rPr>
        <w:t xml:space="preserve"> значаја.</w:t>
      </w:r>
    </w:p>
    <w:p w:rsidR="00DC2690" w:rsidRPr="00803AC8" w:rsidRDefault="00DC2690" w:rsidP="00460464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>Судови</w:t>
      </w:r>
      <w:r w:rsidR="00306998" w:rsidRPr="00803AC8">
        <w:rPr>
          <w:b/>
          <w:color w:val="auto"/>
          <w:kern w:val="0"/>
          <w:lang/>
        </w:rPr>
        <w:t xml:space="preserve"> - </w:t>
      </w:r>
      <w:r w:rsidR="00306998" w:rsidRPr="00803AC8">
        <w:rPr>
          <w:color w:val="auto"/>
          <w:kern w:val="0"/>
          <w:lang/>
        </w:rPr>
        <w:t>Устав</w:t>
      </w:r>
      <w:r w:rsidRPr="00803AC8">
        <w:rPr>
          <w:color w:val="auto"/>
          <w:kern w:val="0"/>
          <w:lang/>
        </w:rPr>
        <w:t xml:space="preserve"> Републике Србије</w:t>
      </w:r>
      <w:r w:rsidR="00217AF2" w:rsidRPr="00803AC8">
        <w:rPr>
          <w:color w:val="auto"/>
          <w:kern w:val="0"/>
          <w:lang/>
        </w:rPr>
        <w:t xml:space="preserve"> („Службени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9F3E68" w:rsidRPr="00803AC8">
        <w:rPr>
          <w:color w:val="auto"/>
          <w:kern w:val="0"/>
          <w:lang/>
        </w:rPr>
        <w:t>, број</w:t>
      </w:r>
      <w:r w:rsidR="00217AF2" w:rsidRPr="00803AC8">
        <w:rPr>
          <w:lang/>
        </w:rPr>
        <w:t xml:space="preserve"> </w:t>
      </w:r>
      <w:r w:rsidR="00FA67DA" w:rsidRPr="00803AC8">
        <w:rPr>
          <w:lang/>
        </w:rPr>
        <w:t>98/</w:t>
      </w:r>
      <w:r w:rsidR="00A47BD0" w:rsidRPr="00803AC8">
        <w:rPr>
          <w:lang/>
        </w:rPr>
        <w:t>06)</w:t>
      </w:r>
      <w:r w:rsidRPr="00803AC8">
        <w:rPr>
          <w:color w:val="auto"/>
          <w:kern w:val="0"/>
          <w:lang/>
        </w:rPr>
        <w:t xml:space="preserve"> предвиђа да су судови у Републици Србији самостални и независни и да суде у предметима на основу Устава, закона и других општих аката у складу са законом, као и на основу општеприхваћених правила међународног права и потврђених међународних споразума. Судска власт се врши преко судова опште и специјалне надлежности чије се оснивање, организација, надлежност, уређење и састав утврђују законом. Највиши суд у</w:t>
      </w:r>
      <w:r w:rsidR="00460464" w:rsidRPr="00803AC8">
        <w:rPr>
          <w:color w:val="auto"/>
          <w:kern w:val="0"/>
          <w:lang/>
        </w:rPr>
        <w:t xml:space="preserve"> Републици</w:t>
      </w:r>
      <w:r w:rsidRPr="00803AC8">
        <w:rPr>
          <w:color w:val="auto"/>
          <w:kern w:val="0"/>
          <w:lang/>
        </w:rPr>
        <w:t xml:space="preserve"> Србији</w:t>
      </w:r>
      <w:r w:rsidR="009B44C5" w:rsidRPr="00803AC8">
        <w:rPr>
          <w:color w:val="auto"/>
          <w:kern w:val="0"/>
          <w:lang/>
        </w:rPr>
        <w:t xml:space="preserve"> је Врховни касациони суд. Трен</w:t>
      </w:r>
      <w:r w:rsidRPr="00803AC8">
        <w:rPr>
          <w:color w:val="auto"/>
          <w:kern w:val="0"/>
          <w:lang/>
        </w:rPr>
        <w:t>у</w:t>
      </w:r>
      <w:r w:rsidR="009B44C5" w:rsidRPr="00803AC8">
        <w:rPr>
          <w:color w:val="auto"/>
          <w:kern w:val="0"/>
          <w:lang/>
        </w:rPr>
        <w:t>т</w:t>
      </w:r>
      <w:r w:rsidRPr="00803AC8">
        <w:rPr>
          <w:color w:val="auto"/>
          <w:kern w:val="0"/>
          <w:lang/>
        </w:rPr>
        <w:t xml:space="preserve">но има 187 судова опште и специјалне надлежности. </w:t>
      </w:r>
      <w:r w:rsidR="00460464" w:rsidRPr="00803AC8">
        <w:rPr>
          <w:color w:val="auto"/>
          <w:kern w:val="0"/>
          <w:lang/>
        </w:rPr>
        <w:t xml:space="preserve"> </w:t>
      </w:r>
      <w:r w:rsidR="00530661" w:rsidRPr="00803AC8">
        <w:rPr>
          <w:color w:val="auto"/>
          <w:kern w:val="0"/>
          <w:lang/>
        </w:rPr>
        <w:t xml:space="preserve"> </w:t>
      </w:r>
    </w:p>
    <w:p w:rsidR="00DC2690" w:rsidRPr="00803AC8" w:rsidRDefault="00DC2690" w:rsidP="00DC269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Својим пресудама, судије имају одлучујућу улогу у обезбеђењу ефикасности система борбе против привредног и организованог криминала</w:t>
      </w:r>
      <w:r w:rsidR="00AB2A50" w:rsidRPr="00803AC8">
        <w:rPr>
          <w:color w:val="auto"/>
          <w:kern w:val="0"/>
          <w:lang/>
        </w:rPr>
        <w:t>,</w:t>
      </w:r>
      <w:r w:rsidRPr="00803AC8">
        <w:rPr>
          <w:color w:val="auto"/>
          <w:kern w:val="0"/>
          <w:lang/>
        </w:rPr>
        <w:t xml:space="preserve"> укључујући и прање новца и финансирање тероризма. </w:t>
      </w:r>
      <w:r w:rsidR="00AB2A50" w:rsidRPr="00803AC8">
        <w:rPr>
          <w:color w:val="auto"/>
          <w:kern w:val="0"/>
          <w:lang/>
        </w:rPr>
        <w:t>За кривична дела прања новца надлежни су виши судови.</w:t>
      </w:r>
    </w:p>
    <w:p w:rsidR="00C45F36" w:rsidRPr="00803AC8" w:rsidRDefault="00DC2690" w:rsidP="00530661">
      <w:pPr>
        <w:autoSpaceDE w:val="0"/>
        <w:autoSpaceDN w:val="0"/>
        <w:adjustRightInd w:val="0"/>
        <w:ind w:left="0" w:firstLine="720"/>
        <w:jc w:val="both"/>
        <w:rPr>
          <w:lang/>
        </w:rPr>
      </w:pPr>
      <w:r w:rsidRPr="00803AC8">
        <w:rPr>
          <w:b/>
          <w:color w:val="auto"/>
          <w:kern w:val="0"/>
          <w:lang/>
        </w:rPr>
        <w:t>Полиција</w:t>
      </w:r>
      <w:r w:rsidR="00306998" w:rsidRPr="00803AC8">
        <w:rPr>
          <w:b/>
          <w:color w:val="auto"/>
          <w:kern w:val="0"/>
          <w:lang/>
        </w:rPr>
        <w:t xml:space="preserve"> - </w:t>
      </w:r>
      <w:r w:rsidR="00F1460D" w:rsidRPr="00803AC8">
        <w:rPr>
          <w:color w:val="auto"/>
          <w:kern w:val="0"/>
          <w:lang/>
        </w:rPr>
        <w:t>У</w:t>
      </w:r>
      <w:r w:rsidRPr="00803AC8">
        <w:rPr>
          <w:color w:val="auto"/>
          <w:kern w:val="0"/>
          <w:lang/>
        </w:rPr>
        <w:t xml:space="preserve"> смислу борбе против прања новца и финансирања тероризма, полиција је као део Министарства унутрашњих послова</w:t>
      </w:r>
      <w:r w:rsidR="00A47BD0" w:rsidRPr="00803AC8">
        <w:rPr>
          <w:color w:val="auto"/>
          <w:kern w:val="0"/>
          <w:lang/>
        </w:rPr>
        <w:t xml:space="preserve"> (у даљем тексту: МУП)</w:t>
      </w:r>
      <w:r w:rsidRPr="00803AC8">
        <w:rPr>
          <w:color w:val="auto"/>
          <w:kern w:val="0"/>
          <w:lang/>
        </w:rPr>
        <w:t xml:space="preserve"> надлежна за истраге наведених кривичних дела. Истраге прања новца спадају у надлежност У</w:t>
      </w:r>
      <w:r w:rsidR="00472404" w:rsidRPr="00803AC8">
        <w:rPr>
          <w:color w:val="auto"/>
          <w:kern w:val="0"/>
          <w:lang/>
        </w:rPr>
        <w:t xml:space="preserve">праве криминалистичке полиције (у даљем тексту: УКП), која има своје </w:t>
      </w:r>
      <w:r w:rsidRPr="00803AC8">
        <w:rPr>
          <w:color w:val="auto"/>
          <w:kern w:val="0"/>
          <w:lang/>
        </w:rPr>
        <w:t>седиште и 27</w:t>
      </w:r>
      <w:r w:rsidR="00AB2A50" w:rsidRPr="00803AC8">
        <w:rPr>
          <w:color w:val="auto"/>
          <w:kern w:val="0"/>
          <w:lang/>
        </w:rPr>
        <w:t xml:space="preserve"> регионалних полицијских управа</w:t>
      </w:r>
      <w:r w:rsidRPr="00803AC8">
        <w:rPr>
          <w:color w:val="auto"/>
          <w:kern w:val="0"/>
          <w:lang/>
        </w:rPr>
        <w:t xml:space="preserve">. </w:t>
      </w:r>
      <w:r w:rsidR="00790E53" w:rsidRPr="00803AC8">
        <w:rPr>
          <w:color w:val="auto"/>
          <w:kern w:val="0"/>
          <w:lang/>
        </w:rPr>
        <w:t xml:space="preserve">УКП је </w:t>
      </w:r>
      <w:r w:rsidR="00790E53" w:rsidRPr="00803AC8">
        <w:rPr>
          <w:lang/>
        </w:rPr>
        <w:t>одговорна за стање и организовање послова на откривању и сузбијању свих облика организованог криминала, за превенцију и сузбијање осталих облика криминала и, с тим у вези, планира и организује благовремено информисање и извештавање и координацију рада служби, те спроводи и организује обавештајне и контраобавештајне послове, као и примену оперативно-техничких и тактичких мера на р</w:t>
      </w:r>
      <w:r w:rsidR="004D73DA" w:rsidRPr="00803AC8">
        <w:rPr>
          <w:lang/>
        </w:rPr>
        <w:t>асветљавању и документовању</w:t>
      </w:r>
      <w:r w:rsidR="00790E53" w:rsidRPr="00803AC8">
        <w:rPr>
          <w:lang/>
        </w:rPr>
        <w:t xml:space="preserve"> кривичних дела, у складу са законом.</w:t>
      </w:r>
      <w:r w:rsidR="00AB2A50" w:rsidRPr="00803AC8">
        <w:rPr>
          <w:lang/>
        </w:rPr>
        <w:t xml:space="preserve"> </w:t>
      </w:r>
      <w:r w:rsidRPr="00803AC8">
        <w:rPr>
          <w:color w:val="auto"/>
          <w:kern w:val="0"/>
          <w:lang/>
        </w:rPr>
        <w:t xml:space="preserve">У </w:t>
      </w:r>
      <w:r w:rsidR="00472404" w:rsidRPr="00803AC8">
        <w:rPr>
          <w:color w:val="auto"/>
          <w:kern w:val="0"/>
          <w:lang/>
        </w:rPr>
        <w:t>УКП</w:t>
      </w:r>
      <w:r w:rsidRPr="00803AC8">
        <w:rPr>
          <w:color w:val="auto"/>
          <w:kern w:val="0"/>
          <w:lang/>
        </w:rPr>
        <w:t xml:space="preserve"> значајну улогу </w:t>
      </w:r>
      <w:r w:rsidR="00472404" w:rsidRPr="00803AC8">
        <w:rPr>
          <w:color w:val="auto"/>
          <w:kern w:val="0"/>
          <w:lang/>
        </w:rPr>
        <w:t xml:space="preserve">у овој области </w:t>
      </w:r>
      <w:r w:rsidRPr="00803AC8">
        <w:rPr>
          <w:color w:val="auto"/>
          <w:kern w:val="0"/>
          <w:lang/>
        </w:rPr>
        <w:t>има Служба за борбу против организованог криминала</w:t>
      </w:r>
      <w:r w:rsidR="00472404" w:rsidRPr="00803AC8">
        <w:rPr>
          <w:color w:val="auto"/>
          <w:kern w:val="0"/>
          <w:lang/>
        </w:rPr>
        <w:t xml:space="preserve"> и организационе јединице</w:t>
      </w:r>
      <w:r w:rsidR="00472404" w:rsidRPr="00803AC8">
        <w:rPr>
          <w:lang/>
        </w:rPr>
        <w:t xml:space="preserve"> у њеном саставу: Одељење за сузбијање </w:t>
      </w:r>
      <w:r w:rsidR="00472404" w:rsidRPr="00803AC8">
        <w:rPr>
          <w:lang/>
        </w:rPr>
        <w:lastRenderedPageBreak/>
        <w:t>организованог финансијског криминала, Одељење за сузбијање</w:t>
      </w:r>
      <w:r w:rsidR="00530661" w:rsidRPr="00803AC8">
        <w:rPr>
          <w:lang/>
        </w:rPr>
        <w:t xml:space="preserve"> организованог општег криминала и</w:t>
      </w:r>
      <w:r w:rsidR="00472404" w:rsidRPr="00803AC8">
        <w:rPr>
          <w:lang/>
        </w:rPr>
        <w:t xml:space="preserve"> Јединица за финансијске истраге.</w:t>
      </w:r>
    </w:p>
    <w:p w:rsidR="00DC2690" w:rsidRPr="00803AC8" w:rsidRDefault="00DC2690" w:rsidP="00C45F36">
      <w:pPr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Када у предметима </w:t>
      </w:r>
      <w:r w:rsidR="004D73DA" w:rsidRPr="00803AC8">
        <w:rPr>
          <w:color w:val="auto"/>
          <w:kern w:val="0"/>
          <w:lang/>
        </w:rPr>
        <w:t>ПН/ФТ</w:t>
      </w:r>
      <w:r w:rsidRPr="00803AC8">
        <w:rPr>
          <w:color w:val="auto"/>
          <w:kern w:val="0"/>
          <w:lang/>
        </w:rPr>
        <w:t xml:space="preserve"> има еле</w:t>
      </w:r>
      <w:r w:rsidR="0075798C" w:rsidRPr="00803AC8">
        <w:rPr>
          <w:color w:val="auto"/>
          <w:kern w:val="0"/>
          <w:lang/>
        </w:rPr>
        <w:t>мената организованог криминала,</w:t>
      </w:r>
      <w:r w:rsidRPr="00803AC8">
        <w:rPr>
          <w:color w:val="auto"/>
          <w:kern w:val="0"/>
          <w:lang/>
        </w:rPr>
        <w:t xml:space="preserve"> тада спадају у надлежност Одсека за борбу против прања новца који је део Одељења за </w:t>
      </w:r>
      <w:r w:rsidR="00472404" w:rsidRPr="00803AC8">
        <w:rPr>
          <w:color w:val="auto"/>
          <w:kern w:val="0"/>
          <w:lang/>
        </w:rPr>
        <w:t>сузбијање</w:t>
      </w:r>
      <w:r w:rsidRPr="00803AC8">
        <w:rPr>
          <w:color w:val="auto"/>
          <w:kern w:val="0"/>
          <w:lang/>
        </w:rPr>
        <w:t xml:space="preserve"> организованог финансијског криминала. Свака од 27 подручних управа има и специјализовани одсек за сузбијање финансијског криминала. Јединица за финансијске истраге основана је Законом о одузимању имовине </w:t>
      </w:r>
      <w:r w:rsidR="00A47BD0" w:rsidRPr="00803AC8">
        <w:rPr>
          <w:color w:val="auto"/>
          <w:kern w:val="0"/>
          <w:lang/>
        </w:rPr>
        <w:t xml:space="preserve">проистекле </w:t>
      </w:r>
      <w:r w:rsidRPr="00803AC8">
        <w:rPr>
          <w:color w:val="auto"/>
          <w:kern w:val="0"/>
          <w:lang/>
        </w:rPr>
        <w:t xml:space="preserve">из кривичног дела </w:t>
      </w:r>
      <w:r w:rsidR="00A47BD0" w:rsidRPr="00803AC8">
        <w:rPr>
          <w:color w:val="auto"/>
          <w:kern w:val="0"/>
          <w:lang/>
        </w:rPr>
        <w:t>(„Службени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A47BD0" w:rsidRPr="00803AC8">
        <w:rPr>
          <w:color w:val="auto"/>
          <w:kern w:val="0"/>
          <w:lang/>
        </w:rPr>
        <w:t>, бр</w:t>
      </w:r>
      <w:r w:rsidR="00FA67DA" w:rsidRPr="00803AC8">
        <w:rPr>
          <w:color w:val="auto"/>
          <w:kern w:val="0"/>
          <w:lang/>
        </w:rPr>
        <w:t>ој</w:t>
      </w:r>
      <w:r w:rsidR="00A47BD0" w:rsidRPr="00803AC8">
        <w:rPr>
          <w:lang/>
        </w:rPr>
        <w:t xml:space="preserve"> </w:t>
      </w:r>
      <w:r w:rsidR="001E6982" w:rsidRPr="00803AC8">
        <w:rPr>
          <w:color w:val="auto"/>
          <w:lang/>
        </w:rPr>
        <w:t>97/08</w:t>
      </w:r>
      <w:r w:rsidR="00A47BD0" w:rsidRPr="00803AC8">
        <w:rPr>
          <w:color w:val="auto"/>
          <w:lang/>
        </w:rPr>
        <w:t>)</w:t>
      </w:r>
      <w:r w:rsidR="00A47BD0" w:rsidRPr="00803AC8">
        <w:rPr>
          <w:color w:val="auto"/>
          <w:kern w:val="0"/>
          <w:lang/>
        </w:rPr>
        <w:t xml:space="preserve"> као специјализована организациона јединица МУП надлежна </w:t>
      </w:r>
      <w:r w:rsidRPr="00803AC8">
        <w:rPr>
          <w:color w:val="auto"/>
          <w:kern w:val="0"/>
          <w:lang/>
        </w:rPr>
        <w:t>за финансијске истраге.</w:t>
      </w:r>
      <w:r w:rsidR="00A47BD0" w:rsidRPr="00803AC8">
        <w:rPr>
          <w:color w:val="auto"/>
          <w:kern w:val="0"/>
          <w:lang/>
        </w:rPr>
        <w:t xml:space="preserve"> Њен основни задатак је откривање имовине пр</w:t>
      </w:r>
      <w:r w:rsidR="006D62B1" w:rsidRPr="00803AC8">
        <w:rPr>
          <w:color w:val="auto"/>
          <w:kern w:val="0"/>
          <w:lang/>
        </w:rPr>
        <w:t>о</w:t>
      </w:r>
      <w:r w:rsidR="00A47BD0" w:rsidRPr="00803AC8">
        <w:rPr>
          <w:color w:val="auto"/>
          <w:kern w:val="0"/>
          <w:lang/>
        </w:rPr>
        <w:t>истекле из кривичног дела.</w:t>
      </w:r>
    </w:p>
    <w:p w:rsidR="00DC2690" w:rsidRPr="00803AC8" w:rsidRDefault="00DC2690" w:rsidP="006D62B1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  <w:r w:rsidRPr="00803AC8">
        <w:rPr>
          <w:rFonts w:ascii="Times New Roman" w:hAnsi="Times New Roman"/>
          <w:b/>
          <w:sz w:val="24"/>
          <w:szCs w:val="24"/>
          <w:lang/>
        </w:rPr>
        <w:t>Војнобезбедносна агенција</w:t>
      </w:r>
      <w:r w:rsidRPr="00803AC8">
        <w:rPr>
          <w:rFonts w:ascii="Times New Roman" w:hAnsi="Times New Roman"/>
          <w:sz w:val="24"/>
          <w:szCs w:val="24"/>
          <w:lang/>
        </w:rPr>
        <w:t xml:space="preserve"> </w:t>
      </w:r>
      <w:r w:rsidR="00C45F36" w:rsidRPr="00803AC8">
        <w:rPr>
          <w:rFonts w:ascii="Times New Roman" w:hAnsi="Times New Roman"/>
          <w:sz w:val="24"/>
          <w:szCs w:val="24"/>
          <w:lang/>
        </w:rPr>
        <w:t>(у даљем тексту: ВБА)</w:t>
      </w:r>
      <w:r w:rsidRPr="00803AC8">
        <w:rPr>
          <w:rFonts w:ascii="Times New Roman" w:hAnsi="Times New Roman"/>
          <w:sz w:val="24"/>
          <w:szCs w:val="24"/>
          <w:lang/>
        </w:rPr>
        <w:t xml:space="preserve"> </w:t>
      </w:r>
      <w:r w:rsidR="00BF6A96" w:rsidRPr="00803AC8">
        <w:rPr>
          <w:rFonts w:ascii="Times New Roman" w:hAnsi="Times New Roman"/>
          <w:sz w:val="24"/>
          <w:szCs w:val="24"/>
          <w:lang/>
        </w:rPr>
        <w:t>је служба безбедности која обавља послове безбедности од значаја за одбрану Републике Србије</w:t>
      </w:r>
      <w:r w:rsidRPr="00803AC8">
        <w:rPr>
          <w:rFonts w:ascii="Times New Roman" w:hAnsi="Times New Roman"/>
          <w:sz w:val="24"/>
          <w:szCs w:val="24"/>
          <w:lang/>
        </w:rPr>
        <w:t xml:space="preserve">. У складу са законом, </w:t>
      </w:r>
      <w:r w:rsidR="00C45F36" w:rsidRPr="00803AC8">
        <w:rPr>
          <w:rFonts w:ascii="Times New Roman" w:hAnsi="Times New Roman"/>
          <w:sz w:val="24"/>
          <w:szCs w:val="24"/>
          <w:lang/>
        </w:rPr>
        <w:t>ВБА</w:t>
      </w:r>
      <w:r w:rsidRPr="00803AC8">
        <w:rPr>
          <w:rFonts w:ascii="Times New Roman" w:hAnsi="Times New Roman"/>
          <w:sz w:val="24"/>
          <w:szCs w:val="24"/>
          <w:lang/>
        </w:rPr>
        <w:t xml:space="preserve">, поред осталог, открива, прати и онемогућава унутрашњи и међународни тероризам, и открива, истражује и прикупља доказе за кривична дела </w:t>
      </w:r>
      <w:r w:rsidR="00545855" w:rsidRPr="00803AC8">
        <w:rPr>
          <w:rFonts w:ascii="Times New Roman" w:hAnsi="Times New Roman"/>
          <w:sz w:val="24"/>
          <w:szCs w:val="24"/>
          <w:lang/>
        </w:rPr>
        <w:t xml:space="preserve">против </w:t>
      </w:r>
      <w:r w:rsidR="00EE03C1" w:rsidRPr="00803AC8">
        <w:rPr>
          <w:rFonts w:ascii="Times New Roman" w:hAnsi="Times New Roman"/>
          <w:sz w:val="24"/>
          <w:szCs w:val="24"/>
          <w:lang/>
        </w:rPr>
        <w:t>уставног уређења и безбедности Р</w:t>
      </w:r>
      <w:r w:rsidR="00545855" w:rsidRPr="00803AC8">
        <w:rPr>
          <w:rFonts w:ascii="Times New Roman" w:hAnsi="Times New Roman"/>
          <w:sz w:val="24"/>
          <w:szCs w:val="24"/>
          <w:lang/>
        </w:rPr>
        <w:t xml:space="preserve">епублике Србије, </w:t>
      </w:r>
      <w:r w:rsidRPr="00803AC8">
        <w:rPr>
          <w:rFonts w:ascii="Times New Roman" w:hAnsi="Times New Roman"/>
          <w:sz w:val="24"/>
          <w:szCs w:val="24"/>
          <w:lang/>
        </w:rPr>
        <w:t xml:space="preserve">организованог криминала, кривично дело прање новца, као и кривична дела корупције, усмерена против команди, установа и јединица Војске Србије и министарства надлежног за послове одбране. Имајући у виду законом наведене надлежности </w:t>
      </w:r>
      <w:r w:rsidR="00AB2A50" w:rsidRPr="00803AC8">
        <w:rPr>
          <w:rFonts w:ascii="Times New Roman" w:hAnsi="Times New Roman"/>
          <w:sz w:val="24"/>
          <w:szCs w:val="24"/>
          <w:lang/>
        </w:rPr>
        <w:t>ВБА</w:t>
      </w:r>
      <w:r w:rsidRPr="00803AC8">
        <w:rPr>
          <w:rFonts w:ascii="Times New Roman" w:hAnsi="Times New Roman"/>
          <w:sz w:val="24"/>
          <w:szCs w:val="24"/>
          <w:lang/>
        </w:rPr>
        <w:t xml:space="preserve">, један од значајнијих задатака на заштити система одбране је и спречавање </w:t>
      </w:r>
      <w:r w:rsidR="004D73DA" w:rsidRPr="00803AC8">
        <w:rPr>
          <w:rFonts w:ascii="Times New Roman" w:hAnsi="Times New Roman"/>
          <w:sz w:val="24"/>
          <w:szCs w:val="24"/>
          <w:lang/>
        </w:rPr>
        <w:t>ПН/ФТ</w:t>
      </w:r>
      <w:r w:rsidRPr="00803AC8">
        <w:rPr>
          <w:rFonts w:ascii="Times New Roman" w:hAnsi="Times New Roman"/>
          <w:sz w:val="24"/>
          <w:szCs w:val="24"/>
          <w:lang/>
        </w:rPr>
        <w:t xml:space="preserve">. </w:t>
      </w:r>
      <w:r w:rsidR="00C45F36" w:rsidRPr="00803AC8">
        <w:rPr>
          <w:rFonts w:ascii="Times New Roman" w:hAnsi="Times New Roman"/>
          <w:sz w:val="24"/>
          <w:szCs w:val="24"/>
          <w:lang/>
        </w:rPr>
        <w:t>ВБА</w:t>
      </w:r>
      <w:r w:rsidRPr="00803AC8">
        <w:rPr>
          <w:rFonts w:ascii="Times New Roman" w:hAnsi="Times New Roman"/>
          <w:sz w:val="24"/>
          <w:szCs w:val="24"/>
          <w:lang/>
        </w:rPr>
        <w:t xml:space="preserve"> је формирала</w:t>
      </w:r>
      <w:r w:rsidR="0075798C" w:rsidRPr="00803AC8">
        <w:rPr>
          <w:rFonts w:ascii="Times New Roman" w:hAnsi="Times New Roman"/>
          <w:sz w:val="24"/>
          <w:szCs w:val="24"/>
          <w:lang/>
        </w:rPr>
        <w:t xml:space="preserve"> посебну организациону јединицу</w:t>
      </w:r>
      <w:r w:rsidRPr="00803AC8">
        <w:rPr>
          <w:rFonts w:ascii="Times New Roman" w:hAnsi="Times New Roman"/>
          <w:sz w:val="24"/>
          <w:szCs w:val="24"/>
          <w:lang/>
        </w:rPr>
        <w:t xml:space="preserve"> чији су послови, између осталих и откривање, истраживање и документовање кривичних дела прање новца и финансирање тероризма, која има анал</w:t>
      </w:r>
      <w:r w:rsidR="0075798C" w:rsidRPr="00803AC8">
        <w:rPr>
          <w:rFonts w:ascii="Times New Roman" w:hAnsi="Times New Roman"/>
          <w:sz w:val="24"/>
          <w:szCs w:val="24"/>
          <w:lang/>
        </w:rPr>
        <w:t>итичку подршку</w:t>
      </w:r>
      <w:r w:rsidRPr="00803AC8">
        <w:rPr>
          <w:rFonts w:ascii="Times New Roman" w:hAnsi="Times New Roman"/>
          <w:sz w:val="24"/>
          <w:szCs w:val="24"/>
          <w:lang/>
        </w:rPr>
        <w:t xml:space="preserve"> посебне организационе јединице </w:t>
      </w:r>
      <w:r w:rsidR="00C45F36" w:rsidRPr="00803AC8">
        <w:rPr>
          <w:rFonts w:ascii="Times New Roman" w:hAnsi="Times New Roman"/>
          <w:sz w:val="24"/>
          <w:szCs w:val="24"/>
          <w:lang/>
        </w:rPr>
        <w:t>ВБА</w:t>
      </w:r>
      <w:r w:rsidRPr="00803AC8">
        <w:rPr>
          <w:rFonts w:ascii="Times New Roman" w:hAnsi="Times New Roman"/>
          <w:sz w:val="24"/>
          <w:szCs w:val="24"/>
          <w:lang/>
        </w:rPr>
        <w:t xml:space="preserve">. </w:t>
      </w:r>
      <w:r w:rsidR="00C45F36" w:rsidRPr="00803AC8">
        <w:rPr>
          <w:rFonts w:ascii="Times New Roman" w:hAnsi="Times New Roman"/>
          <w:sz w:val="24"/>
          <w:szCs w:val="24"/>
          <w:lang/>
        </w:rPr>
        <w:t>ВБА</w:t>
      </w:r>
      <w:r w:rsidRPr="00803AC8">
        <w:rPr>
          <w:rFonts w:ascii="Times New Roman" w:hAnsi="Times New Roman"/>
          <w:sz w:val="24"/>
          <w:szCs w:val="24"/>
          <w:lang/>
        </w:rPr>
        <w:t xml:space="preserve"> је законом овлашћена да примењује посебне поступке и мере за тајно прикупљање података превентивног карактера, као и посебне доказне радње у откривању, истраживању и документовању кривичних дела прање новца или финансирање тероризма, у границама своје надлежности. Обезбеђен је законски механизам да на тај начин прибављени подаци имају пуни кривично-процесни кредибилитет у судском поступку.</w:t>
      </w:r>
      <w:r w:rsidR="006D62B1" w:rsidRPr="00803AC8">
        <w:rPr>
          <w:rFonts w:ascii="Times New Roman" w:hAnsi="Times New Roman"/>
          <w:sz w:val="24"/>
          <w:szCs w:val="24"/>
          <w:lang/>
        </w:rPr>
        <w:t xml:space="preserve"> </w:t>
      </w:r>
    </w:p>
    <w:p w:rsidR="00217AF2" w:rsidRPr="00803AC8" w:rsidRDefault="00DC2690" w:rsidP="006D62B1">
      <w:pPr>
        <w:ind w:left="0" w:firstLine="720"/>
        <w:jc w:val="both"/>
        <w:rPr>
          <w:color w:val="auto"/>
          <w:lang/>
        </w:rPr>
      </w:pPr>
      <w:r w:rsidRPr="00803AC8">
        <w:rPr>
          <w:b/>
          <w:color w:val="auto"/>
          <w:lang/>
        </w:rPr>
        <w:t>Војнообавештајна</w:t>
      </w:r>
      <w:r w:rsidR="00217AF2" w:rsidRPr="00803AC8">
        <w:rPr>
          <w:b/>
          <w:color w:val="auto"/>
          <w:lang/>
        </w:rPr>
        <w:t xml:space="preserve"> </w:t>
      </w:r>
      <w:r w:rsidRPr="00803AC8">
        <w:rPr>
          <w:b/>
          <w:color w:val="auto"/>
          <w:lang/>
        </w:rPr>
        <w:t>агенција</w:t>
      </w:r>
      <w:r w:rsidR="0022058E" w:rsidRPr="00803AC8">
        <w:rPr>
          <w:color w:val="auto"/>
          <w:lang/>
        </w:rPr>
        <w:t>,</w:t>
      </w:r>
      <w:r w:rsidR="0022058E" w:rsidRPr="00803AC8">
        <w:rPr>
          <w:b/>
          <w:color w:val="auto"/>
          <w:lang/>
        </w:rPr>
        <w:t xml:space="preserve"> </w:t>
      </w:r>
      <w:r w:rsidR="0022058E" w:rsidRPr="00803AC8">
        <w:rPr>
          <w:color w:val="auto"/>
          <w:lang/>
        </w:rPr>
        <w:t>као служба безбедности Републике Србије, надлежна је за обављање</w:t>
      </w:r>
      <w:r w:rsidR="00C45F36" w:rsidRPr="00803AC8">
        <w:rPr>
          <w:color w:val="auto"/>
          <w:lang/>
        </w:rPr>
        <w:t xml:space="preserve"> </w:t>
      </w:r>
      <w:r w:rsidR="0022058E" w:rsidRPr="00803AC8">
        <w:rPr>
          <w:lang/>
        </w:rPr>
        <w:t>обавештајних</w:t>
      </w:r>
      <w:r w:rsidR="00C45F36" w:rsidRPr="00803AC8">
        <w:rPr>
          <w:lang/>
        </w:rPr>
        <w:t xml:space="preserve"> </w:t>
      </w:r>
      <w:r w:rsidR="0022058E" w:rsidRPr="00803AC8">
        <w:rPr>
          <w:lang/>
        </w:rPr>
        <w:t>послова</w:t>
      </w:r>
      <w:r w:rsidR="00C45F36" w:rsidRPr="00803AC8">
        <w:rPr>
          <w:lang/>
        </w:rPr>
        <w:t xml:space="preserve"> од значаја за одбрану </w:t>
      </w:r>
      <w:r w:rsidRPr="00803AC8">
        <w:rPr>
          <w:color w:val="auto"/>
          <w:lang/>
        </w:rPr>
        <w:t xml:space="preserve">који се односе на прикупљање, анализу, процену, заштиту и достављање података и информација о потенцијалним и реалним опасностима, активностима, плановима и намерама страних држава и њихових оружаних снага, међународних организација, група и појединаца, а које су војног, војнополитичког и војноекономског карактера који се односе </w:t>
      </w:r>
      <w:r w:rsidR="00DB3453" w:rsidRPr="00803AC8">
        <w:rPr>
          <w:color w:val="auto"/>
          <w:lang/>
        </w:rPr>
        <w:t xml:space="preserve">и </w:t>
      </w:r>
      <w:r w:rsidRPr="00803AC8">
        <w:rPr>
          <w:color w:val="auto"/>
          <w:lang/>
        </w:rPr>
        <w:t>на претње тероризмом, а усмерени су из иностранства према систему Републике Србије.</w:t>
      </w:r>
      <w:r w:rsidR="0022058E" w:rsidRPr="00803AC8">
        <w:rPr>
          <w:color w:val="auto"/>
          <w:lang/>
        </w:rPr>
        <w:t xml:space="preserve"> </w:t>
      </w:r>
      <w:r w:rsidR="006D62B1" w:rsidRPr="00803AC8">
        <w:rPr>
          <w:color w:val="auto"/>
          <w:lang/>
        </w:rPr>
        <w:t xml:space="preserve"> </w:t>
      </w:r>
    </w:p>
    <w:p w:rsidR="00DC2690" w:rsidRPr="00803AC8" w:rsidRDefault="00DC2690" w:rsidP="006D62B1">
      <w:pPr>
        <w:autoSpaceDE w:val="0"/>
        <w:autoSpaceDN w:val="0"/>
        <w:adjustRightInd w:val="0"/>
        <w:ind w:left="0" w:firstLine="720"/>
        <w:jc w:val="both"/>
        <w:rPr>
          <w:color w:val="auto"/>
          <w:lang/>
        </w:rPr>
      </w:pPr>
      <w:r w:rsidRPr="00803AC8">
        <w:rPr>
          <w:b/>
          <w:color w:val="auto"/>
          <w:lang/>
        </w:rPr>
        <w:t>Безбедносно-информативна агенција</w:t>
      </w:r>
      <w:r w:rsidR="00604FB5" w:rsidRPr="00803AC8">
        <w:rPr>
          <w:color w:val="auto"/>
          <w:lang/>
        </w:rPr>
        <w:t xml:space="preserve"> (у даљем тексту: БИА)</w:t>
      </w:r>
      <w:r w:rsidRPr="00803AC8">
        <w:rPr>
          <w:color w:val="auto"/>
          <w:lang/>
        </w:rPr>
        <w:t xml:space="preserve"> је посебна </w:t>
      </w:r>
      <w:r w:rsidR="00604FB5" w:rsidRPr="00803AC8">
        <w:rPr>
          <w:color w:val="auto"/>
          <w:lang/>
        </w:rPr>
        <w:t>организација</w:t>
      </w:r>
      <w:r w:rsidRPr="00803AC8">
        <w:rPr>
          <w:color w:val="auto"/>
          <w:lang/>
        </w:rPr>
        <w:t xml:space="preserve"> која је </w:t>
      </w:r>
      <w:r w:rsidR="00604FB5" w:rsidRPr="00803AC8">
        <w:rPr>
          <w:color w:val="auto"/>
          <w:lang/>
        </w:rPr>
        <w:t xml:space="preserve">основана Законом о </w:t>
      </w:r>
      <w:r w:rsidR="00803AC8" w:rsidRPr="00803AC8">
        <w:rPr>
          <w:color w:val="auto"/>
          <w:lang/>
        </w:rPr>
        <w:t>Безбедносно</w:t>
      </w:r>
      <w:r w:rsidR="00604FB5" w:rsidRPr="00803AC8">
        <w:rPr>
          <w:color w:val="auto"/>
          <w:lang/>
        </w:rPr>
        <w:t>-информативној агенцији (</w:t>
      </w:r>
      <w:r w:rsidR="00142C73" w:rsidRPr="00803AC8">
        <w:rPr>
          <w:color w:val="auto"/>
          <w:kern w:val="0"/>
          <w:lang/>
        </w:rPr>
        <w:t>„Службени</w:t>
      </w:r>
      <w:r w:rsidR="00604FB5" w:rsidRPr="00803AC8">
        <w:rPr>
          <w:color w:val="auto"/>
          <w:kern w:val="0"/>
          <w:lang/>
        </w:rPr>
        <w:t xml:space="preserve">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604FB5" w:rsidRPr="00803AC8">
        <w:rPr>
          <w:color w:val="auto"/>
          <w:kern w:val="0"/>
          <w:lang/>
        </w:rPr>
        <w:t>, бр.</w:t>
      </w:r>
      <w:r w:rsidR="006D62B1" w:rsidRPr="00803AC8">
        <w:rPr>
          <w:lang/>
        </w:rPr>
        <w:t xml:space="preserve"> 42/02, 111/09, 65/14-</w:t>
      </w:r>
      <w:r w:rsidR="00604FB5" w:rsidRPr="00803AC8">
        <w:rPr>
          <w:lang/>
        </w:rPr>
        <w:t>УС и 66/14)</w:t>
      </w:r>
      <w:r w:rsidRPr="00803AC8">
        <w:rPr>
          <w:color w:val="auto"/>
          <w:lang/>
        </w:rPr>
        <w:t xml:space="preserve"> и представља део јединственог безбедносно-обавештајног система Републике Србије.</w:t>
      </w:r>
      <w:r w:rsidR="00604FB5" w:rsidRPr="00803AC8">
        <w:rPr>
          <w:color w:val="auto"/>
          <w:lang/>
        </w:rPr>
        <w:t xml:space="preserve"> БИА </w:t>
      </w:r>
      <w:r w:rsidR="00ED616A" w:rsidRPr="00803AC8">
        <w:rPr>
          <w:lang/>
        </w:rPr>
        <w:t>обавља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послове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који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односе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на</w:t>
      </w:r>
      <w:r w:rsidR="00604FB5" w:rsidRPr="00803AC8">
        <w:rPr>
          <w:lang/>
        </w:rPr>
        <w:t>:</w:t>
      </w:r>
      <w:r w:rsidRPr="00803AC8">
        <w:rPr>
          <w:rFonts w:ascii="Helvetica" w:hAnsi="Helvetica" w:cs="Helvetica"/>
          <w:color w:val="auto"/>
          <w:lang/>
        </w:rPr>
        <w:t xml:space="preserve"> </w:t>
      </w:r>
      <w:r w:rsidR="00ED616A" w:rsidRPr="00803AC8">
        <w:rPr>
          <w:lang/>
        </w:rPr>
        <w:t>заштиту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безбедности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Републике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Србије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откривање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спречавање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делатности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усмерених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на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подривање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или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рушење</w:t>
      </w:r>
      <w:r w:rsidR="00604FB5" w:rsidRPr="00803AC8">
        <w:rPr>
          <w:lang/>
        </w:rPr>
        <w:t xml:space="preserve"> </w:t>
      </w:r>
      <w:r w:rsidR="006D62B1" w:rsidRPr="00803AC8">
        <w:rPr>
          <w:lang/>
        </w:rPr>
        <w:t>У</w:t>
      </w:r>
      <w:r w:rsidR="00ED616A" w:rsidRPr="00803AC8">
        <w:rPr>
          <w:lang/>
        </w:rPr>
        <w:t>ставом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утврђеног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поретка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Републике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Србије</w:t>
      </w:r>
      <w:r w:rsidR="00AB2A50" w:rsidRPr="00803AC8">
        <w:rPr>
          <w:lang/>
        </w:rPr>
        <w:t>,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истраживање</w:t>
      </w:r>
      <w:r w:rsidR="00604FB5" w:rsidRPr="00803AC8">
        <w:rPr>
          <w:lang/>
        </w:rPr>
        <w:t xml:space="preserve">, </w:t>
      </w:r>
      <w:r w:rsidR="00ED616A" w:rsidRPr="00803AC8">
        <w:rPr>
          <w:lang/>
        </w:rPr>
        <w:t>прикупљање</w:t>
      </w:r>
      <w:r w:rsidR="00604FB5" w:rsidRPr="00803AC8">
        <w:rPr>
          <w:lang/>
        </w:rPr>
        <w:t xml:space="preserve">, </w:t>
      </w:r>
      <w:r w:rsidR="00ED616A" w:rsidRPr="00803AC8">
        <w:rPr>
          <w:lang/>
        </w:rPr>
        <w:t>обраду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процену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безбедносно</w:t>
      </w:r>
      <w:r w:rsidR="00604FB5" w:rsidRPr="00803AC8">
        <w:rPr>
          <w:lang/>
        </w:rPr>
        <w:t>-</w:t>
      </w:r>
      <w:r w:rsidR="00ED616A" w:rsidRPr="00803AC8">
        <w:rPr>
          <w:lang/>
        </w:rPr>
        <w:t>обавештајних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података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сазнања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од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значаја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за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безбедност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Републике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Србије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информисање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надлежних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државних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органа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тим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подацима</w:t>
      </w:r>
      <w:r w:rsidR="00604FB5" w:rsidRPr="00803AC8">
        <w:rPr>
          <w:lang/>
        </w:rPr>
        <w:t xml:space="preserve">, </w:t>
      </w:r>
      <w:r w:rsidR="00ED616A" w:rsidRPr="00803AC8">
        <w:rPr>
          <w:lang/>
        </w:rPr>
        <w:t>као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и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друге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послове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>одређене</w:t>
      </w:r>
      <w:r w:rsidR="00604FB5" w:rsidRPr="00803AC8">
        <w:rPr>
          <w:lang/>
        </w:rPr>
        <w:t xml:space="preserve"> </w:t>
      </w:r>
      <w:r w:rsidR="00ED616A" w:rsidRPr="00803AC8">
        <w:rPr>
          <w:lang/>
        </w:rPr>
        <w:t xml:space="preserve">законом. </w:t>
      </w:r>
      <w:r w:rsidR="00604FB5" w:rsidRPr="00803AC8">
        <w:rPr>
          <w:bCs/>
          <w:color w:val="auto"/>
          <w:lang/>
        </w:rPr>
        <w:t>БИА</w:t>
      </w:r>
      <w:r w:rsidRPr="00803AC8">
        <w:rPr>
          <w:color w:val="auto"/>
          <w:lang/>
        </w:rPr>
        <w:t xml:space="preserve"> обавља и послове у вези са супротстављањем организованом међународном криминалу. То су послови откривања, истраживања и документовања најтежих облика организованог криминала са елементом иностраности - кријумчарењем наркотика, илегалним </w:t>
      </w:r>
      <w:r w:rsidRPr="00803AC8">
        <w:rPr>
          <w:color w:val="auto"/>
          <w:lang/>
        </w:rPr>
        <w:lastRenderedPageBreak/>
        <w:t xml:space="preserve">миграцијама и трговином људима, кријумчарењем оружја, фалсификовањем и прањем новца, као и најтежим облицима корупције повезаним са међународним организованим криминалом. Посебни послови и задаци БИА односе се на спречавање и сузбијање унутрашњег и међународног тероризма. </w:t>
      </w:r>
      <w:r w:rsidR="00604FB5" w:rsidRPr="00803AC8">
        <w:rPr>
          <w:color w:val="auto"/>
          <w:lang/>
        </w:rPr>
        <w:t>БИА</w:t>
      </w:r>
      <w:r w:rsidR="0075798C" w:rsidRPr="00803AC8">
        <w:rPr>
          <w:color w:val="auto"/>
          <w:lang/>
        </w:rPr>
        <w:t xml:space="preserve"> је формирала</w:t>
      </w:r>
      <w:r w:rsidRPr="00803AC8">
        <w:rPr>
          <w:color w:val="auto"/>
          <w:lang/>
        </w:rPr>
        <w:t xml:space="preserve"> јединицу за међународни организовани криминал, која се бави </w:t>
      </w:r>
      <w:r w:rsidR="006F3102" w:rsidRPr="00803AC8">
        <w:rPr>
          <w:color w:val="auto"/>
          <w:lang/>
        </w:rPr>
        <w:t xml:space="preserve">и </w:t>
      </w:r>
      <w:r w:rsidR="0075798C" w:rsidRPr="00803AC8">
        <w:rPr>
          <w:color w:val="auto"/>
          <w:lang/>
        </w:rPr>
        <w:t xml:space="preserve">спречавањем </w:t>
      </w:r>
      <w:r w:rsidR="004D73DA" w:rsidRPr="00803AC8">
        <w:rPr>
          <w:color w:val="auto"/>
          <w:lang/>
        </w:rPr>
        <w:t>ПН/ФТ</w:t>
      </w:r>
      <w:r w:rsidRPr="00803AC8">
        <w:rPr>
          <w:color w:val="auto"/>
          <w:lang/>
        </w:rPr>
        <w:t>.</w:t>
      </w:r>
      <w:r w:rsidR="006D62B1" w:rsidRPr="00803AC8">
        <w:rPr>
          <w:color w:val="auto"/>
          <w:lang/>
        </w:rPr>
        <w:t xml:space="preserve"> </w:t>
      </w:r>
    </w:p>
    <w:p w:rsidR="00DC2690" w:rsidRPr="00803AC8" w:rsidRDefault="00DC2690" w:rsidP="00DC2690">
      <w:pPr>
        <w:jc w:val="both"/>
        <w:rPr>
          <w:color w:val="auto"/>
          <w:lang/>
        </w:rPr>
      </w:pPr>
    </w:p>
    <w:p w:rsidR="00DC2690" w:rsidRPr="00803AC8" w:rsidRDefault="00DC2690" w:rsidP="00AB2A50">
      <w:pPr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kern w:val="0"/>
          <w:lang/>
        </w:rPr>
      </w:pPr>
      <w:r w:rsidRPr="00803AC8">
        <w:rPr>
          <w:rFonts w:eastAsia="Times New Roman"/>
          <w:b/>
          <w:color w:val="auto"/>
          <w:kern w:val="0"/>
          <w:lang/>
        </w:rPr>
        <w:t>Народна банка Србије</w:t>
      </w:r>
      <w:r w:rsidR="00217AF2" w:rsidRPr="00803AC8">
        <w:rPr>
          <w:rFonts w:eastAsia="Times New Roman"/>
          <w:color w:val="auto"/>
          <w:kern w:val="0"/>
          <w:lang/>
        </w:rPr>
        <w:t xml:space="preserve"> (у даљем тексту: НБС)</w:t>
      </w:r>
      <w:r w:rsidRPr="00803AC8">
        <w:rPr>
          <w:rFonts w:eastAsia="Times New Roman"/>
          <w:color w:val="auto"/>
          <w:kern w:val="0"/>
          <w:lang/>
        </w:rPr>
        <w:t xml:space="preserve"> је самостална и независна у обављању функција утврђених Законом о Народној банци Србије</w:t>
      </w:r>
      <w:r w:rsidR="00142C73" w:rsidRPr="00803AC8">
        <w:rPr>
          <w:rFonts w:eastAsia="Times New Roman"/>
          <w:color w:val="auto"/>
          <w:kern w:val="0"/>
          <w:lang/>
        </w:rPr>
        <w:t xml:space="preserve"> </w:t>
      </w:r>
      <w:r w:rsidR="00142C73" w:rsidRPr="00803AC8">
        <w:rPr>
          <w:color w:val="auto"/>
          <w:kern w:val="0"/>
          <w:lang/>
        </w:rPr>
        <w:t>(„Службен</w:t>
      </w:r>
      <w:r w:rsidR="00D74B3D" w:rsidRPr="00803AC8">
        <w:rPr>
          <w:color w:val="auto"/>
          <w:kern w:val="0"/>
          <w:lang/>
        </w:rPr>
        <w:t>и</w:t>
      </w:r>
      <w:r w:rsidR="0017528E" w:rsidRPr="00803AC8">
        <w:rPr>
          <w:color w:val="auto"/>
          <w:kern w:val="0"/>
          <w:lang/>
        </w:rPr>
        <w:t xml:space="preserve"> гласник PC”</w:t>
      </w:r>
      <w:r w:rsidR="006D62B1" w:rsidRPr="00803AC8">
        <w:rPr>
          <w:color w:val="auto"/>
          <w:kern w:val="0"/>
          <w:lang/>
        </w:rPr>
        <w:t>, бр. 72/03, 55/04, 85/05-</w:t>
      </w:r>
      <w:r w:rsidR="00142C73" w:rsidRPr="00803AC8">
        <w:rPr>
          <w:color w:val="auto"/>
          <w:kern w:val="0"/>
          <w:lang/>
        </w:rPr>
        <w:t>др. закон, 44/10, 76/12 и 106/12)</w:t>
      </w:r>
      <w:r w:rsidRPr="00803AC8">
        <w:rPr>
          <w:rFonts w:eastAsia="Times New Roman"/>
          <w:color w:val="auto"/>
          <w:kern w:val="0"/>
          <w:lang/>
        </w:rPr>
        <w:t xml:space="preserve"> и другим законима, а за свој рад је одговорна Народној скупштини. Основни циљ </w:t>
      </w:r>
      <w:r w:rsidR="00217AF2" w:rsidRPr="00803AC8">
        <w:rPr>
          <w:rFonts w:eastAsia="Times New Roman"/>
          <w:color w:val="auto"/>
          <w:kern w:val="0"/>
          <w:lang/>
        </w:rPr>
        <w:t>НБС</w:t>
      </w:r>
      <w:r w:rsidRPr="00803AC8">
        <w:rPr>
          <w:rFonts w:eastAsia="Times New Roman"/>
          <w:color w:val="auto"/>
          <w:kern w:val="0"/>
          <w:lang/>
        </w:rPr>
        <w:t xml:space="preserve"> је постизање и одржавање стабилности цена. Поред тога, не доводећи у питање остваривање свог основног циља, </w:t>
      </w:r>
      <w:r w:rsidR="00217AF2" w:rsidRPr="00803AC8">
        <w:rPr>
          <w:rFonts w:eastAsia="Times New Roman"/>
          <w:color w:val="auto"/>
          <w:kern w:val="0"/>
          <w:lang/>
        </w:rPr>
        <w:t>НБС</w:t>
      </w:r>
      <w:r w:rsidRPr="00803AC8">
        <w:rPr>
          <w:rFonts w:eastAsia="Times New Roman"/>
          <w:color w:val="auto"/>
          <w:kern w:val="0"/>
          <w:lang/>
        </w:rPr>
        <w:t xml:space="preserve"> доприноси очувању и јачању стабилности финансијског система.</w:t>
      </w:r>
      <w:r w:rsidR="00217AF2" w:rsidRPr="00803AC8">
        <w:rPr>
          <w:lang/>
        </w:rPr>
        <w:t xml:space="preserve"> НБС уређује, контролише и унапређује несметано функционисање платног промета у земљи и са иностранством.</w:t>
      </w:r>
      <w:r w:rsidRPr="00803AC8">
        <w:rPr>
          <w:rFonts w:eastAsia="Times New Roman"/>
          <w:color w:val="auto"/>
          <w:kern w:val="0"/>
          <w:lang/>
        </w:rPr>
        <w:t xml:space="preserve"> У смислу борбе против </w:t>
      </w:r>
      <w:r w:rsidR="004D73DA" w:rsidRPr="00803AC8">
        <w:rPr>
          <w:rFonts w:eastAsia="Times New Roman"/>
          <w:color w:val="auto"/>
          <w:kern w:val="0"/>
          <w:lang/>
        </w:rPr>
        <w:t xml:space="preserve">ПН/ФТ </w:t>
      </w:r>
      <w:r w:rsidR="006F3102" w:rsidRPr="00803AC8">
        <w:rPr>
          <w:rFonts w:eastAsia="Times New Roman"/>
          <w:color w:val="auto"/>
          <w:kern w:val="0"/>
          <w:lang/>
        </w:rPr>
        <w:t xml:space="preserve">НБС </w:t>
      </w:r>
      <w:r w:rsidRPr="00803AC8">
        <w:rPr>
          <w:rFonts w:eastAsia="Times New Roman"/>
          <w:color w:val="auto"/>
          <w:kern w:val="0"/>
          <w:lang/>
        </w:rPr>
        <w:t>је регулатор и надзорни орган великог дела финансијског тржишта у</w:t>
      </w:r>
      <w:r w:rsidR="006D62B1" w:rsidRPr="00803AC8">
        <w:rPr>
          <w:rFonts w:eastAsia="Times New Roman"/>
          <w:color w:val="auto"/>
          <w:kern w:val="0"/>
          <w:lang/>
        </w:rPr>
        <w:t xml:space="preserve"> Републици</w:t>
      </w:r>
      <w:r w:rsidRPr="00803AC8">
        <w:rPr>
          <w:rFonts w:eastAsia="Times New Roman"/>
          <w:color w:val="auto"/>
          <w:kern w:val="0"/>
          <w:lang/>
        </w:rPr>
        <w:t xml:space="preserve"> Србији, а поред банкарског сектора она регулише, издаје и одузима дозволе за рад и врши надзор над добровољним пензијским фондовима, пружаоцима финансијског лизинга, друштвима за осигурање, друштвима за посредовање у осигурању, друштвима за заступање у осигурању и агентима осигурања са дозволом за обављање делатности животног осигурања. НБС врши контролу бонитета и законитости пословања банака и других финансијских институција и надлежна је за унапређење функционисања платног промета и очување и јачање стабилности финансијског система.</w:t>
      </w:r>
    </w:p>
    <w:p w:rsidR="00DC2690" w:rsidRPr="00803AC8" w:rsidRDefault="00DC2690" w:rsidP="006D62B1">
      <w:pPr>
        <w:autoSpaceDE w:val="0"/>
        <w:autoSpaceDN w:val="0"/>
        <w:adjustRightInd w:val="0"/>
        <w:ind w:left="0" w:firstLine="720"/>
        <w:jc w:val="both"/>
        <w:rPr>
          <w:lang/>
        </w:rPr>
      </w:pPr>
      <w:r w:rsidRPr="00803AC8">
        <w:rPr>
          <w:b/>
          <w:color w:val="auto"/>
          <w:lang/>
        </w:rPr>
        <w:t>Комисија за хартије од вредности</w:t>
      </w:r>
      <w:r w:rsidRPr="00803AC8">
        <w:rPr>
          <w:color w:val="auto"/>
          <w:lang/>
        </w:rPr>
        <w:t xml:space="preserve"> </w:t>
      </w:r>
      <w:r w:rsidR="00ED616A" w:rsidRPr="00803AC8">
        <w:rPr>
          <w:color w:val="auto"/>
          <w:lang/>
        </w:rPr>
        <w:t>(у даљем тексту: Комисија)</w:t>
      </w:r>
      <w:r w:rsidR="00043183" w:rsidRPr="00803AC8">
        <w:rPr>
          <w:color w:val="auto"/>
          <w:lang/>
        </w:rPr>
        <w:t xml:space="preserve"> </w:t>
      </w:r>
      <w:r w:rsidRPr="00803AC8">
        <w:rPr>
          <w:color w:val="auto"/>
          <w:lang/>
        </w:rPr>
        <w:t>је независна и самостална организација Републике Србије одговорна за законито функционисање тржишта хартија од вредности, са циљем заштите инвеститора и обезбеђивање правичности, ефикасности и транспарентности тог тржишта. У том смислу, Комисија врши надзор над применом Закона о тржишту капитала</w:t>
      </w:r>
      <w:r w:rsidR="00742C43" w:rsidRPr="00803AC8">
        <w:rPr>
          <w:color w:val="auto"/>
          <w:lang/>
        </w:rPr>
        <w:t xml:space="preserve"> </w:t>
      </w:r>
      <w:r w:rsidR="00742C43" w:rsidRPr="00803AC8">
        <w:rPr>
          <w:color w:val="auto"/>
          <w:kern w:val="0"/>
          <w:lang/>
        </w:rPr>
        <w:t>(„Службен</w:t>
      </w:r>
      <w:r w:rsidR="003462EE" w:rsidRPr="00803AC8">
        <w:rPr>
          <w:color w:val="auto"/>
          <w:kern w:val="0"/>
          <w:lang/>
        </w:rPr>
        <w:t>и</w:t>
      </w:r>
      <w:r w:rsidR="0017528E" w:rsidRPr="00803AC8">
        <w:rPr>
          <w:color w:val="auto"/>
          <w:kern w:val="0"/>
          <w:lang/>
        </w:rPr>
        <w:t xml:space="preserve"> гласник PC”</w:t>
      </w:r>
      <w:r w:rsidR="00742C43" w:rsidRPr="00803AC8">
        <w:rPr>
          <w:color w:val="auto"/>
          <w:kern w:val="0"/>
          <w:lang/>
        </w:rPr>
        <w:t>, бр</w:t>
      </w:r>
      <w:r w:rsidR="008774AB">
        <w:rPr>
          <w:color w:val="auto"/>
          <w:kern w:val="0"/>
          <w:lang/>
        </w:rPr>
        <w:t>ој</w:t>
      </w:r>
      <w:r w:rsidR="004861B7" w:rsidRPr="00803AC8">
        <w:rPr>
          <w:color w:val="auto"/>
          <w:kern w:val="0"/>
          <w:lang/>
        </w:rPr>
        <w:t xml:space="preserve"> 31/</w:t>
      </w:r>
      <w:r w:rsidR="00742C43" w:rsidRPr="00803AC8">
        <w:rPr>
          <w:color w:val="auto"/>
          <w:kern w:val="0"/>
          <w:lang/>
        </w:rPr>
        <w:t>11)</w:t>
      </w:r>
      <w:r w:rsidRPr="00803AC8">
        <w:rPr>
          <w:color w:val="auto"/>
          <w:lang/>
        </w:rPr>
        <w:t>, Закона о преузимању акционарских друштава</w:t>
      </w:r>
      <w:r w:rsidR="00742C43" w:rsidRPr="00803AC8">
        <w:rPr>
          <w:color w:val="auto"/>
          <w:lang/>
        </w:rPr>
        <w:t xml:space="preserve"> </w:t>
      </w:r>
      <w:r w:rsidR="00742C43" w:rsidRPr="00803AC8">
        <w:rPr>
          <w:color w:val="auto"/>
          <w:kern w:val="0"/>
          <w:lang/>
        </w:rPr>
        <w:t>(„Службен</w:t>
      </w:r>
      <w:r w:rsidR="00D74B3D" w:rsidRPr="00803AC8">
        <w:rPr>
          <w:color w:val="auto"/>
          <w:kern w:val="0"/>
          <w:lang/>
        </w:rPr>
        <w:t>и</w:t>
      </w:r>
      <w:r w:rsidR="00742C43" w:rsidRPr="00803AC8">
        <w:rPr>
          <w:color w:val="auto"/>
          <w:kern w:val="0"/>
          <w:lang/>
        </w:rPr>
        <w:t xml:space="preserve"> глас</w:t>
      </w:r>
      <w:r w:rsidR="0017528E" w:rsidRPr="00803AC8">
        <w:rPr>
          <w:color w:val="auto"/>
          <w:kern w:val="0"/>
          <w:lang/>
        </w:rPr>
        <w:t>ник PC”</w:t>
      </w:r>
      <w:r w:rsidR="00742C43" w:rsidRPr="00803AC8">
        <w:rPr>
          <w:color w:val="auto"/>
          <w:kern w:val="0"/>
          <w:lang/>
        </w:rPr>
        <w:t>, бр.</w:t>
      </w:r>
      <w:r w:rsidRPr="00803AC8">
        <w:rPr>
          <w:color w:val="auto"/>
          <w:lang/>
        </w:rPr>
        <w:t xml:space="preserve"> </w:t>
      </w:r>
      <w:r w:rsidR="00742C43" w:rsidRPr="00803AC8">
        <w:rPr>
          <w:lang/>
        </w:rPr>
        <w:t xml:space="preserve">46/06, 107/09 и 99/11) </w:t>
      </w:r>
      <w:r w:rsidRPr="00803AC8">
        <w:rPr>
          <w:color w:val="auto"/>
          <w:lang/>
        </w:rPr>
        <w:t>и Закона о инвестиционим фондовима</w:t>
      </w:r>
      <w:r w:rsidR="00742C43" w:rsidRPr="00803AC8">
        <w:rPr>
          <w:color w:val="auto"/>
          <w:lang/>
        </w:rPr>
        <w:t xml:space="preserve"> </w:t>
      </w:r>
      <w:r w:rsidR="00742C43" w:rsidRPr="00803AC8">
        <w:rPr>
          <w:color w:val="auto"/>
          <w:kern w:val="0"/>
          <w:lang/>
        </w:rPr>
        <w:t>(„Службен</w:t>
      </w:r>
      <w:r w:rsidR="00D74B3D" w:rsidRPr="00803AC8">
        <w:rPr>
          <w:color w:val="auto"/>
          <w:kern w:val="0"/>
          <w:lang/>
        </w:rPr>
        <w:t>и</w:t>
      </w:r>
      <w:r w:rsidR="0017528E" w:rsidRPr="00803AC8">
        <w:rPr>
          <w:color w:val="auto"/>
          <w:kern w:val="0"/>
          <w:lang/>
        </w:rPr>
        <w:t xml:space="preserve"> гласник PC”</w:t>
      </w:r>
      <w:r w:rsidR="00742C43" w:rsidRPr="00803AC8">
        <w:rPr>
          <w:color w:val="auto"/>
          <w:kern w:val="0"/>
          <w:lang/>
        </w:rPr>
        <w:t>, бр.</w:t>
      </w:r>
      <w:r w:rsidR="00742C43" w:rsidRPr="00803AC8">
        <w:rPr>
          <w:color w:val="auto"/>
          <w:lang/>
        </w:rPr>
        <w:t xml:space="preserve"> </w:t>
      </w:r>
      <w:r w:rsidR="00A3078F" w:rsidRPr="00803AC8">
        <w:rPr>
          <w:lang/>
        </w:rPr>
        <w:t>46/06, 51/09,</w:t>
      </w:r>
      <w:r w:rsidR="00742C43" w:rsidRPr="00803AC8">
        <w:rPr>
          <w:lang/>
        </w:rPr>
        <w:t xml:space="preserve"> 31/11</w:t>
      </w:r>
      <w:r w:rsidR="00A3078F" w:rsidRPr="00803AC8">
        <w:rPr>
          <w:lang/>
        </w:rPr>
        <w:t xml:space="preserve"> и 115/14</w:t>
      </w:r>
      <w:r w:rsidR="00742C43" w:rsidRPr="00803AC8">
        <w:rPr>
          <w:lang/>
        </w:rPr>
        <w:t>)</w:t>
      </w:r>
      <w:r w:rsidRPr="00803AC8">
        <w:rPr>
          <w:color w:val="auto"/>
          <w:lang/>
        </w:rPr>
        <w:t xml:space="preserve">. </w:t>
      </w:r>
      <w:r w:rsidR="00EB6A0A" w:rsidRPr="00803AC8">
        <w:rPr>
          <w:color w:val="auto"/>
          <w:lang/>
        </w:rPr>
        <w:t xml:space="preserve">Комисија је, између осталог, </w:t>
      </w:r>
      <w:r w:rsidR="006F3102" w:rsidRPr="00803AC8">
        <w:rPr>
          <w:color w:val="auto"/>
          <w:lang/>
        </w:rPr>
        <w:t>надлежна</w:t>
      </w:r>
      <w:r w:rsidR="00EB6A0A" w:rsidRPr="00803AC8">
        <w:rPr>
          <w:color w:val="auto"/>
          <w:lang/>
        </w:rPr>
        <w:t xml:space="preserve"> за лиценцирање брокерско-дилерских друштава и друштава за управљање инвестиционим фондовима, као и за спровођење надзора над наведеним субјектима, као и целокупним тржиштем капитала. Поред наведеног, Комисија обавља надзор над </w:t>
      </w:r>
      <w:r w:rsidR="00FE5032" w:rsidRPr="00803AC8">
        <w:rPr>
          <w:color w:val="auto"/>
          <w:lang/>
        </w:rPr>
        <w:t>применом Закона</w:t>
      </w:r>
      <w:r w:rsidR="00EB6A0A" w:rsidRPr="00803AC8">
        <w:rPr>
          <w:color w:val="auto"/>
          <w:lang/>
        </w:rPr>
        <w:t xml:space="preserve"> од стране брокерско-дилерских друштава, друштава за управљање инвестиционим фондовима и банака (</w:t>
      </w:r>
      <w:r w:rsidR="00EB6A0A" w:rsidRPr="00803AC8">
        <w:rPr>
          <w:lang/>
        </w:rPr>
        <w:t>када се ради о кастоди и брокерско-дилерским пословима).</w:t>
      </w:r>
      <w:r w:rsidR="006D62B1" w:rsidRPr="00803AC8">
        <w:rPr>
          <w:lang/>
        </w:rPr>
        <w:t xml:space="preserve"> </w:t>
      </w:r>
    </w:p>
    <w:p w:rsidR="00DC2690" w:rsidRPr="00803AC8" w:rsidRDefault="00351794" w:rsidP="00FE5032">
      <w:pPr>
        <w:ind w:left="0" w:firstLine="720"/>
        <w:jc w:val="both"/>
        <w:rPr>
          <w:lang/>
        </w:rPr>
      </w:pPr>
      <w:r w:rsidRPr="00803AC8">
        <w:rPr>
          <w:b/>
          <w:lang/>
        </w:rPr>
        <w:t>Сектор тржишне инспекције</w:t>
      </w:r>
      <w:r w:rsidR="00C14B4F" w:rsidRPr="00803AC8">
        <w:rPr>
          <w:lang/>
        </w:rPr>
        <w:t>,</w:t>
      </w:r>
      <w:r w:rsidRPr="00803AC8">
        <w:rPr>
          <w:lang/>
        </w:rPr>
        <w:t xml:space="preserve"> сектор у </w:t>
      </w:r>
      <w:r w:rsidRPr="00803AC8">
        <w:rPr>
          <w:bCs/>
          <w:color w:val="auto"/>
          <w:kern w:val="0"/>
          <w:lang/>
        </w:rPr>
        <w:t xml:space="preserve">Министарству трговине, туризма и телекомуникација, </w:t>
      </w:r>
      <w:r w:rsidR="00DC2690" w:rsidRPr="00803AC8">
        <w:rPr>
          <w:lang/>
        </w:rPr>
        <w:t>ко</w:t>
      </w:r>
      <w:r w:rsidR="00112AC8" w:rsidRPr="00803AC8">
        <w:rPr>
          <w:lang/>
        </w:rPr>
        <w:t>нтинуирано врши контролу предузетника и правних лица која се баве посредовањем у промету</w:t>
      </w:r>
      <w:r w:rsidR="00DC2690" w:rsidRPr="00803AC8">
        <w:rPr>
          <w:lang/>
        </w:rPr>
        <w:t xml:space="preserve"> непокретности</w:t>
      </w:r>
      <w:r w:rsidR="00112AC8" w:rsidRPr="00803AC8">
        <w:rPr>
          <w:lang/>
        </w:rPr>
        <w:t>, као и контролом примене члана 36. Закона, који забрањује лицима која продају робу или врше услуге да</w:t>
      </w:r>
      <w:r w:rsidR="00DC2690" w:rsidRPr="00803AC8">
        <w:rPr>
          <w:lang/>
        </w:rPr>
        <w:t xml:space="preserve"> п</w:t>
      </w:r>
      <w:r w:rsidR="00112AC8" w:rsidRPr="00803AC8">
        <w:rPr>
          <w:lang/>
        </w:rPr>
        <w:t>римају готов новац за њихово плаћање</w:t>
      </w:r>
      <w:r w:rsidR="00DC2690" w:rsidRPr="00803AC8">
        <w:rPr>
          <w:lang/>
        </w:rPr>
        <w:t xml:space="preserve"> у износу од 15.000 евра и више</w:t>
      </w:r>
      <w:r w:rsidR="00112AC8" w:rsidRPr="00803AC8">
        <w:rPr>
          <w:lang/>
        </w:rPr>
        <w:t xml:space="preserve"> у динарској против</w:t>
      </w:r>
      <w:r w:rsidR="00F138F9" w:rsidRPr="00803AC8">
        <w:rPr>
          <w:lang/>
        </w:rPr>
        <w:t>в</w:t>
      </w:r>
      <w:r w:rsidR="00112AC8" w:rsidRPr="00803AC8">
        <w:rPr>
          <w:lang/>
        </w:rPr>
        <w:t>редности</w:t>
      </w:r>
      <w:r w:rsidR="00DC2690" w:rsidRPr="00803AC8">
        <w:rPr>
          <w:lang/>
        </w:rPr>
        <w:t>. У вршењу редовних контрола тржишни инспектори контролишу начин плаћања робе, то јест колики је износ готовинског плаћања робе, а на основу евиденција које су привредни субјекти обавезни да воде.</w:t>
      </w:r>
      <w:r w:rsidR="00FE5032" w:rsidRPr="00803AC8">
        <w:rPr>
          <w:lang/>
        </w:rPr>
        <w:t xml:space="preserve"> </w:t>
      </w:r>
    </w:p>
    <w:p w:rsidR="00DC2690" w:rsidRPr="00803AC8" w:rsidRDefault="00DC2690" w:rsidP="00FE5032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>Управа царина</w:t>
      </w:r>
      <w:r w:rsidRPr="00803AC8">
        <w:rPr>
          <w:color w:val="auto"/>
          <w:kern w:val="0"/>
          <w:lang/>
        </w:rPr>
        <w:t xml:space="preserve"> је орган </w:t>
      </w:r>
      <w:r w:rsidR="00351794" w:rsidRPr="00803AC8">
        <w:rPr>
          <w:color w:val="auto"/>
          <w:kern w:val="0"/>
          <w:lang/>
        </w:rPr>
        <w:t xml:space="preserve">управе </w:t>
      </w:r>
      <w:r w:rsidRPr="00803AC8">
        <w:rPr>
          <w:color w:val="auto"/>
          <w:kern w:val="0"/>
          <w:lang/>
        </w:rPr>
        <w:t>у саставу Министарства финансија</w:t>
      </w:r>
      <w:r w:rsidR="00FE5032" w:rsidRPr="00803AC8">
        <w:rPr>
          <w:color w:val="auto"/>
          <w:kern w:val="0"/>
          <w:lang/>
        </w:rPr>
        <w:t>,</w:t>
      </w:r>
      <w:r w:rsidRPr="00803AC8">
        <w:rPr>
          <w:color w:val="auto"/>
          <w:kern w:val="0"/>
          <w:lang/>
        </w:rPr>
        <w:t xml:space="preserve"> који спроводи царинску политику Републике Србије и активним учешћем у међународној и регионалној царинској сарадњи доприноси обезбеђивању сталних јавних прихода, ефикасном одвијању </w:t>
      </w:r>
      <w:r w:rsidRPr="00803AC8">
        <w:rPr>
          <w:color w:val="auto"/>
          <w:kern w:val="0"/>
          <w:lang/>
        </w:rPr>
        <w:lastRenderedPageBreak/>
        <w:t xml:space="preserve">међународне трговине, као и очувању безбедности, сигурности и свеукупне заштите. У погледу спречавања </w:t>
      </w:r>
      <w:r w:rsidR="00A3078F" w:rsidRPr="00803AC8">
        <w:rPr>
          <w:color w:val="auto"/>
          <w:kern w:val="0"/>
          <w:lang/>
        </w:rPr>
        <w:t>ПН/ФТ,</w:t>
      </w:r>
      <w:r w:rsidRPr="00803AC8">
        <w:rPr>
          <w:color w:val="auto"/>
          <w:kern w:val="0"/>
          <w:lang/>
        </w:rPr>
        <w:t xml:space="preserve"> Управа царина има и превентивну и репресивну функцију у прекограничним токовима робе, а превасходно готовине. Управа </w:t>
      </w:r>
      <w:r w:rsidR="00351794" w:rsidRPr="00803AC8">
        <w:rPr>
          <w:color w:val="auto"/>
          <w:kern w:val="0"/>
          <w:lang/>
        </w:rPr>
        <w:t xml:space="preserve">царина </w:t>
      </w:r>
      <w:r w:rsidRPr="00803AC8">
        <w:rPr>
          <w:color w:val="auto"/>
          <w:kern w:val="0"/>
          <w:lang/>
        </w:rPr>
        <w:t xml:space="preserve">има овлашћења да спроводи контролу токова стране валуте у међународном путничком саобраћају. </w:t>
      </w:r>
      <w:r w:rsidR="00FE5032" w:rsidRPr="00803AC8">
        <w:rPr>
          <w:color w:val="auto"/>
          <w:kern w:val="0"/>
          <w:lang/>
        </w:rPr>
        <w:t xml:space="preserve"> </w:t>
      </w:r>
    </w:p>
    <w:p w:rsidR="00742C43" w:rsidRPr="00803AC8" w:rsidRDefault="00742C43" w:rsidP="00DC2690">
      <w:pPr>
        <w:autoSpaceDE w:val="0"/>
        <w:autoSpaceDN w:val="0"/>
        <w:adjustRightInd w:val="0"/>
        <w:ind w:left="0" w:firstLine="720"/>
        <w:jc w:val="both"/>
        <w:rPr>
          <w:b/>
          <w:color w:val="auto"/>
          <w:kern w:val="0"/>
          <w:lang/>
        </w:rPr>
      </w:pPr>
    </w:p>
    <w:p w:rsidR="00DC2690" w:rsidRPr="00803AC8" w:rsidRDefault="00DC2690" w:rsidP="00DC2690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>Пореска управа</w:t>
      </w:r>
      <w:r w:rsidRPr="00803AC8">
        <w:rPr>
          <w:color w:val="auto"/>
          <w:kern w:val="0"/>
          <w:lang/>
        </w:rPr>
        <w:t xml:space="preserve"> је орган </w:t>
      </w:r>
      <w:r w:rsidR="000742BB" w:rsidRPr="00803AC8">
        <w:rPr>
          <w:color w:val="auto"/>
          <w:kern w:val="0"/>
          <w:lang/>
        </w:rPr>
        <w:t xml:space="preserve">управе </w:t>
      </w:r>
      <w:r w:rsidR="001C03C4" w:rsidRPr="00803AC8">
        <w:rPr>
          <w:color w:val="auto"/>
          <w:kern w:val="0"/>
          <w:lang/>
        </w:rPr>
        <w:t>у састав</w:t>
      </w:r>
      <w:r w:rsidRPr="00803AC8">
        <w:rPr>
          <w:color w:val="auto"/>
          <w:kern w:val="0"/>
          <w:lang/>
        </w:rPr>
        <w:t>у Министарства финансија.</w:t>
      </w:r>
      <w:r w:rsidR="00742C43" w:rsidRPr="00803AC8">
        <w:rPr>
          <w:color w:val="auto"/>
          <w:kern w:val="0"/>
          <w:lang/>
        </w:rPr>
        <w:t xml:space="preserve"> Следећи сектори</w:t>
      </w:r>
      <w:r w:rsidRPr="00803AC8">
        <w:rPr>
          <w:color w:val="auto"/>
          <w:kern w:val="0"/>
          <w:lang/>
        </w:rPr>
        <w:t xml:space="preserve"> </w:t>
      </w:r>
      <w:r w:rsidR="00955934" w:rsidRPr="00803AC8">
        <w:rPr>
          <w:color w:val="auto"/>
          <w:kern w:val="0"/>
          <w:lang/>
        </w:rPr>
        <w:t xml:space="preserve">у саставу Пореске управе </w:t>
      </w:r>
      <w:r w:rsidR="00742C43" w:rsidRPr="00803AC8">
        <w:rPr>
          <w:color w:val="auto"/>
          <w:kern w:val="0"/>
          <w:lang/>
        </w:rPr>
        <w:t xml:space="preserve">су </w:t>
      </w:r>
      <w:r w:rsidR="00955934" w:rsidRPr="00803AC8">
        <w:rPr>
          <w:color w:val="auto"/>
          <w:kern w:val="0"/>
          <w:lang/>
        </w:rPr>
        <w:t>значајни</w:t>
      </w:r>
      <w:r w:rsidR="00742C43" w:rsidRPr="00803AC8">
        <w:rPr>
          <w:color w:val="auto"/>
          <w:kern w:val="0"/>
          <w:lang/>
        </w:rPr>
        <w:t xml:space="preserve"> з</w:t>
      </w:r>
      <w:r w:rsidRPr="00803AC8">
        <w:rPr>
          <w:color w:val="auto"/>
          <w:kern w:val="0"/>
          <w:lang/>
        </w:rPr>
        <w:t xml:space="preserve">а борбу против </w:t>
      </w:r>
      <w:r w:rsidR="00A3078F" w:rsidRPr="00803AC8">
        <w:rPr>
          <w:color w:val="auto"/>
          <w:kern w:val="0"/>
          <w:lang/>
        </w:rPr>
        <w:t>ПН/ФТ</w:t>
      </w:r>
      <w:r w:rsidRPr="00803AC8">
        <w:rPr>
          <w:color w:val="auto"/>
          <w:kern w:val="0"/>
          <w:lang/>
        </w:rPr>
        <w:t>:</w:t>
      </w:r>
    </w:p>
    <w:p w:rsidR="00DC2690" w:rsidRPr="00803AC8" w:rsidRDefault="000742BB" w:rsidP="00FE5032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DC2690" w:rsidRPr="00803AC8">
        <w:rPr>
          <w:color w:val="auto"/>
          <w:kern w:val="0"/>
          <w:lang/>
        </w:rPr>
        <w:t xml:space="preserve">Сектор Пореске полиције је образован 2003. године и у његовој надлежности је откривање пореских кривичних дела и њихових починилаца. Надлежност Пореске полиције регулише Закон о пореском поступку и </w:t>
      </w:r>
      <w:r w:rsidRPr="00803AC8">
        <w:rPr>
          <w:color w:val="auto"/>
          <w:kern w:val="0"/>
          <w:lang/>
        </w:rPr>
        <w:t xml:space="preserve">пореској </w:t>
      </w:r>
      <w:r w:rsidR="00DC2690" w:rsidRPr="00803AC8">
        <w:rPr>
          <w:color w:val="auto"/>
          <w:kern w:val="0"/>
          <w:lang/>
        </w:rPr>
        <w:t>администрацији</w:t>
      </w:r>
      <w:r w:rsidRPr="00803AC8">
        <w:rPr>
          <w:color w:val="auto"/>
          <w:kern w:val="0"/>
          <w:lang/>
        </w:rPr>
        <w:t xml:space="preserve"> </w:t>
      </w:r>
      <w:r w:rsidRPr="00803AC8">
        <w:rPr>
          <w:color w:val="auto"/>
          <w:lang/>
        </w:rPr>
        <w:t>(</w:t>
      </w:r>
      <w:r w:rsidRPr="00803AC8">
        <w:rPr>
          <w:color w:val="auto"/>
          <w:kern w:val="0"/>
          <w:lang/>
        </w:rPr>
        <w:t>„Службени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Pr="00803AC8">
        <w:rPr>
          <w:color w:val="auto"/>
          <w:kern w:val="0"/>
          <w:lang/>
        </w:rPr>
        <w:t xml:space="preserve">, бр. </w:t>
      </w:r>
      <w:r w:rsidR="00FE5032" w:rsidRPr="00803AC8">
        <w:rPr>
          <w:lang/>
        </w:rPr>
        <w:t>80/02, 84/02-</w:t>
      </w:r>
      <w:r w:rsidR="00F138F9" w:rsidRPr="00803AC8">
        <w:rPr>
          <w:lang/>
        </w:rPr>
        <w:t>испр</w:t>
      </w:r>
      <w:r w:rsidR="00FE5032" w:rsidRPr="00803AC8">
        <w:rPr>
          <w:lang/>
        </w:rPr>
        <w:t>авка</w:t>
      </w:r>
      <w:r w:rsidR="00F138F9" w:rsidRPr="00803AC8">
        <w:rPr>
          <w:lang/>
        </w:rPr>
        <w:t>, 23/</w:t>
      </w:r>
      <w:r w:rsidR="00FE5032" w:rsidRPr="00803AC8">
        <w:rPr>
          <w:lang/>
        </w:rPr>
        <w:t>03-</w:t>
      </w:r>
      <w:r w:rsidRPr="00803AC8">
        <w:rPr>
          <w:lang/>
        </w:rPr>
        <w:t>испр</w:t>
      </w:r>
      <w:r w:rsidR="00FE5032" w:rsidRPr="00803AC8">
        <w:rPr>
          <w:lang/>
        </w:rPr>
        <w:t>авка, 70/03, 55/04, 61/05, 85/05-др. закон, 62/06-др. закон, 63/06-</w:t>
      </w:r>
      <w:r w:rsidRPr="00803AC8">
        <w:rPr>
          <w:lang/>
        </w:rPr>
        <w:t>испр</w:t>
      </w:r>
      <w:r w:rsidR="00FE5032" w:rsidRPr="00803AC8">
        <w:rPr>
          <w:lang/>
        </w:rPr>
        <w:t>авка</w:t>
      </w:r>
      <w:r w:rsidRPr="00803AC8">
        <w:rPr>
          <w:lang/>
        </w:rPr>
        <w:t>. др. закона, 61/07, 20/09, 72/</w:t>
      </w:r>
      <w:r w:rsidR="00FE5032" w:rsidRPr="00803AC8">
        <w:rPr>
          <w:lang/>
        </w:rPr>
        <w:t>09-</w:t>
      </w:r>
      <w:r w:rsidRPr="00803AC8">
        <w:rPr>
          <w:lang/>
        </w:rPr>
        <w:t>д</w:t>
      </w:r>
      <w:r w:rsidR="00FE5032" w:rsidRPr="00803AC8">
        <w:rPr>
          <w:lang/>
        </w:rPr>
        <w:t>р. закон, 53/10, 101/11, 2/12-</w:t>
      </w:r>
      <w:r w:rsidRPr="00803AC8">
        <w:rPr>
          <w:lang/>
        </w:rPr>
        <w:t>испр</w:t>
      </w:r>
      <w:r w:rsidR="00FE5032" w:rsidRPr="00803AC8">
        <w:rPr>
          <w:lang/>
        </w:rPr>
        <w:t>авка</w:t>
      </w:r>
      <w:r w:rsidRPr="00803AC8">
        <w:rPr>
          <w:lang/>
        </w:rPr>
        <w:t>, 93/12, 47/13</w:t>
      </w:r>
      <w:r w:rsidR="009A23C2">
        <w:rPr>
          <w:lang/>
        </w:rPr>
        <w:t>,</w:t>
      </w:r>
      <w:r w:rsidRPr="00803AC8">
        <w:rPr>
          <w:lang/>
        </w:rPr>
        <w:t xml:space="preserve"> 108/13</w:t>
      </w:r>
      <w:r w:rsidR="009A23C2">
        <w:rPr>
          <w:lang/>
        </w:rPr>
        <w:t>, 68/14 и 105/14</w:t>
      </w:r>
      <w:r w:rsidRPr="00803AC8">
        <w:rPr>
          <w:color w:val="auto"/>
          <w:kern w:val="0"/>
          <w:lang/>
        </w:rPr>
        <w:t>).</w:t>
      </w:r>
      <w:r w:rsidR="00DC2690" w:rsidRPr="00803AC8">
        <w:rPr>
          <w:color w:val="auto"/>
          <w:kern w:val="0"/>
          <w:lang/>
        </w:rPr>
        <w:t xml:space="preserve"> Пореска полиција делује као орган унутрашњих послова у преткривичном поступку и има овлашћења да примењује,</w:t>
      </w:r>
      <w:r w:rsidRPr="00803AC8">
        <w:rPr>
          <w:color w:val="auto"/>
          <w:kern w:val="0"/>
          <w:lang/>
        </w:rPr>
        <w:t xml:space="preserve"> у складу са з</w:t>
      </w:r>
      <w:r w:rsidR="00DC2690" w:rsidRPr="00803AC8">
        <w:rPr>
          <w:color w:val="auto"/>
          <w:kern w:val="0"/>
          <w:lang/>
        </w:rPr>
        <w:t>аконом, све радње у оквиру кривичне истраге, осим ограничавања слоб</w:t>
      </w:r>
      <w:r w:rsidR="004271E7" w:rsidRPr="00803AC8">
        <w:rPr>
          <w:color w:val="auto"/>
          <w:kern w:val="0"/>
          <w:lang/>
        </w:rPr>
        <w:t>оде кретања;</w:t>
      </w:r>
      <w:r w:rsidR="00DC2690" w:rsidRPr="00803AC8">
        <w:rPr>
          <w:color w:val="auto"/>
          <w:kern w:val="0"/>
          <w:lang/>
        </w:rPr>
        <w:t xml:space="preserve"> </w:t>
      </w:r>
      <w:r w:rsidR="00FE5032" w:rsidRPr="00803AC8">
        <w:rPr>
          <w:color w:val="auto"/>
          <w:kern w:val="0"/>
          <w:lang/>
        </w:rPr>
        <w:t xml:space="preserve"> </w:t>
      </w:r>
    </w:p>
    <w:p w:rsidR="004271E7" w:rsidRPr="00803AC8" w:rsidRDefault="000742BB" w:rsidP="004271E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 xml:space="preserve">- </w:t>
      </w:r>
      <w:r w:rsidR="00DC2690" w:rsidRPr="00803AC8">
        <w:rPr>
          <w:color w:val="auto"/>
          <w:kern w:val="0"/>
          <w:lang/>
        </w:rPr>
        <w:t xml:space="preserve">Сектор за мењачке и девизне послове и игре на срећу врши контролу девизног пословања резидената и нерезидената, </w:t>
      </w:r>
      <w:r w:rsidR="00EA0157" w:rsidRPr="00803AC8">
        <w:rPr>
          <w:color w:val="auto"/>
          <w:kern w:val="0"/>
          <w:lang/>
        </w:rPr>
        <w:t>доноси решење о издавању и одузимању овлашћења за обављање мењачких послова, и врши контролу мењачког пословања</w:t>
      </w:r>
      <w:r w:rsidR="00EA0157" w:rsidRPr="00803AC8">
        <w:rPr>
          <w:rFonts w:ascii="TimesNewRomanPSMT" w:hAnsi="TimesNewRomanPSMT" w:cs="TimesNewRomanPSMT"/>
          <w:color w:val="auto"/>
          <w:kern w:val="0"/>
          <w:sz w:val="20"/>
          <w:szCs w:val="20"/>
          <w:lang/>
        </w:rPr>
        <w:t xml:space="preserve"> </w:t>
      </w:r>
      <w:r w:rsidR="00DC2690" w:rsidRPr="00803AC8">
        <w:rPr>
          <w:color w:val="auto"/>
          <w:kern w:val="0"/>
          <w:lang/>
        </w:rPr>
        <w:t>сходно Закону о девизном пословању</w:t>
      </w:r>
      <w:r w:rsidR="008407F0" w:rsidRPr="00803AC8">
        <w:rPr>
          <w:color w:val="auto"/>
          <w:kern w:val="0"/>
          <w:lang/>
        </w:rPr>
        <w:t xml:space="preserve"> </w:t>
      </w:r>
      <w:r w:rsidR="008407F0" w:rsidRPr="00803AC8">
        <w:rPr>
          <w:color w:val="auto"/>
          <w:lang/>
        </w:rPr>
        <w:t>(</w:t>
      </w:r>
      <w:r w:rsidR="008407F0" w:rsidRPr="00803AC8">
        <w:rPr>
          <w:color w:val="auto"/>
          <w:kern w:val="0"/>
          <w:lang/>
        </w:rPr>
        <w:t>„Службени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8407F0" w:rsidRPr="00803AC8">
        <w:rPr>
          <w:color w:val="auto"/>
          <w:kern w:val="0"/>
          <w:lang/>
        </w:rPr>
        <w:t>, бр.</w:t>
      </w:r>
      <w:r w:rsidR="00DC2690" w:rsidRPr="00803AC8">
        <w:rPr>
          <w:color w:val="auto"/>
          <w:kern w:val="0"/>
          <w:lang/>
        </w:rPr>
        <w:t xml:space="preserve"> </w:t>
      </w:r>
      <w:r w:rsidR="004271E7" w:rsidRPr="00803AC8">
        <w:rPr>
          <w:lang/>
        </w:rPr>
        <w:t>62/06, 31/11,</w:t>
      </w:r>
      <w:r w:rsidR="008407F0" w:rsidRPr="00803AC8">
        <w:rPr>
          <w:lang/>
        </w:rPr>
        <w:t xml:space="preserve"> 119/12</w:t>
      </w:r>
      <w:r w:rsidR="004271E7" w:rsidRPr="00803AC8">
        <w:rPr>
          <w:lang/>
        </w:rPr>
        <w:t xml:space="preserve"> и 139/14</w:t>
      </w:r>
      <w:r w:rsidR="008407F0" w:rsidRPr="00803AC8">
        <w:rPr>
          <w:lang/>
        </w:rPr>
        <w:t>)</w:t>
      </w:r>
      <w:r w:rsidR="00742C43" w:rsidRPr="00803AC8">
        <w:rPr>
          <w:lang/>
        </w:rPr>
        <w:t>.</w:t>
      </w:r>
      <w:r w:rsidR="00EA0157" w:rsidRPr="00803AC8">
        <w:rPr>
          <w:lang/>
        </w:rPr>
        <w:t xml:space="preserve"> Такође, </w:t>
      </w:r>
      <w:r w:rsidR="00742C43" w:rsidRPr="00803AC8">
        <w:rPr>
          <w:lang/>
        </w:rPr>
        <w:t xml:space="preserve">овај сектор </w:t>
      </w:r>
      <w:r w:rsidR="00EA0157" w:rsidRPr="00803AC8">
        <w:rPr>
          <w:lang/>
        </w:rPr>
        <w:t>врши</w:t>
      </w:r>
      <w:r w:rsidR="00DC2690" w:rsidRPr="00803AC8">
        <w:rPr>
          <w:color w:val="auto"/>
          <w:kern w:val="0"/>
          <w:lang/>
        </w:rPr>
        <w:t xml:space="preserve"> надзор над применом Закона од стране правних лица и предузетника који обављају пос</w:t>
      </w:r>
      <w:r w:rsidR="00F138F9" w:rsidRPr="00803AC8">
        <w:rPr>
          <w:color w:val="auto"/>
          <w:kern w:val="0"/>
          <w:lang/>
        </w:rPr>
        <w:t xml:space="preserve">лове факторинга и форфетинга, </w:t>
      </w:r>
      <w:r w:rsidR="00DC2690" w:rsidRPr="00803AC8">
        <w:rPr>
          <w:color w:val="auto"/>
          <w:kern w:val="0"/>
          <w:lang/>
        </w:rPr>
        <w:t>пружања услуга преноса новца у међународном платном промету</w:t>
      </w:r>
      <w:r w:rsidR="00EA0157" w:rsidRPr="00803AC8">
        <w:rPr>
          <w:color w:val="auto"/>
          <w:kern w:val="0"/>
          <w:lang/>
        </w:rPr>
        <w:t>,</w:t>
      </w:r>
      <w:r w:rsidR="00DC2690" w:rsidRPr="00803AC8">
        <w:rPr>
          <w:color w:val="auto"/>
          <w:kern w:val="0"/>
          <w:lang/>
        </w:rPr>
        <w:t xml:space="preserve"> као и надзор над секто</w:t>
      </w:r>
      <w:r w:rsidR="00EA0157" w:rsidRPr="00803AC8">
        <w:rPr>
          <w:color w:val="auto"/>
          <w:kern w:val="0"/>
          <w:lang/>
        </w:rPr>
        <w:t>ром игара на срећу у складу са З</w:t>
      </w:r>
      <w:r w:rsidR="00DC2690" w:rsidRPr="00803AC8">
        <w:rPr>
          <w:color w:val="auto"/>
          <w:kern w:val="0"/>
          <w:lang/>
        </w:rPr>
        <w:t>аконом о играма на срећу</w:t>
      </w:r>
      <w:r w:rsidR="00EA0157" w:rsidRPr="00803AC8">
        <w:rPr>
          <w:color w:val="auto"/>
          <w:kern w:val="0"/>
          <w:lang/>
        </w:rPr>
        <w:t xml:space="preserve"> </w:t>
      </w:r>
      <w:r w:rsidR="00EA0157" w:rsidRPr="00803AC8">
        <w:rPr>
          <w:color w:val="auto"/>
          <w:lang/>
        </w:rPr>
        <w:t>(</w:t>
      </w:r>
      <w:r w:rsidR="00EA0157" w:rsidRPr="00803AC8">
        <w:rPr>
          <w:color w:val="auto"/>
          <w:kern w:val="0"/>
          <w:lang/>
        </w:rPr>
        <w:t>„Службени гласник</w:t>
      </w:r>
      <w:r w:rsidR="00D90DD0" w:rsidRPr="00803AC8">
        <w:rPr>
          <w:color w:val="auto"/>
          <w:kern w:val="0"/>
          <w:lang/>
        </w:rPr>
        <w:t xml:space="preserve"> РС</w:t>
      </w:r>
      <w:r w:rsidR="005260E3" w:rsidRPr="00803AC8">
        <w:rPr>
          <w:color w:val="auto"/>
          <w:kern w:val="0"/>
          <w:lang/>
        </w:rPr>
        <w:t>”</w:t>
      </w:r>
      <w:r w:rsidR="00EA0157" w:rsidRPr="00803AC8">
        <w:rPr>
          <w:color w:val="auto"/>
          <w:kern w:val="0"/>
          <w:lang/>
        </w:rPr>
        <w:t xml:space="preserve">, бр. </w:t>
      </w:r>
      <w:r w:rsidR="004271E7" w:rsidRPr="00803AC8">
        <w:rPr>
          <w:lang/>
        </w:rPr>
        <w:t>88/11 и 93/12-</w:t>
      </w:r>
      <w:r w:rsidR="00EA0157" w:rsidRPr="00803AC8">
        <w:rPr>
          <w:lang/>
        </w:rPr>
        <w:t>др. закон)</w:t>
      </w:r>
      <w:r w:rsidR="00742C43" w:rsidRPr="00803AC8">
        <w:rPr>
          <w:lang/>
        </w:rPr>
        <w:t>,</w:t>
      </w:r>
      <w:r w:rsidR="00DC2690" w:rsidRPr="00803AC8">
        <w:rPr>
          <w:color w:val="auto"/>
          <w:kern w:val="0"/>
          <w:lang/>
        </w:rPr>
        <w:t xml:space="preserve"> који уређује право на приређивање игара на срећу, врсте игара на срећу, услове приређивања, права и обавезе приређивача игара на срећу, остваривање и припадност прихода остварених приређивањем игара на срећу. </w:t>
      </w:r>
    </w:p>
    <w:p w:rsidR="00DC2690" w:rsidRPr="00803AC8" w:rsidRDefault="00DC2690" w:rsidP="004271E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lang/>
        </w:rPr>
        <w:t>Агенција за борбу против корупције</w:t>
      </w:r>
      <w:r w:rsidRPr="00803AC8">
        <w:rPr>
          <w:color w:val="auto"/>
          <w:lang/>
        </w:rPr>
        <w:t xml:space="preserve"> (у даљем тексту: Агенција) је</w:t>
      </w:r>
      <w:r w:rsidR="007762D4" w:rsidRPr="00803AC8">
        <w:rPr>
          <w:color w:val="auto"/>
          <w:lang/>
        </w:rPr>
        <w:t xml:space="preserve"> самосталан и независан</w:t>
      </w:r>
      <w:r w:rsidRPr="00803AC8">
        <w:rPr>
          <w:color w:val="auto"/>
          <w:lang/>
        </w:rPr>
        <w:t xml:space="preserve"> државни орган. Основана је Законом о Агенцији</w:t>
      </w:r>
      <w:r w:rsidR="00D74B3D" w:rsidRPr="00803AC8">
        <w:rPr>
          <w:color w:val="auto"/>
          <w:lang/>
        </w:rPr>
        <w:t xml:space="preserve"> за борбу против корупције („Службени</w:t>
      </w:r>
      <w:r w:rsidRPr="00803AC8">
        <w:rPr>
          <w:color w:val="auto"/>
          <w:lang/>
        </w:rPr>
        <w:t xml:space="preserve"> гласник РС</w:t>
      </w:r>
      <w:r w:rsidR="005260E3" w:rsidRPr="00803AC8">
        <w:rPr>
          <w:color w:val="auto"/>
          <w:lang/>
        </w:rPr>
        <w:t>”</w:t>
      </w:r>
      <w:r w:rsidRPr="00803AC8">
        <w:rPr>
          <w:color w:val="auto"/>
          <w:lang/>
        </w:rPr>
        <w:t xml:space="preserve">, </w:t>
      </w:r>
      <w:r w:rsidR="004271E7" w:rsidRPr="00803AC8">
        <w:rPr>
          <w:color w:val="auto"/>
          <w:lang/>
        </w:rPr>
        <w:t>бр. 97/08, 53/10, 66/11-УС, 67/13-УС и 112/13-</w:t>
      </w:r>
      <w:r w:rsidRPr="00803AC8">
        <w:rPr>
          <w:color w:val="auto"/>
          <w:lang/>
        </w:rPr>
        <w:t xml:space="preserve">аутентично тумачење) и за обављање послова из своје надлежности одговорна је Народној скупштини. </w:t>
      </w:r>
      <w:r w:rsidR="007762D4" w:rsidRPr="00803AC8">
        <w:rPr>
          <w:color w:val="auto"/>
          <w:lang/>
        </w:rPr>
        <w:t xml:space="preserve">Агенција има широк спектар надлежности и овлашћења која се односе на: антикорупцијску политику и сарадњу са другим државним органима у вези са овом темом, сукоб интереса, контролу имовине функционера, планове интегритета, финансирање политичких странака и изборних кампања, израду антикорупцијских прописа, едукацију, истраживање, анализе и међународну сарадњу. Агенција је </w:t>
      </w:r>
      <w:r w:rsidRPr="00803AC8">
        <w:rPr>
          <w:color w:val="auto"/>
          <w:lang/>
        </w:rPr>
        <w:t xml:space="preserve">установљења као </w:t>
      </w:r>
      <w:r w:rsidR="007762D4" w:rsidRPr="00803AC8">
        <w:rPr>
          <w:color w:val="auto"/>
          <w:lang/>
        </w:rPr>
        <w:t>државни орган</w:t>
      </w:r>
      <w:r w:rsidRPr="00803AC8">
        <w:rPr>
          <w:color w:val="auto"/>
          <w:lang/>
        </w:rPr>
        <w:t xml:space="preserve"> са јаком превентивном улогом y борби против корупције и њен основни циљ је да у координацији са другим органима јавне власти, цивилним сектором, медијима и јавношћу у целости побољша стање у тој области.</w:t>
      </w:r>
    </w:p>
    <w:p w:rsidR="00DC2690" w:rsidRPr="00803AC8" w:rsidRDefault="007762D4" w:rsidP="00DC2690">
      <w:pPr>
        <w:ind w:left="0" w:firstLine="720"/>
        <w:jc w:val="both"/>
        <w:rPr>
          <w:color w:val="auto"/>
          <w:lang/>
        </w:rPr>
      </w:pPr>
      <w:r w:rsidRPr="00803AC8">
        <w:rPr>
          <w:color w:val="auto"/>
          <w:lang/>
        </w:rPr>
        <w:t>Надлежност Агенције је, поред осталог,</w:t>
      </w:r>
      <w:r w:rsidR="00DC2690" w:rsidRPr="00803AC8">
        <w:rPr>
          <w:color w:val="auto"/>
          <w:lang/>
        </w:rPr>
        <w:t xml:space="preserve"> </w:t>
      </w:r>
      <w:r w:rsidRPr="00803AC8">
        <w:rPr>
          <w:color w:val="auto"/>
          <w:lang/>
        </w:rPr>
        <w:t>да води регистар функционера, регистар имови</w:t>
      </w:r>
      <w:r w:rsidR="00E75F4A" w:rsidRPr="00803AC8">
        <w:rPr>
          <w:color w:val="auto"/>
          <w:lang/>
        </w:rPr>
        <w:t>не функционера, каталог поклона</w:t>
      </w:r>
      <w:r w:rsidR="00F138F9" w:rsidRPr="00803AC8">
        <w:rPr>
          <w:color w:val="auto"/>
          <w:lang/>
        </w:rPr>
        <w:t>, да врши контролу финансир</w:t>
      </w:r>
      <w:r w:rsidR="00037BF7" w:rsidRPr="00803AC8">
        <w:rPr>
          <w:color w:val="auto"/>
          <w:lang/>
        </w:rPr>
        <w:t xml:space="preserve">ања политичких странака, као и контролу извештаја о имовини и приходима функционера. Подаци о функционерима које поседује Агенција су од значаја за откривање кривичних дела из области корупције, као и праћења токова новца проистеклог извршењем коруптивних кривичних дела, односно кривичног дела прања новца. Такође, Агенција изриче </w:t>
      </w:r>
      <w:r w:rsidR="004271E7" w:rsidRPr="00803AC8">
        <w:rPr>
          <w:color w:val="auto"/>
          <w:lang/>
        </w:rPr>
        <w:t xml:space="preserve">мере због </w:t>
      </w:r>
      <w:r w:rsidR="0075798C" w:rsidRPr="00803AC8">
        <w:rPr>
          <w:color w:val="auto"/>
          <w:lang/>
        </w:rPr>
        <w:t xml:space="preserve"> повреде Закона о</w:t>
      </w:r>
      <w:r w:rsidR="00037BF7" w:rsidRPr="00803AC8">
        <w:rPr>
          <w:color w:val="auto"/>
          <w:lang/>
        </w:rPr>
        <w:t xml:space="preserve"> Агенцији за борбу против корупције, подноси захтеве за п</w:t>
      </w:r>
      <w:r w:rsidR="004271E7" w:rsidRPr="00803AC8">
        <w:rPr>
          <w:color w:val="auto"/>
          <w:lang/>
        </w:rPr>
        <w:t xml:space="preserve">окретање </w:t>
      </w:r>
      <w:r w:rsidR="004271E7" w:rsidRPr="00803AC8">
        <w:rPr>
          <w:color w:val="auto"/>
          <w:lang/>
        </w:rPr>
        <w:lastRenderedPageBreak/>
        <w:t xml:space="preserve">прекршајних поступака </w:t>
      </w:r>
      <w:r w:rsidR="00037BF7" w:rsidRPr="00803AC8">
        <w:rPr>
          <w:color w:val="auto"/>
          <w:lang/>
        </w:rPr>
        <w:t>и кривичне пријаве због непријављивања имовине или давања лажних података о имовини.</w:t>
      </w:r>
    </w:p>
    <w:p w:rsidR="00DC2690" w:rsidRPr="00803AC8" w:rsidRDefault="00DC2690" w:rsidP="00DC2690">
      <w:pPr>
        <w:autoSpaceDE w:val="0"/>
        <w:autoSpaceDN w:val="0"/>
        <w:adjustRightInd w:val="0"/>
        <w:ind w:left="0" w:firstLine="720"/>
        <w:jc w:val="both"/>
        <w:rPr>
          <w:color w:val="auto"/>
          <w:lang/>
        </w:rPr>
      </w:pPr>
      <w:r w:rsidRPr="00803AC8">
        <w:rPr>
          <w:b/>
          <w:bCs/>
          <w:color w:val="auto"/>
          <w:kern w:val="0"/>
          <w:lang/>
        </w:rPr>
        <w:t>Правосудна академија и Криминалистичко-полицијска академија</w:t>
      </w:r>
      <w:r w:rsidR="004271E7" w:rsidRPr="00803AC8">
        <w:rPr>
          <w:b/>
          <w:bCs/>
          <w:color w:val="auto"/>
          <w:kern w:val="0"/>
          <w:lang/>
        </w:rPr>
        <w:t xml:space="preserve"> -</w:t>
      </w:r>
      <w:r w:rsidR="00C14B4F" w:rsidRPr="00803AC8">
        <w:rPr>
          <w:b/>
          <w:bCs/>
          <w:color w:val="auto"/>
          <w:kern w:val="0"/>
          <w:lang/>
        </w:rPr>
        <w:t xml:space="preserve"> </w:t>
      </w:r>
      <w:r w:rsidR="00C14B4F" w:rsidRPr="00803AC8">
        <w:rPr>
          <w:color w:val="auto"/>
          <w:lang/>
        </w:rPr>
        <w:t>1.</w:t>
      </w:r>
      <w:r w:rsidRPr="00803AC8">
        <w:rPr>
          <w:color w:val="auto"/>
          <w:lang/>
        </w:rPr>
        <w:t xml:space="preserve"> јануара 2010. године почела је са радом Правосудна академија, чиме је заокружен процес креирања савременог система образовања судија и тужилаца. Отпочињањем рада Правосудне академије завршена је трансформација Правосудног центра, који је од 2002. до 2009. године спроводио програме сталне обуке судија и тужилаца. Оснивачи Правосудне академије су Влада и Друштво судија Србије</w:t>
      </w:r>
      <w:r w:rsidR="00F138F9" w:rsidRPr="00803AC8">
        <w:rPr>
          <w:color w:val="auto"/>
          <w:lang/>
        </w:rPr>
        <w:t>,</w:t>
      </w:r>
      <w:r w:rsidRPr="00803AC8">
        <w:rPr>
          <w:color w:val="auto"/>
          <w:lang/>
        </w:rPr>
        <w:t xml:space="preserve"> уз значајну подршку Савета Европе. Правосудна академија је пр</w:t>
      </w:r>
      <w:r w:rsidR="00EA0157" w:rsidRPr="00803AC8">
        <w:rPr>
          <w:color w:val="auto"/>
          <w:lang/>
        </w:rPr>
        <w:t xml:space="preserve">иродно важан партнер у развоју </w:t>
      </w:r>
      <w:r w:rsidRPr="00803AC8">
        <w:rPr>
          <w:color w:val="auto"/>
          <w:lang/>
        </w:rPr>
        <w:t>студијских програма и обезбеђивању с</w:t>
      </w:r>
      <w:r w:rsidR="00917330" w:rsidRPr="00803AC8">
        <w:rPr>
          <w:color w:val="auto"/>
          <w:lang/>
        </w:rPr>
        <w:t>тручних обука.</w:t>
      </w:r>
    </w:p>
    <w:p w:rsidR="003406E7" w:rsidRPr="00803AC8" w:rsidRDefault="00DC2690" w:rsidP="00DC2690">
      <w:pPr>
        <w:autoSpaceDE w:val="0"/>
        <w:autoSpaceDN w:val="0"/>
        <w:adjustRightInd w:val="0"/>
        <w:ind w:left="0" w:firstLine="720"/>
        <w:jc w:val="both"/>
        <w:rPr>
          <w:color w:val="auto"/>
          <w:lang/>
        </w:rPr>
      </w:pPr>
      <w:r w:rsidRPr="00803AC8">
        <w:rPr>
          <w:color w:val="auto"/>
          <w:lang/>
        </w:rPr>
        <w:t xml:space="preserve">У складу са савременим захтевима и </w:t>
      </w:r>
      <w:r w:rsidR="00E75F4A" w:rsidRPr="00803AC8">
        <w:rPr>
          <w:color w:val="auto"/>
          <w:lang/>
        </w:rPr>
        <w:t xml:space="preserve">потребама струке, </w:t>
      </w:r>
      <w:r w:rsidR="001E129E" w:rsidRPr="00803AC8">
        <w:rPr>
          <w:color w:val="auto"/>
          <w:lang/>
        </w:rPr>
        <w:t>Влада је 2006. године основала Криминалистичко-полицијску академију</w:t>
      </w:r>
      <w:r w:rsidR="00EA0157" w:rsidRPr="00803AC8">
        <w:rPr>
          <w:color w:val="auto"/>
          <w:lang/>
        </w:rPr>
        <w:t>,</w:t>
      </w:r>
      <w:r w:rsidR="001E129E" w:rsidRPr="00803AC8">
        <w:rPr>
          <w:color w:val="auto"/>
          <w:lang/>
        </w:rPr>
        <w:t xml:space="preserve"> као самосталну високошколску установу</w:t>
      </w:r>
      <w:r w:rsidRPr="00803AC8">
        <w:rPr>
          <w:color w:val="auto"/>
          <w:lang/>
        </w:rPr>
        <w:t xml:space="preserve"> за остваривање академских и струковних студијских програма свих нивоа за потребе полицијског образовања, као и друге облике стручног образовања и усавршавања од значаја за криминалистичко-полицијске и безбедносне послове. Криминалистичко-полицијска академија настала је интеграцијом Више школе унутрашњих послова и Полицијске академије и њихов је правни следбеник.</w:t>
      </w:r>
      <w:r w:rsidR="00143005" w:rsidRPr="00803AC8">
        <w:rPr>
          <w:color w:val="auto"/>
          <w:lang/>
        </w:rPr>
        <w:t xml:space="preserve"> </w:t>
      </w:r>
      <w:r w:rsidR="00414F85" w:rsidRPr="00803AC8">
        <w:rPr>
          <w:color w:val="auto"/>
          <w:lang/>
        </w:rPr>
        <w:t xml:space="preserve">Године 2014, </w:t>
      </w:r>
      <w:r w:rsidR="00143005" w:rsidRPr="00803AC8">
        <w:rPr>
          <w:color w:val="auto"/>
          <w:lang/>
        </w:rPr>
        <w:t>Одлуком Владе („Службени гласник РС</w:t>
      </w:r>
      <w:r w:rsidR="005260E3" w:rsidRPr="00803AC8">
        <w:rPr>
          <w:color w:val="auto"/>
          <w:lang/>
        </w:rPr>
        <w:t>”</w:t>
      </w:r>
      <w:r w:rsidR="00143005" w:rsidRPr="00803AC8">
        <w:rPr>
          <w:color w:val="auto"/>
          <w:lang/>
        </w:rPr>
        <w:t xml:space="preserve">, број 28/14) </w:t>
      </w:r>
      <w:r w:rsidR="008774AB">
        <w:rPr>
          <w:color w:val="auto"/>
          <w:lang/>
        </w:rPr>
        <w:t>основан</w:t>
      </w:r>
      <w:bookmarkStart w:id="0" w:name="_GoBack"/>
      <w:bookmarkEnd w:id="0"/>
      <w:r w:rsidR="00414F85" w:rsidRPr="00803AC8">
        <w:rPr>
          <w:color w:val="auto"/>
          <w:lang/>
        </w:rPr>
        <w:t xml:space="preserve"> </w:t>
      </w:r>
      <w:r w:rsidR="00143005" w:rsidRPr="00803AC8">
        <w:rPr>
          <w:color w:val="auto"/>
          <w:lang/>
        </w:rPr>
        <w:t>је Криминалистичко-полицијски универзитет.</w:t>
      </w:r>
    </w:p>
    <w:p w:rsidR="00DC2690" w:rsidRPr="00803AC8" w:rsidRDefault="00DC2690" w:rsidP="004271E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color w:val="auto"/>
          <w:kern w:val="0"/>
          <w:lang/>
        </w:rPr>
        <w:t xml:space="preserve">Удружење банака </w:t>
      </w:r>
      <w:r w:rsidR="00EA0157" w:rsidRPr="00803AC8">
        <w:rPr>
          <w:b/>
          <w:color w:val="auto"/>
          <w:kern w:val="0"/>
          <w:lang/>
        </w:rPr>
        <w:t>Србије</w:t>
      </w:r>
      <w:r w:rsidR="00EA0157" w:rsidRPr="00803AC8">
        <w:rPr>
          <w:color w:val="auto"/>
          <w:kern w:val="0"/>
          <w:lang/>
        </w:rPr>
        <w:t xml:space="preserve"> </w:t>
      </w:r>
      <w:r w:rsidR="00880C64" w:rsidRPr="00803AC8">
        <w:rPr>
          <w:color w:val="auto"/>
          <w:kern w:val="0"/>
          <w:lang/>
        </w:rPr>
        <w:t>окупља представнике свих банака</w:t>
      </w:r>
      <w:r w:rsidRPr="00803AC8">
        <w:rPr>
          <w:color w:val="auto"/>
          <w:kern w:val="0"/>
          <w:lang/>
        </w:rPr>
        <w:t xml:space="preserve"> у Републици Србији. У јануару 2005. године, </w:t>
      </w:r>
      <w:r w:rsidR="00306998" w:rsidRPr="00803AC8">
        <w:rPr>
          <w:color w:val="auto"/>
          <w:kern w:val="0"/>
          <w:lang/>
        </w:rPr>
        <w:t>ово удружење</w:t>
      </w:r>
      <w:r w:rsidR="00EA0157" w:rsidRPr="00803AC8">
        <w:rPr>
          <w:color w:val="auto"/>
          <w:kern w:val="0"/>
          <w:lang/>
        </w:rPr>
        <w:t xml:space="preserve"> је оформило </w:t>
      </w:r>
      <w:r w:rsidRPr="00803AC8">
        <w:rPr>
          <w:color w:val="auto"/>
          <w:kern w:val="0"/>
          <w:lang/>
        </w:rPr>
        <w:t xml:space="preserve">радну групу за усклађеност, која је трансформисана у Одбор за </w:t>
      </w:r>
      <w:r w:rsidR="00EA0157" w:rsidRPr="00803AC8">
        <w:rPr>
          <w:color w:val="auto"/>
          <w:kern w:val="0"/>
          <w:lang/>
        </w:rPr>
        <w:t>усклађеност пословања</w:t>
      </w:r>
      <w:r w:rsidRPr="00803AC8">
        <w:rPr>
          <w:color w:val="auto"/>
          <w:kern w:val="0"/>
          <w:lang/>
        </w:rPr>
        <w:t xml:space="preserve"> у банкама. Одбор је надлежан да прати и учествује у доношењу законске регулативе која дефинише и регулише рад </w:t>
      </w:r>
      <w:r w:rsidR="00306998" w:rsidRPr="00803AC8">
        <w:rPr>
          <w:color w:val="auto"/>
          <w:kern w:val="0"/>
          <w:lang/>
        </w:rPr>
        <w:t>сектора за усклађеност</w:t>
      </w:r>
      <w:r w:rsidR="00EA0157" w:rsidRPr="00803AC8">
        <w:rPr>
          <w:color w:val="auto"/>
          <w:kern w:val="0"/>
          <w:lang/>
        </w:rPr>
        <w:t xml:space="preserve"> у банкама, а</w:t>
      </w:r>
      <w:r w:rsidRPr="00803AC8">
        <w:rPr>
          <w:color w:val="auto"/>
          <w:kern w:val="0"/>
          <w:lang/>
        </w:rPr>
        <w:t>нализира предложена решења, даје своје примедбе, сугестије и прослеђује их предлагачима законске регулативе, покреће иницијативе за измену и допуну донетих законских и подзаконских аката и предлаже изр</w:t>
      </w:r>
      <w:r w:rsidR="00EA0157" w:rsidRPr="00803AC8">
        <w:rPr>
          <w:color w:val="auto"/>
          <w:kern w:val="0"/>
          <w:lang/>
        </w:rPr>
        <w:t>аду посебних материјала у виду п</w:t>
      </w:r>
      <w:r w:rsidRPr="00803AC8">
        <w:rPr>
          <w:color w:val="auto"/>
          <w:kern w:val="0"/>
          <w:lang/>
        </w:rPr>
        <w:t>репорука ради једнообразног обављања банкарске праксе.</w:t>
      </w:r>
      <w:r w:rsidR="004271E7" w:rsidRPr="00803AC8">
        <w:rPr>
          <w:color w:val="auto"/>
          <w:kern w:val="0"/>
          <w:lang/>
        </w:rPr>
        <w:t xml:space="preserve"> </w:t>
      </w:r>
    </w:p>
    <w:p w:rsidR="00DC2690" w:rsidRPr="00803AC8" w:rsidRDefault="00DC2690" w:rsidP="004271E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b/>
          <w:bCs/>
          <w:color w:val="auto"/>
          <w:kern w:val="0"/>
          <w:lang/>
        </w:rPr>
        <w:t>Адвокатска комора</w:t>
      </w:r>
      <w:r w:rsidR="003406E7" w:rsidRPr="00803AC8">
        <w:rPr>
          <w:b/>
          <w:bCs/>
          <w:color w:val="auto"/>
          <w:kern w:val="0"/>
          <w:lang/>
        </w:rPr>
        <w:t xml:space="preserve"> Србије </w:t>
      </w:r>
      <w:r w:rsidR="004271E7" w:rsidRPr="00803AC8">
        <w:rPr>
          <w:color w:val="auto"/>
          <w:kern w:val="0"/>
          <w:lang/>
        </w:rPr>
        <w:t>састоји се од осам</w:t>
      </w:r>
      <w:r w:rsidRPr="00803AC8">
        <w:rPr>
          <w:color w:val="auto"/>
          <w:kern w:val="0"/>
          <w:lang/>
        </w:rPr>
        <w:t xml:space="preserve"> регионалних адвокатских комора </w:t>
      </w:r>
      <w:r w:rsidR="003406E7" w:rsidRPr="00803AC8">
        <w:rPr>
          <w:color w:val="auto"/>
          <w:kern w:val="0"/>
          <w:lang/>
        </w:rPr>
        <w:t>(од којих је највећа у Београду, која</w:t>
      </w:r>
      <w:r w:rsidRPr="00803AC8">
        <w:rPr>
          <w:color w:val="auto"/>
          <w:kern w:val="0"/>
          <w:lang/>
        </w:rPr>
        <w:t xml:space="preserve"> окупља око 6200 професионалаца и 16 адвокатских канцеларија</w:t>
      </w:r>
      <w:r w:rsidR="003406E7" w:rsidRPr="00803AC8">
        <w:rPr>
          <w:color w:val="auto"/>
          <w:kern w:val="0"/>
          <w:lang/>
        </w:rPr>
        <w:t>)</w:t>
      </w:r>
      <w:r w:rsidRPr="00803AC8">
        <w:rPr>
          <w:color w:val="auto"/>
          <w:kern w:val="0"/>
          <w:lang/>
        </w:rPr>
        <w:t>.</w:t>
      </w:r>
      <w:r w:rsidR="004271E7" w:rsidRPr="00803AC8">
        <w:rPr>
          <w:color w:val="auto"/>
          <w:kern w:val="0"/>
          <w:lang/>
        </w:rPr>
        <w:t xml:space="preserve"> </w:t>
      </w:r>
    </w:p>
    <w:p w:rsidR="002B5645" w:rsidRPr="00803AC8" w:rsidRDefault="00DC2690" w:rsidP="004271E7">
      <w:pPr>
        <w:autoSpaceDE w:val="0"/>
        <w:autoSpaceDN w:val="0"/>
        <w:adjustRightInd w:val="0"/>
        <w:ind w:left="0" w:firstLine="720"/>
        <w:jc w:val="both"/>
        <w:rPr>
          <w:bCs/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Од значаја за систем борбе против прања новца и финансирања тероризма су и новинари и невладин сектор</w:t>
      </w:r>
      <w:r w:rsidRPr="00803AC8">
        <w:rPr>
          <w:b/>
          <w:bCs/>
          <w:color w:val="auto"/>
          <w:kern w:val="0"/>
          <w:lang/>
        </w:rPr>
        <w:t xml:space="preserve"> </w:t>
      </w:r>
      <w:r w:rsidRPr="00803AC8">
        <w:rPr>
          <w:bCs/>
          <w:color w:val="auto"/>
          <w:kern w:val="0"/>
          <w:lang/>
        </w:rPr>
        <w:t>који имају значајну улогу у подизању свести код шире јавности о финансијском криминалу и прању новца.</w:t>
      </w:r>
      <w:r w:rsidR="004271E7" w:rsidRPr="00803AC8">
        <w:rPr>
          <w:bCs/>
          <w:color w:val="auto"/>
          <w:kern w:val="0"/>
          <w:lang/>
        </w:rPr>
        <w:t xml:space="preserve"> </w:t>
      </w:r>
    </w:p>
    <w:p w:rsidR="002B5645" w:rsidRPr="00803AC8" w:rsidRDefault="002B5645" w:rsidP="002B5645">
      <w:pPr>
        <w:autoSpaceDE w:val="0"/>
        <w:autoSpaceDN w:val="0"/>
        <w:adjustRightInd w:val="0"/>
        <w:ind w:left="0"/>
        <w:jc w:val="center"/>
        <w:rPr>
          <w:bCs/>
          <w:color w:val="auto"/>
          <w:kern w:val="0"/>
          <w:lang/>
        </w:rPr>
      </w:pPr>
    </w:p>
    <w:p w:rsidR="00CB3258" w:rsidRPr="00803AC8" w:rsidRDefault="00CB3258" w:rsidP="00E52F93">
      <w:pPr>
        <w:ind w:left="0"/>
        <w:rPr>
          <w:bCs/>
          <w:color w:val="auto"/>
          <w:kern w:val="0"/>
          <w:lang/>
        </w:rPr>
        <w:sectPr w:rsidR="00CB3258" w:rsidRPr="00803AC8" w:rsidSect="00961756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91300" w:rsidRPr="00803AC8" w:rsidRDefault="009849C4" w:rsidP="00F8667B">
      <w:pPr>
        <w:autoSpaceDE w:val="0"/>
        <w:autoSpaceDN w:val="0"/>
        <w:adjustRightInd w:val="0"/>
        <w:ind w:left="0"/>
        <w:jc w:val="center"/>
        <w:rPr>
          <w:i/>
          <w:color w:val="auto"/>
          <w:lang/>
        </w:rPr>
      </w:pPr>
      <w:r w:rsidRPr="00803AC8">
        <w:rPr>
          <w:i/>
          <w:color w:val="auto"/>
          <w:lang/>
        </w:rPr>
        <w:lastRenderedPageBreak/>
        <w:t>Графички приказ система за борбу против прања новца и финансирања тероризма</w:t>
      </w:r>
      <w:r w:rsidR="00E75F4A" w:rsidRPr="00803AC8">
        <w:rPr>
          <w:i/>
          <w:color w:val="auto"/>
          <w:lang/>
        </w:rPr>
        <w:t xml:space="preserve"> у Републици Србији</w:t>
      </w:r>
    </w:p>
    <w:p w:rsidR="00E52F93" w:rsidRPr="00803AC8" w:rsidRDefault="00DC5109">
      <w:pPr>
        <w:autoSpaceDE w:val="0"/>
        <w:autoSpaceDN w:val="0"/>
        <w:adjustRightInd w:val="0"/>
        <w:ind w:left="0"/>
        <w:rPr>
          <w:color w:val="auto"/>
          <w:lang/>
        </w:rPr>
      </w:pPr>
      <w:r w:rsidRPr="00803AC8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334645</wp:posOffset>
            </wp:positionV>
            <wp:extent cx="9338310" cy="6599555"/>
            <wp:effectExtent l="0" t="0" r="0" b="0"/>
            <wp:wrapNone/>
            <wp:docPr id="2" name="Picture 2" descr="Uprava infografik A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rava infografik A4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457" w:rsidRPr="00803AC8" w:rsidRDefault="00556457">
      <w:pPr>
        <w:autoSpaceDE w:val="0"/>
        <w:autoSpaceDN w:val="0"/>
        <w:adjustRightInd w:val="0"/>
        <w:ind w:left="0"/>
        <w:rPr>
          <w:color w:val="auto"/>
          <w:lang/>
        </w:rPr>
        <w:sectPr w:rsidR="00556457" w:rsidRPr="00803AC8" w:rsidSect="00803AC8">
          <w:pgSz w:w="15840" w:h="12240" w:orient="landscape"/>
          <w:pgMar w:top="630" w:right="1440" w:bottom="1440" w:left="1440" w:header="720" w:footer="720" w:gutter="0"/>
          <w:cols w:space="720"/>
          <w:titlePg/>
          <w:docGrid w:linePitch="360"/>
        </w:sectPr>
      </w:pPr>
    </w:p>
    <w:p w:rsidR="00C82AC7" w:rsidRPr="00803AC8" w:rsidRDefault="00C82AC7" w:rsidP="00C82AC7">
      <w:pPr>
        <w:autoSpaceDE w:val="0"/>
        <w:autoSpaceDN w:val="0"/>
        <w:adjustRightInd w:val="0"/>
        <w:ind w:left="0"/>
        <w:jc w:val="center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lastRenderedPageBreak/>
        <w:t>4. ПРИМЕНА НАЦИОНАЛНЕ СТРАТЕГИЈЕ</w:t>
      </w:r>
    </w:p>
    <w:p w:rsidR="00C82AC7" w:rsidRPr="00803AC8" w:rsidRDefault="00C82AC7" w:rsidP="00C82AC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</w:p>
    <w:p w:rsidR="00C82AC7" w:rsidRPr="00803AC8" w:rsidRDefault="00624CFF" w:rsidP="00C939DF">
      <w:pPr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П</w:t>
      </w:r>
      <w:r w:rsidR="00C82AC7" w:rsidRPr="00803AC8">
        <w:rPr>
          <w:color w:val="auto"/>
          <w:kern w:val="0"/>
          <w:lang/>
        </w:rPr>
        <w:t>р</w:t>
      </w:r>
      <w:r w:rsidRPr="00803AC8">
        <w:rPr>
          <w:color w:val="auto"/>
          <w:kern w:val="0"/>
          <w:lang/>
        </w:rPr>
        <w:t>имена Националне стратегије дефинисана је</w:t>
      </w:r>
      <w:r w:rsidR="00C939DF" w:rsidRPr="00803AC8">
        <w:rPr>
          <w:color w:val="auto"/>
          <w:kern w:val="0"/>
          <w:lang/>
        </w:rPr>
        <w:t xml:space="preserve"> А</w:t>
      </w:r>
      <w:r w:rsidR="00C82AC7" w:rsidRPr="00803AC8">
        <w:rPr>
          <w:color w:val="auto"/>
          <w:kern w:val="0"/>
          <w:lang/>
        </w:rPr>
        <w:t>кциони</w:t>
      </w:r>
      <w:r w:rsidRPr="00803AC8">
        <w:rPr>
          <w:color w:val="auto"/>
          <w:kern w:val="0"/>
          <w:lang/>
        </w:rPr>
        <w:t>м</w:t>
      </w:r>
      <w:r w:rsidR="00C82AC7" w:rsidRPr="00803AC8">
        <w:rPr>
          <w:color w:val="auto"/>
          <w:kern w:val="0"/>
          <w:lang/>
        </w:rPr>
        <w:t xml:space="preserve"> план</w:t>
      </w:r>
      <w:r w:rsidRPr="00803AC8">
        <w:rPr>
          <w:color w:val="auto"/>
          <w:kern w:val="0"/>
          <w:lang/>
        </w:rPr>
        <w:t>ом</w:t>
      </w:r>
      <w:r w:rsidR="00C939DF" w:rsidRPr="00803AC8">
        <w:rPr>
          <w:color w:val="auto"/>
          <w:lang/>
        </w:rPr>
        <w:t>. Акциони план</w:t>
      </w:r>
      <w:r w:rsidR="00C939DF" w:rsidRPr="00803AC8">
        <w:rPr>
          <w:color w:val="auto"/>
          <w:kern w:val="0"/>
          <w:lang/>
        </w:rPr>
        <w:t xml:space="preserve"> предвиђа</w:t>
      </w:r>
      <w:r w:rsidR="00C82AC7" w:rsidRPr="00803AC8">
        <w:rPr>
          <w:color w:val="auto"/>
          <w:kern w:val="0"/>
          <w:lang/>
        </w:rPr>
        <w:t xml:space="preserve"> конкретне активности са постављеним роковима, одговорним институцијама и неопходним средствима. </w:t>
      </w:r>
    </w:p>
    <w:p w:rsidR="00C82AC7" w:rsidRPr="00803AC8" w:rsidRDefault="00C82AC7" w:rsidP="00C82AC7">
      <w:pPr>
        <w:autoSpaceDE w:val="0"/>
        <w:autoSpaceDN w:val="0"/>
        <w:adjustRightInd w:val="0"/>
        <w:ind w:left="0" w:firstLine="720"/>
        <w:jc w:val="both"/>
        <w:rPr>
          <w:color w:val="auto"/>
          <w:kern w:val="0"/>
          <w:lang/>
        </w:rPr>
      </w:pPr>
      <w:r w:rsidRPr="00803AC8">
        <w:rPr>
          <w:color w:val="auto"/>
          <w:kern w:val="0"/>
          <w:lang/>
        </w:rPr>
        <w:t>Орган надлежан за надзор над применом ове стратегије је Стална координациона група.</w:t>
      </w:r>
      <w:r w:rsidR="005B3CD5" w:rsidRPr="00803AC8">
        <w:rPr>
          <w:color w:val="auto"/>
          <w:kern w:val="0"/>
          <w:lang/>
        </w:rPr>
        <w:t xml:space="preserve"> Иницијативу за покретање и спро</w:t>
      </w:r>
      <w:r w:rsidR="000147A8" w:rsidRPr="00803AC8">
        <w:rPr>
          <w:color w:val="auto"/>
          <w:kern w:val="0"/>
          <w:lang/>
        </w:rPr>
        <w:t>вођење појединих активности из А</w:t>
      </w:r>
      <w:r w:rsidR="005B3CD5" w:rsidRPr="00803AC8">
        <w:rPr>
          <w:color w:val="auto"/>
          <w:kern w:val="0"/>
          <w:lang/>
        </w:rPr>
        <w:t>кционог плана има првонаведени субјект у колони „Одговорни орган</w:t>
      </w:r>
      <w:r w:rsidR="005260E3" w:rsidRPr="00803AC8">
        <w:rPr>
          <w:color w:val="auto"/>
          <w:kern w:val="0"/>
          <w:lang/>
        </w:rPr>
        <w:t>”</w:t>
      </w:r>
      <w:r w:rsidR="000147A8" w:rsidRPr="00803AC8">
        <w:rPr>
          <w:color w:val="auto"/>
          <w:kern w:val="0"/>
          <w:lang/>
        </w:rPr>
        <w:t xml:space="preserve"> у А</w:t>
      </w:r>
      <w:r w:rsidR="005B3CD5" w:rsidRPr="00803AC8">
        <w:rPr>
          <w:color w:val="auto"/>
          <w:kern w:val="0"/>
          <w:lang/>
        </w:rPr>
        <w:t>кционом плану.</w:t>
      </w:r>
    </w:p>
    <w:p w:rsidR="00C82AC7" w:rsidRPr="00803AC8" w:rsidRDefault="00C82AC7" w:rsidP="00C82AC7">
      <w:pPr>
        <w:ind w:left="0" w:firstLine="720"/>
        <w:jc w:val="both"/>
        <w:rPr>
          <w:color w:val="auto"/>
          <w:lang/>
        </w:rPr>
      </w:pPr>
      <w:r w:rsidRPr="00803AC8">
        <w:rPr>
          <w:color w:val="auto"/>
          <w:lang/>
        </w:rPr>
        <w:t xml:space="preserve">Стална координациона група ће се приликом мерења и оцењивања успешности </w:t>
      </w:r>
      <w:r w:rsidR="000147A8" w:rsidRPr="00803AC8">
        <w:rPr>
          <w:color w:val="auto"/>
          <w:lang/>
        </w:rPr>
        <w:t xml:space="preserve">Националне </w:t>
      </w:r>
      <w:r w:rsidRPr="00803AC8">
        <w:rPr>
          <w:color w:val="auto"/>
          <w:lang/>
        </w:rPr>
        <w:t>стратегије нарочито руководити провером ефикасности активности и мера на испуњавању постављених циљева. Отуда ће се предвидети посебан технички механизам провере да ли се предвиђеним активностима постижу предвиђене мере</w:t>
      </w:r>
      <w:r w:rsidR="000147A8" w:rsidRPr="00803AC8">
        <w:rPr>
          <w:color w:val="auto"/>
          <w:lang/>
        </w:rPr>
        <w:t>,</w:t>
      </w:r>
      <w:r w:rsidRPr="00803AC8">
        <w:rPr>
          <w:color w:val="auto"/>
          <w:lang/>
        </w:rPr>
        <w:t xml:space="preserve"> као и да ли саме мере остварују задате циљеве Националне стр</w:t>
      </w:r>
      <w:r w:rsidR="00F17453" w:rsidRPr="00803AC8">
        <w:rPr>
          <w:color w:val="auto"/>
          <w:lang/>
        </w:rPr>
        <w:t>а</w:t>
      </w:r>
      <w:r w:rsidRPr="00803AC8">
        <w:rPr>
          <w:color w:val="auto"/>
          <w:lang/>
        </w:rPr>
        <w:t>тегије. Из тога разлога, сваке две године вршиће се преглед и провера спровођења и ефикасности спровођења Акционог плана.</w:t>
      </w:r>
    </w:p>
    <w:p w:rsidR="000147A8" w:rsidRPr="00803AC8" w:rsidRDefault="000147A8" w:rsidP="00C82AC7">
      <w:pPr>
        <w:ind w:left="0" w:firstLine="720"/>
        <w:jc w:val="both"/>
        <w:rPr>
          <w:color w:val="auto"/>
          <w:lang/>
        </w:rPr>
      </w:pPr>
    </w:p>
    <w:p w:rsidR="000147A8" w:rsidRPr="00803AC8" w:rsidRDefault="000147A8" w:rsidP="000147A8">
      <w:pPr>
        <w:ind w:left="0"/>
        <w:jc w:val="center"/>
        <w:rPr>
          <w:color w:val="auto"/>
          <w:lang/>
        </w:rPr>
      </w:pPr>
      <w:r w:rsidRPr="00803AC8">
        <w:rPr>
          <w:color w:val="auto"/>
          <w:lang/>
        </w:rPr>
        <w:t>5. АКЦИОНИ ПЛАН</w:t>
      </w:r>
    </w:p>
    <w:p w:rsidR="000147A8" w:rsidRPr="00803AC8" w:rsidRDefault="000147A8" w:rsidP="000147A8">
      <w:pPr>
        <w:ind w:left="0"/>
        <w:jc w:val="center"/>
        <w:rPr>
          <w:color w:val="auto"/>
          <w:lang/>
        </w:rPr>
      </w:pPr>
    </w:p>
    <w:p w:rsidR="000147A8" w:rsidRPr="00803AC8" w:rsidRDefault="000147A8" w:rsidP="000147A8">
      <w:pPr>
        <w:ind w:left="0" w:firstLine="720"/>
        <w:jc w:val="both"/>
        <w:rPr>
          <w:color w:val="auto"/>
          <w:lang/>
        </w:rPr>
      </w:pPr>
      <w:r w:rsidRPr="00803AC8">
        <w:rPr>
          <w:color w:val="auto"/>
          <w:lang/>
        </w:rPr>
        <w:t xml:space="preserve">Акциони план одштампан је уз ову </w:t>
      </w:r>
      <w:r w:rsidR="00E23BDC" w:rsidRPr="00803AC8">
        <w:rPr>
          <w:color w:val="auto"/>
          <w:lang/>
        </w:rPr>
        <w:t xml:space="preserve">националну </w:t>
      </w:r>
      <w:r w:rsidRPr="00803AC8">
        <w:rPr>
          <w:color w:val="auto"/>
          <w:lang/>
        </w:rPr>
        <w:t>стратегију и чини њен саставни део.</w:t>
      </w:r>
    </w:p>
    <w:p w:rsidR="008C724F" w:rsidRPr="00803AC8" w:rsidRDefault="008C724F" w:rsidP="00C82AC7">
      <w:pPr>
        <w:ind w:left="0" w:firstLine="720"/>
        <w:jc w:val="both"/>
        <w:rPr>
          <w:color w:val="auto"/>
          <w:lang/>
        </w:rPr>
      </w:pPr>
    </w:p>
    <w:p w:rsidR="00C82AC7" w:rsidRPr="00803AC8" w:rsidRDefault="000147A8" w:rsidP="00C82AC7">
      <w:pPr>
        <w:ind w:left="0"/>
        <w:jc w:val="center"/>
        <w:rPr>
          <w:color w:val="auto"/>
          <w:lang/>
        </w:rPr>
      </w:pPr>
      <w:r w:rsidRPr="00803AC8">
        <w:rPr>
          <w:color w:val="auto"/>
          <w:lang/>
        </w:rPr>
        <w:t>6</w:t>
      </w:r>
      <w:r w:rsidR="00C82AC7" w:rsidRPr="00803AC8">
        <w:rPr>
          <w:color w:val="auto"/>
          <w:lang/>
        </w:rPr>
        <w:t>. ЗАВРШНИ ДЕО</w:t>
      </w:r>
    </w:p>
    <w:p w:rsidR="00C82AC7" w:rsidRPr="00803AC8" w:rsidRDefault="00C82AC7" w:rsidP="00C82AC7">
      <w:pPr>
        <w:ind w:left="0"/>
        <w:jc w:val="center"/>
        <w:rPr>
          <w:color w:val="auto"/>
          <w:lang/>
        </w:rPr>
      </w:pPr>
    </w:p>
    <w:p w:rsidR="00C82AC7" w:rsidRPr="00803AC8" w:rsidRDefault="00C82AC7" w:rsidP="00C82AC7">
      <w:pPr>
        <w:ind w:left="0" w:firstLine="720"/>
        <w:jc w:val="both"/>
        <w:rPr>
          <w:color w:val="auto"/>
          <w:lang/>
        </w:rPr>
      </w:pPr>
      <w:r w:rsidRPr="00803AC8">
        <w:rPr>
          <w:bCs/>
          <w:color w:val="auto"/>
          <w:lang/>
        </w:rPr>
        <w:t>Ову националну стратегију објавити у „Службеном гласнику Републике Србије</w:t>
      </w:r>
      <w:r w:rsidR="005260E3" w:rsidRPr="00803AC8">
        <w:rPr>
          <w:bCs/>
          <w:color w:val="auto"/>
          <w:lang/>
        </w:rPr>
        <w:t>”</w:t>
      </w:r>
      <w:r w:rsidRPr="00803AC8">
        <w:rPr>
          <w:bCs/>
          <w:color w:val="auto"/>
          <w:lang/>
        </w:rPr>
        <w:t>.</w:t>
      </w:r>
    </w:p>
    <w:p w:rsidR="009711CA" w:rsidRPr="00803AC8" w:rsidRDefault="009711CA" w:rsidP="00556457">
      <w:pPr>
        <w:autoSpaceDE w:val="0"/>
        <w:autoSpaceDN w:val="0"/>
        <w:adjustRightInd w:val="0"/>
        <w:ind w:left="0"/>
        <w:rPr>
          <w:color w:val="auto"/>
          <w:lang/>
        </w:rPr>
      </w:pP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  <w:r w:rsidRPr="00803AC8">
        <w:rPr>
          <w:color w:val="auto"/>
          <w:lang/>
        </w:rPr>
        <w:t>05 Број:</w:t>
      </w: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  <w:r w:rsidRPr="00803AC8">
        <w:rPr>
          <w:color w:val="auto"/>
          <w:lang/>
        </w:rPr>
        <w:t>У Београду, 31. децембра 2014. године</w:t>
      </w: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</w:p>
    <w:p w:rsidR="00DA7097" w:rsidRPr="00803AC8" w:rsidRDefault="00DA7097" w:rsidP="00DA7097">
      <w:pPr>
        <w:autoSpaceDE w:val="0"/>
        <w:autoSpaceDN w:val="0"/>
        <w:adjustRightInd w:val="0"/>
        <w:ind w:left="0"/>
        <w:jc w:val="center"/>
        <w:rPr>
          <w:color w:val="auto"/>
          <w:lang/>
        </w:rPr>
      </w:pPr>
    </w:p>
    <w:p w:rsidR="00DA7097" w:rsidRPr="00803AC8" w:rsidRDefault="00DA7097" w:rsidP="00DA7097">
      <w:pPr>
        <w:autoSpaceDE w:val="0"/>
        <w:autoSpaceDN w:val="0"/>
        <w:adjustRightInd w:val="0"/>
        <w:ind w:left="0"/>
        <w:jc w:val="center"/>
        <w:rPr>
          <w:color w:val="auto"/>
          <w:lang/>
        </w:rPr>
      </w:pPr>
      <w:r w:rsidRPr="00803AC8">
        <w:rPr>
          <w:color w:val="auto"/>
          <w:lang/>
        </w:rPr>
        <w:t>В Л А Д А</w:t>
      </w:r>
    </w:p>
    <w:p w:rsidR="00DA7097" w:rsidRPr="00803AC8" w:rsidRDefault="00DA7097" w:rsidP="00556457">
      <w:pPr>
        <w:autoSpaceDE w:val="0"/>
        <w:autoSpaceDN w:val="0"/>
        <w:adjustRightInd w:val="0"/>
        <w:ind w:left="0"/>
        <w:rPr>
          <w:color w:val="auto"/>
          <w:lang/>
        </w:rPr>
      </w:pPr>
    </w:p>
    <w:p w:rsidR="00DA7097" w:rsidRPr="00803AC8" w:rsidRDefault="00DA7097" w:rsidP="00DA7097">
      <w:pPr>
        <w:autoSpaceDE w:val="0"/>
        <w:autoSpaceDN w:val="0"/>
        <w:adjustRightInd w:val="0"/>
        <w:ind w:left="7088"/>
        <w:jc w:val="center"/>
        <w:rPr>
          <w:color w:val="auto"/>
          <w:lang/>
        </w:rPr>
      </w:pPr>
    </w:p>
    <w:p w:rsidR="00DA7097" w:rsidRPr="00803AC8" w:rsidRDefault="00DA7097" w:rsidP="00DA7097">
      <w:pPr>
        <w:autoSpaceDE w:val="0"/>
        <w:autoSpaceDN w:val="0"/>
        <w:adjustRightInd w:val="0"/>
        <w:ind w:left="7088"/>
        <w:jc w:val="center"/>
        <w:rPr>
          <w:color w:val="auto"/>
          <w:lang/>
        </w:rPr>
      </w:pPr>
      <w:r w:rsidRPr="00803AC8">
        <w:rPr>
          <w:color w:val="auto"/>
          <w:lang/>
        </w:rPr>
        <w:t>ПРЕДСЕДНИК</w:t>
      </w:r>
    </w:p>
    <w:p w:rsidR="00DA7097" w:rsidRPr="00803AC8" w:rsidRDefault="00DA7097" w:rsidP="00DA7097">
      <w:pPr>
        <w:autoSpaceDE w:val="0"/>
        <w:autoSpaceDN w:val="0"/>
        <w:adjustRightInd w:val="0"/>
        <w:ind w:left="7088"/>
        <w:jc w:val="center"/>
        <w:rPr>
          <w:color w:val="auto"/>
          <w:lang/>
        </w:rPr>
      </w:pPr>
    </w:p>
    <w:p w:rsidR="00E62CF8" w:rsidRDefault="00DA7097" w:rsidP="00DA7097">
      <w:pPr>
        <w:autoSpaceDE w:val="0"/>
        <w:autoSpaceDN w:val="0"/>
        <w:adjustRightInd w:val="0"/>
        <w:ind w:left="7088"/>
        <w:jc w:val="center"/>
        <w:rPr>
          <w:color w:val="auto"/>
          <w:lang/>
        </w:rPr>
        <w:sectPr w:rsidR="00E62CF8" w:rsidSect="005564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3AC8">
        <w:rPr>
          <w:color w:val="auto"/>
          <w:lang/>
        </w:rPr>
        <w:t xml:space="preserve">Александар Вучић </w:t>
      </w:r>
    </w:p>
    <w:p w:rsidR="00E62CF8" w:rsidRPr="00BF44F2" w:rsidRDefault="00E62CF8" w:rsidP="00E62CF8">
      <w:pPr>
        <w:jc w:val="center"/>
        <w:rPr>
          <w:b/>
          <w:sz w:val="16"/>
          <w:lang/>
        </w:rPr>
      </w:pPr>
      <w:r w:rsidRPr="00BF44F2">
        <w:rPr>
          <w:b/>
          <w:sz w:val="16"/>
          <w:lang/>
        </w:rPr>
        <w:lastRenderedPageBreak/>
        <w:t>АКЦИОНИ ПЛАН ЗА СПРОВОЂЕЊЕ НАЦИОНАЛНЕ СТРАТЕГИЈЕ ЗА БОРБУ ПРОТИВ ПРАЊА НОВЦА И ФИНАНСИРАЊА ТЕРОРИЗМА</w:t>
      </w:r>
    </w:p>
    <w:p w:rsidR="00E62CF8" w:rsidRPr="00BF44F2" w:rsidRDefault="00E62CF8" w:rsidP="00E62CF8">
      <w:pPr>
        <w:jc w:val="center"/>
        <w:rPr>
          <w:b/>
          <w:sz w:val="16"/>
          <w:lang/>
        </w:rPr>
      </w:pPr>
    </w:p>
    <w:p w:rsidR="00E62CF8" w:rsidRPr="00BF44F2" w:rsidRDefault="00E62CF8" w:rsidP="00E62CF8">
      <w:pPr>
        <w:ind w:left="-720"/>
        <w:jc w:val="center"/>
        <w:rPr>
          <w:b/>
          <w:sz w:val="16"/>
          <w:lang/>
        </w:rPr>
      </w:pPr>
      <w:r w:rsidRPr="00BF44F2">
        <w:rPr>
          <w:b/>
          <w:sz w:val="16"/>
          <w:lang/>
        </w:rPr>
        <w:t>Стратешка тема 1 – Смањивање ризика од прања новца и финансирања тероризма кроз стратешко планирање, координацију и сарадњу свих учесника у систему</w:t>
      </w:r>
    </w:p>
    <w:p w:rsidR="00E62CF8" w:rsidRPr="00BF44F2" w:rsidRDefault="00E62CF8" w:rsidP="00E62CF8">
      <w:pPr>
        <w:rPr>
          <w:i/>
          <w:sz w:val="16"/>
          <w:lang/>
        </w:rPr>
      </w:pPr>
    </w:p>
    <w:tbl>
      <w:tblPr>
        <w:tblW w:w="157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160"/>
        <w:gridCol w:w="1620"/>
        <w:gridCol w:w="990"/>
        <w:gridCol w:w="3420"/>
        <w:gridCol w:w="3330"/>
        <w:gridCol w:w="1260"/>
        <w:gridCol w:w="1170"/>
      </w:tblGrid>
      <w:tr w:rsidR="00E62CF8" w:rsidRPr="00BF44F2" w:rsidTr="00BB7C97">
        <w:trPr>
          <w:trHeight w:val="287"/>
        </w:trPr>
        <w:tc>
          <w:tcPr>
            <w:tcW w:w="14580" w:type="dxa"/>
            <w:gridSpan w:val="7"/>
            <w:shd w:val="clear" w:color="auto" w:fill="D9D9D9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1.1. Потпуно разумевање ризика од прања новца у Републици Србији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Приоритет: 1</w:t>
            </w:r>
          </w:p>
        </w:tc>
      </w:tr>
      <w:tr w:rsidR="00E62CF8" w:rsidRPr="00BF44F2" w:rsidTr="00BB7C97">
        <w:trPr>
          <w:trHeight w:val="378"/>
        </w:trPr>
        <w:tc>
          <w:tcPr>
            <w:tcW w:w="1575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Добро разумевање ризика омогућиће надлежним државним органима да утврђују приоритете у свом раду ради отклањања најважнијих претњи по систем и његових слабих тачака. Очекује се више успешно решених предмета, како кроз поступке за та кривична дела тако и у погледу одузимања имовине стечене кривичним делом. Обвезници и надзорни органи ће помоћу квалитетних анализа ризика правити сопствене анализе и утврђивати приоритете у свом раду. Те ризике ће разумети сви учесници у систему и шира јавност.</w:t>
            </w:r>
          </w:p>
        </w:tc>
      </w:tr>
      <w:tr w:rsidR="00E62CF8" w:rsidRPr="00BF44F2" w:rsidTr="00BB7C97">
        <w:trPr>
          <w:trHeight w:val="287"/>
        </w:trPr>
        <w:tc>
          <w:tcPr>
            <w:tcW w:w="1458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 xml:space="preserve">Мера 1.1.1. Редовно ажурирати националну процену ризика од прања новца;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Приоритет: 1</w:t>
            </w:r>
          </w:p>
        </w:tc>
      </w:tr>
      <w:tr w:rsidR="00E62CF8" w:rsidRPr="00BF44F2" w:rsidTr="00BB7C97">
        <w:trPr>
          <w:trHeight w:val="458"/>
        </w:trPr>
        <w:tc>
          <w:tcPr>
            <w:tcW w:w="1458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1.1.2. Свим учесницима у систему у примереној форми достављати резултате националне процене ризика и омогућити им да у свом раду примене одговарајуће закључке и смернице, а у циљу смањења препознатих ризика.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Приоритет: 1</w:t>
            </w:r>
          </w:p>
        </w:tc>
      </w:tr>
      <w:tr w:rsidR="00E62CF8" w:rsidRPr="00BF44F2" w:rsidTr="00BB7C97">
        <w:trPr>
          <w:cantSplit/>
          <w:trHeight w:val="1349"/>
        </w:trPr>
        <w:tc>
          <w:tcPr>
            <w:tcW w:w="180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cantSplit/>
          <w:trHeight w:val="1134"/>
        </w:trPr>
        <w:tc>
          <w:tcPr>
            <w:tcW w:w="180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1.1.1.</w:t>
            </w:r>
            <w:r w:rsidRPr="00BF44F2">
              <w:rPr>
                <w:i/>
                <w:sz w:val="16"/>
                <w:lang/>
              </w:rPr>
              <w:t xml:space="preserve"> </w:t>
            </w:r>
            <w:r w:rsidRPr="00BF44F2">
              <w:rPr>
                <w:sz w:val="16"/>
                <w:lang/>
              </w:rPr>
              <w:t>Редовно ажурирати националну процену ризика од прања новца (НПР);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t>1.1.1.1. Утврдити методологију за редовно ажурирање Националне процене ризика сваке две године;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Непостојање ресурса и капацитета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Ажурирање методологије врши се у складу са дефинисаном методологијом.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документ о методологији за ажурирање националне процене ризика (НПР) и дистрибуиран члановима Сталне координационе групе (СКГ)</w:t>
            </w:r>
          </w:p>
        </w:tc>
        <w:tc>
          <w:tcPr>
            <w:tcW w:w="12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Стална координациона група (СКГ)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cantSplit/>
          <w:trHeight w:val="1134"/>
        </w:trPr>
        <w:tc>
          <w:tcPr>
            <w:tcW w:w="180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1.1.1.2. Ажурирање Националне процене ризика;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Непостојање, нетачност, непотпуност, недоследност статистика; непостојање методологије за спровођење НПР;  непостојање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Поређење перцепције представника државних органа о ризицима којима је систем изложен и његовим слабостима пре и после ажурирања ризика.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Састављени прегледни извештаји о ажурираној процени ризика.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cantSplit/>
          <w:trHeight w:val="1134"/>
        </w:trPr>
        <w:tc>
          <w:tcPr>
            <w:tcW w:w="180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1.1.2. Свим учесницима у систему у примереној форми достављати резултате </w:t>
            </w:r>
            <w:r w:rsidRPr="00BF44F2">
              <w:rPr>
                <w:sz w:val="16"/>
                <w:lang/>
              </w:rPr>
              <w:lastRenderedPageBreak/>
              <w:t>националне процене ризика и омогућити им да у свом раду примене одговарајуће закључке и смернице, а у циљу смањења препознатих ризика.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1.1.2.1. Достављати релевантне делове извештаја о националној процени ризика свим учесницима у систему;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Без ризика.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 и трајно,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докумената, проактивних или стратешких анализа или директне примене у раду на предметима, или регионалном контексту и мера у којој се користе (у процентима).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СКГ о дистрибуирању ажуриране НПР са повратном информацијом од тих органа у погледу примерености форме и употребљивости информација из ажуриране НПР.</w:t>
            </w:r>
          </w:p>
        </w:tc>
        <w:tc>
          <w:tcPr>
            <w:tcW w:w="12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 за спречавање прања новца (Управа)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cantSplit/>
          <w:trHeight w:val="1273"/>
        </w:trPr>
        <w:tc>
          <w:tcPr>
            <w:tcW w:w="180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1.1.2.2. Редовно међусобно извештавање чланова Сталне координационе групе о предузетим радњама на смањењу ризика утврђених у националној процени ризика;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ресурса, недовољан ангажман чланова СКГ; недоношење нове одлуке којом се јача СКГ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извештаја које су разменили међусобно државни органи у току састанака СКГ и на други начин.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ризика и слабости констатованих у извештају о ажурираној НПР који су смањени или отклоњени на законодавном, институционалном или оперативном нивоу.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Записници са састанака СКГ</w:t>
            </w:r>
          </w:p>
        </w:tc>
        <w:tc>
          <w:tcPr>
            <w:tcW w:w="12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cantSplit/>
          <w:trHeight w:val="1134"/>
        </w:trPr>
        <w:tc>
          <w:tcPr>
            <w:tcW w:w="180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1.1.2.3. Редовно проверавати, у оквиру посредних и непосредних контрола обвезника, или на други примерен начин, да ли је обвезник узео у обзир закључке националне процене ризика.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Неспровођење активности из мера 1.1.1 и 1.1.2; Претпоставка: Предвиђање, код надзорног органа, обавезе вршења провере; ресурси.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Поређење перцепције обвезника о ризицима којима је систем изложен и његовим слабостима пре и после контрола/анализе ризика.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надзорних органа на састанцима СКГ о резултатима контрола у погледу примене закључака из извештаја о процени ризика уз навођење типичних радњи које обвезници предузимају у том погледу.</w:t>
            </w:r>
          </w:p>
        </w:tc>
        <w:tc>
          <w:tcPr>
            <w:tcW w:w="12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Органи надлежни за надзор над спровођењем  Закона о спречавању прања новца и финансирања тероризма (Надзорни органи)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18"/>
        <w:gridCol w:w="992"/>
        <w:gridCol w:w="3418"/>
        <w:gridCol w:w="3330"/>
        <w:gridCol w:w="1262"/>
        <w:gridCol w:w="1170"/>
      </w:tblGrid>
      <w:tr w:rsidR="00E62CF8" w:rsidRPr="00BF44F2" w:rsidTr="00BB7C97">
        <w:trPr>
          <w:trHeight w:val="296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1.2.</w:t>
            </w:r>
            <w:r w:rsidRPr="00BF44F2">
              <w:rPr>
                <w:sz w:val="16"/>
                <w:lang/>
              </w:rPr>
              <w:t xml:space="preserve"> </w:t>
            </w:r>
            <w:r w:rsidRPr="00BF44F2">
              <w:rPr>
                <w:b/>
                <w:sz w:val="16"/>
                <w:lang/>
              </w:rPr>
              <w:t>Потпуно разумевање ризика од финансирања тероризма у Републици Србији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</w:t>
            </w:r>
            <w:r w:rsidRPr="00BF44F2">
              <w:rPr>
                <w:sz w:val="16"/>
                <w:lang/>
              </w:rPr>
              <w:t xml:space="preserve"> </w:t>
            </w:r>
            <w:r w:rsidRPr="00BF44F2">
              <w:rPr>
                <w:b/>
                <w:sz w:val="16"/>
                <w:lang/>
              </w:rPr>
              <w:t>2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Очекивани резултати:</w:t>
            </w:r>
            <w:r w:rsidRPr="00BF44F2">
              <w:rPr>
                <w:sz w:val="16"/>
                <w:lang/>
              </w:rPr>
              <w:t xml:space="preserve"> Разумевање ризика, претњи и рањивости у области финансирања тероризма помаже надлежним државним органима да ефикасно и сразмерно расподеле средства за отклањање ризика од финансирања тероризма.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1.2.1. Израдити националну процену ризика од финансирања тероризма и редовно је ажурирати;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1.2.2. Усклађивати мере за смањивање ризика од финансирања тероризма из Акционог плана уз ову стратегију са ризицима утврђеним у националној процени ризика од финансирања тероризма;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1.2.3. Донети одговарајуће прописе о спровођењу релевантних резолуција Савета безбедности Уједињених нација и других релевантних међународних стандарда као и релевантних правних тековина Европске уније у овој области;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1.2.4. Јачање капацитета релевантних државних органа, кроз стручно усавршавање, прерасподелу постојећих ресур</w:t>
            </w:r>
            <w:r>
              <w:rPr>
                <w:rFonts w:ascii="Calibri" w:hAnsi="Calibri"/>
                <w:sz w:val="16"/>
                <w:szCs w:val="22"/>
                <w:lang/>
              </w:rPr>
              <w:t>с</w:t>
            </w:r>
            <w:r w:rsidRPr="00BF44F2">
              <w:rPr>
                <w:rFonts w:ascii="Calibri" w:hAnsi="Calibri"/>
                <w:sz w:val="16"/>
                <w:szCs w:val="22"/>
                <w:lang/>
              </w:rPr>
              <w:t>а или ангажовање додатних, а у складу са анализом потреба.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35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1.2.1. Израдити националну процену ризика од финансирања тероризма и редовно је ажурирати;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1.2.1.1. Утврдити методологију за националну процену ризика од финансирања тероризма нарочито водећи рачуна о областима чија је рањивост у смислу финансирања тероризма препозната на </w:t>
            </w:r>
            <w:r w:rsidRPr="00BF44F2">
              <w:rPr>
                <w:sz w:val="16"/>
                <w:lang/>
              </w:rPr>
              <w:lastRenderedPageBreak/>
              <w:t>међународном нивоу;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Непостојање ресурса и капацитета 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 месец,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Релевантни учесници у изради националне процене ризика од финансирања тероризма разумеју начин израде и све аспекте спровођења НПР.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документ о методологији за НПР и подељен члановима СКГ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25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1.2.1.2. Спровести националну процену ризика од финансирања тероризма и извештај доставити надлежним државним органима у примереној форми која им омогућава да у свом раду примене одговарајуће закључке и смернице, а у циљу смањења препознатих ризика;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Непостојање, нетачност, непотпуност, недоследност статистика; непостојање методологије за спровођење НПР;  непостојање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 месеца,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Састављени прегледни извештаји о ажурираној процени ризика. Поређење перцепције представника државних органа о ризицима којима је систем изложен и његовим слабостима пре и после ажурирања ризика.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докумената, проактивних или стратешких анализа или директне примене у раду на предметима, или регионалном контексту и мера у којој се користе (у процентима).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Белешка/извештај СКГ о подели (ажуриране) НПР са повратном информацијом од представника државних органа у погледу примерености форме и употребљивости информација из ажуриране НПР.  Документа и анализе државних органа, извештаји о раду органа.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521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sz w:val="16"/>
                <w:lang/>
              </w:rPr>
              <w:t>1.2.2.</w:t>
            </w:r>
            <w:r w:rsidRPr="00BF44F2">
              <w:rPr>
                <w:b/>
                <w:sz w:val="16"/>
                <w:lang/>
              </w:rPr>
              <w:t xml:space="preserve">  </w:t>
            </w:r>
            <w:r w:rsidRPr="00BF44F2">
              <w:rPr>
                <w:sz w:val="16"/>
                <w:lang/>
              </w:rPr>
              <w:t>Усклађивати мере за смањивање ризика од финансирања тероризма из Акционог плана уз Националне стратегије за борбу против прања новца и финансирања тероризма са ризицима утврђеним у националној процени ризика од финансирања тероризма;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1.2.2.1. Анализа потреба за изменама и допунама мера за смањивање ризика од финансирања тероризма из овог акционог плана по спровођењу националне процене ризика од финансирања тероризма, односно њеног ажурирања;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Недостатак ресурса. Недоношење нове одлуке којом се јача СКГ. 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додатих или измењених мера Акционог плана на основу резултата (ажуриране) НПР.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Текст ажурираног акционог плана.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потреба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1.2.3.</w:t>
            </w:r>
            <w:r w:rsidRPr="00BF44F2">
              <w:rPr>
                <w:i/>
                <w:sz w:val="16"/>
                <w:lang/>
              </w:rPr>
              <w:t xml:space="preserve"> </w:t>
            </w:r>
            <w:r w:rsidRPr="00BF44F2">
              <w:rPr>
                <w:bCs/>
                <w:sz w:val="16"/>
                <w:lang/>
              </w:rPr>
              <w:t xml:space="preserve">Донети одговарајуће прописе о спровођењу релевантних резолуција Савета безбедности Уједињених нација и других релевантних међународних стандарда, нарочито </w:t>
            </w:r>
            <w:r w:rsidRPr="00BF44F2">
              <w:rPr>
                <w:sz w:val="16"/>
                <w:lang/>
              </w:rPr>
              <w:t>Резолуције Савета безбедности Уједињених нација 1267 и 1373</w:t>
            </w:r>
            <w:r w:rsidRPr="00BF44F2">
              <w:rPr>
                <w:bCs/>
                <w:sz w:val="16"/>
                <w:lang/>
              </w:rPr>
              <w:t xml:space="preserve"> као и релевантних </w:t>
            </w:r>
            <w:r w:rsidRPr="00BF44F2">
              <w:rPr>
                <w:bCs/>
                <w:sz w:val="16"/>
                <w:lang/>
              </w:rPr>
              <w:lastRenderedPageBreak/>
              <w:t>правних тековина Европске уније у овој области</w:t>
            </w:r>
            <w:r w:rsidRPr="00BF44F2">
              <w:rPr>
                <w:sz w:val="16"/>
                <w:lang/>
              </w:rPr>
              <w:t xml:space="preserve">. 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1.2.3.1. Донети закон којим се регулише ограничавање располагања имовином лица са листа терориста.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Политичка нестабилност, одсуство политичке воље.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Постоје законски основ и механизми привременог ограничавања располагања имовином лица са Законом дефинисаних листа терориста.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Закон објављен у Службеном гласнику и у примени.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 (утврђивање предлога закона и упућивање у скупштинску процедуру)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169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rStyle w:val="FontStyle11"/>
                <w:rFonts w:ascii="Calibri" w:hAnsi="Calibri"/>
                <w:sz w:val="16"/>
                <w:lang/>
              </w:rPr>
              <w:lastRenderedPageBreak/>
              <w:t>1.2.4. Јачање капацитета релевантних државних органа, нарочито кроз стручно усавршавање, прерасподелу постојећих ресур</w:t>
            </w:r>
            <w:r>
              <w:rPr>
                <w:rStyle w:val="FontStyle11"/>
                <w:rFonts w:ascii="Calibri" w:hAnsi="Calibri"/>
                <w:sz w:val="16"/>
                <w:lang/>
              </w:rPr>
              <w:t>с</w:t>
            </w:r>
            <w:r w:rsidRPr="00BF44F2">
              <w:rPr>
                <w:rStyle w:val="FontStyle11"/>
                <w:rFonts w:ascii="Calibri" w:hAnsi="Calibri"/>
                <w:sz w:val="16"/>
                <w:lang/>
              </w:rPr>
              <w:t>а или ангажовање додатних, а у складу са анализом потреба;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rStyle w:val="FontStyle11"/>
                <w:rFonts w:ascii="Calibri" w:hAnsi="Calibri"/>
                <w:sz w:val="16"/>
                <w:lang/>
              </w:rPr>
              <w:t>1.2.4.1. Извршити анализу кадровских потреба  Службе за борбу против тероризма и екстремизма и изнети предлоге у складу са анализом;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Израђена анализа потреба.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Документ о анализи потреба са препорукама.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унутрашњих послова (МУП)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7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jc w:val="both"/>
              <w:rPr>
                <w:rStyle w:val="FontStyle11"/>
                <w:rFonts w:ascii="Calibri" w:hAnsi="Calibri"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jc w:val="both"/>
              <w:rPr>
                <w:rStyle w:val="FontStyle11"/>
                <w:rFonts w:ascii="Calibri" w:hAnsi="Calibri"/>
                <w:b w:val="0"/>
                <w:sz w:val="16"/>
                <w:lang/>
              </w:rPr>
            </w:pPr>
            <w:r w:rsidRPr="00BF44F2">
              <w:rPr>
                <w:rStyle w:val="FontStyle11"/>
                <w:rFonts w:ascii="Calibri" w:hAnsi="Calibri"/>
                <w:sz w:val="16"/>
                <w:lang/>
              </w:rPr>
              <w:t>1.2.4.2. Спровести препоруке анализе из активности 1.2.4.1.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Одсуство воље доносилаца одлука у институцији; непостојање ресурса; нејасне и непрецизне препоруке из 1.2.4.1;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 акт о систематизацији Службе.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Акт о систематизацији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МУП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и препорукама.</w:t>
            </w:r>
          </w:p>
        </w:tc>
      </w:tr>
    </w:tbl>
    <w:p w:rsidR="00E62CF8" w:rsidRPr="00BF44F2" w:rsidRDefault="00E62CF8" w:rsidP="00E62CF8">
      <w:pPr>
        <w:rPr>
          <w:sz w:val="16"/>
          <w:lang/>
        </w:rPr>
      </w:pPr>
    </w:p>
    <w:p w:rsidR="00E62CF8" w:rsidRPr="00BF44F2" w:rsidRDefault="00E62CF8" w:rsidP="00E62CF8">
      <w:pPr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20"/>
        <w:gridCol w:w="3330"/>
        <w:gridCol w:w="1251"/>
        <w:gridCol w:w="9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8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1.3. Унапређење координације и сарадње између државних органа надлежних за надзор, прикупљање података, истрагу, гоњење за кривична дела прања новца и финансирања тероризма и одузимање имовине стечене кривичним делом.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9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Очекивани резултати:</w:t>
            </w:r>
            <w:r w:rsidRPr="00BF44F2">
              <w:rPr>
                <w:sz w:val="16"/>
                <w:lang/>
              </w:rPr>
              <w:t xml:space="preserve"> Делотворнији рад доводи до повећања броја успешно решених случајева на којима је било ангажовано више различитих државних органа и доприноси бољем разумевању ризика.</w:t>
            </w:r>
          </w:p>
        </w:tc>
      </w:tr>
      <w:tr w:rsidR="00E62CF8" w:rsidRPr="00BF44F2" w:rsidTr="00BB7C97">
        <w:trPr>
          <w:trHeight w:val="233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1.3.1. Успоставити механизме за анализу најзначајнијих питања за функционисање система за борбу против прања новца и финансирања тероризма;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242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1.3.2. Ојачати положај и састав Сталне координационе групе;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350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1.3.3. Редовно преиспитивати делотворност механизама међусобне сарадње на нивоу стратешког планирања, координације и сарадње свих учесника у систему, и предузимати радње на отклањању уочених недостатака;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51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1.3.4. Анализирати и преиспитивати постојеће механизме међународне сарадње, укључујући пружање међународне правне помоћи, размену података и одузимање имовине;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61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1.3.5. Анализирати релевантне законе, друге прописе и опште акте и секторске стратегије у фази припреме са аспекта њиховог утицаја на систем за борбу против прања новца и финансирања тероризма.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107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1.3.1. Успоставити механизме за анализу најзначајнијих питања за </w:t>
            </w:r>
            <w:r w:rsidRPr="00BF44F2">
              <w:rPr>
                <w:sz w:val="16"/>
                <w:lang/>
              </w:rPr>
              <w:lastRenderedPageBreak/>
              <w:t>функционисање система за борбу против прања новца и финансирања тероризма;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1.3.1.1. Донети нову одлуку о образовању СКГ којом ће се, између осталог, одредити главни и стручни координатори СКГ, </w:t>
            </w:r>
            <w:r w:rsidRPr="00BF44F2">
              <w:rPr>
                <w:sz w:val="16"/>
                <w:lang/>
              </w:rPr>
              <w:lastRenderedPageBreak/>
              <w:t>тематске радне групе СКГ и врсте извештаја које усваја СКГ;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Непостојање људских ресурса код органа који учествују у раду СКГ; недоношење </w:t>
            </w:r>
            <w:r w:rsidRPr="00BF44F2">
              <w:rPr>
                <w:sz w:val="16"/>
                <w:lang/>
              </w:rPr>
              <w:lastRenderedPageBreak/>
              <w:t>одлуке о јачању СКГ; од</w:t>
            </w:r>
            <w:r>
              <w:rPr>
                <w:sz w:val="16"/>
                <w:lang/>
              </w:rPr>
              <w:t>с</w:t>
            </w:r>
            <w:r w:rsidRPr="00BF44F2">
              <w:rPr>
                <w:sz w:val="16"/>
                <w:lang/>
              </w:rPr>
              <w:t>уство воље код доносиоца одлука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2 месеца,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 има утврђену унутрашњу прерасподелу послова и одговорна лица за рад појединих радних група СКГ.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Одлука о образовању СКГ објављена у Службеном гласнику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Влада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070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1.3.1.2. Образовати подгрупе СКГ које ће анализирати најзначајнија питања за поједине области;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људских ресурса код органа који учествују у раду СКГ; Недоношење одлуке о јачању СКГ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 месеца,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радних подгрупа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Одлука о образовању СКГ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 и 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440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1.3.1.3. Најмање једанпут у три месеца разматрати промене у систему и резултате које систем производи на основу редовних писмених извештаја које достављају чланови СКГ о активностима које предузимају на реализацији ове стратегије и акционог плана.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код чланица СКГ; Недоношење одлуке о јачању СКГ; одсуство воље и ангажмана органа који учествују у раду СКГ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анализа и закључака СКГ и радних подгрупа СКГ о најзначајнијим питањима за функционисање система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упућени Влади или објављени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790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1.3.2. </w:t>
            </w:r>
            <w:r w:rsidRPr="00BF44F2">
              <w:rPr>
                <w:bCs/>
                <w:sz w:val="16"/>
                <w:lang/>
              </w:rPr>
              <w:t>Ојачати положај и састав СКГ за надзор над спровођењем Националне стратегије за борбу против прања новца и финансирања тероризма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1.3.2.2. Образовати Секретаријат СКГ.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ресурса; недоношење одлуке о јачању СКГ; одсуство воље и ангажмана органа који учествују у раду СКГ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запослених у одговарајућем државном органу/органима директно задужених за послове секретаријата СКГ.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 Одлука о образовању СКГ, правилник о унутрашњем уређењу и систематизацији радних места у том органу/органима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Влада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правилником о унутрашњем уређењу и систематизацији (по запосленом 80.000 бруто месечно)</w:t>
            </w:r>
          </w:p>
        </w:tc>
      </w:tr>
      <w:tr w:rsidR="00E62CF8" w:rsidRPr="00BF44F2" w:rsidTr="00BB7C97">
        <w:trPr>
          <w:trHeight w:val="70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1.3.3. Редовно преиспитивати делотворност механизама међусобне сарадње на нивоу стратешког планирања, координације и сарадње свих учесника у систему, и предузимати </w:t>
            </w:r>
            <w:r w:rsidRPr="00BF44F2">
              <w:rPr>
                <w:sz w:val="16"/>
                <w:lang/>
              </w:rPr>
              <w:lastRenderedPageBreak/>
              <w:t>радње на отклањању уочених недостатака;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1.3.3.1. Анализа ефикасности постојећих механизама сарадње државних органа и давање препорука за унапређење стања. 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Без ризика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Разумевање постојећег стања и могућности за унапређење механизама међусобне сарадње имајући у виду најбоље праксе и последње трендове у стратешком планирању и координацији учесника у систему. Број извршених интервенција у систем у циљу отклањања недостатака.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СКГ и радних подгрупа СКГ.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и препорукама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1.3.3.2. Утврђивање обавезних или пожељних делова споразума о сарадњи између државних органа који проистичу из </w:t>
            </w:r>
            <w:r w:rsidRPr="00BF44F2">
              <w:rPr>
                <w:sz w:val="16"/>
                <w:lang/>
              </w:rPr>
              <w:lastRenderedPageBreak/>
              <w:t>најбоље праксе и подстицање надлежних органа на закључивање таквих споразума.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Без ризика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Степен задовољства учесника у систему дел</w:t>
            </w:r>
            <w:r>
              <w:rPr>
                <w:sz w:val="16"/>
                <w:lang/>
              </w:rPr>
              <w:t>о</w:t>
            </w:r>
            <w:r w:rsidRPr="00BF44F2">
              <w:rPr>
                <w:sz w:val="16"/>
                <w:lang/>
              </w:rPr>
              <w:t>творношћу механизама сарадње који проистичу из споразума о сарадњи у складу са утврђеним обавезним односно пожељним деловима споразума.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споразума који је потписан и који се примењује.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1.3.4. Анализирати и преиспитивати постојеће механизме међународне сарадње, укључујући пружање међународне правне помоћи, размену података и одузимање имовине;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1.3.4.1. У одлуци о СКГ предвидети међусобно извештавање о међународној сарадњи и елементе извештаја;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 месеца,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Врсте и елементи извештаја на располагању члановима СКГ и радних подгрупа.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Одлука о СКГ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1.3.4.2. Анализирати и давати препоруке за унапређење међународне сарадње, посебно иницирањем чланства у међународним телима, форумима, организацијама или механизмима који олакшавају размену података и друге облике међународне сарадње;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анализа и препорука за унапређење међународне сарадње, број иницијатива и нових чланстава у међународним телима, организацијама или механизмима размене података.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раду и међународној сарадњи релевантних органа.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и препорукама</w:t>
            </w:r>
          </w:p>
        </w:tc>
      </w:tr>
      <w:tr w:rsidR="00E62CF8" w:rsidRPr="00BF44F2" w:rsidTr="00BB7C97">
        <w:trPr>
          <w:trHeight w:val="44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1.3.4.3 Унапредити систем праћења међународне правне помоћи у Министарству правде тако да се статистички подаци воде и о врстама међународне правне помоћи и о кривичним делима на која се та помоћ односи;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кадровских и материјално-техничких ресурса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Тачни, потпуни и разложени статистички подаци омогућују брз преглед и исправну анализу механизама међународне правне помоћи у Министарству правде.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раду министарства и послова међународне сарадње.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1.000.000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1.3.4.4 Извршити специјализацију рада на захтевима за међународну правну помоћ и екстрадицију због лакшег праћења података о захтевима (нпр. одредити један или неколико судова који би били искључиво надлежни за екстрадиције итд.)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</w:t>
            </w:r>
            <w:r>
              <w:rPr>
                <w:sz w:val="16"/>
                <w:lang/>
              </w:rPr>
              <w:t>с</w:t>
            </w:r>
            <w:r w:rsidRPr="00BF44F2">
              <w:rPr>
                <w:sz w:val="16"/>
                <w:lang/>
              </w:rPr>
              <w:t>уство воље доносилаца одлука; непостојање капацитета и ресурса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судова који су искључиво надлежни за дефинисан број специјализованих области рада.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раду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Према потребама (300.000 по обуци)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1.3.5. Анализирати релевантне законе, друге прописе и опште акте и секторске стратегије у фази припреме са </w:t>
            </w:r>
            <w:r w:rsidRPr="00BF44F2">
              <w:rPr>
                <w:sz w:val="16"/>
                <w:lang/>
              </w:rPr>
              <w:lastRenderedPageBreak/>
              <w:t>аспекта њиховог утицаја на систем за борбу против прања новца и финансирања тероризма.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1.3.5.1. Иницирати промену пословника Владе и Народне скупштине да би се предвидела обавеза предлагача да у образложење прописа у припреми уврсти и </w:t>
            </w:r>
            <w:r w:rsidRPr="00BF44F2">
              <w:rPr>
                <w:sz w:val="16"/>
                <w:lang/>
              </w:rPr>
              <w:lastRenderedPageBreak/>
              <w:t>процену дејства прописа на ризик од прања новца или финансирања тероризма 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Одсуство воље доносилаца одлука; непоступање државних органа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36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Постоји јасна обавеза и упутства за све релевантне државне органе у погледу анализе аката са аспекта њиховог утицаја на систем за борбу против прања новца и финансирања теро</w:t>
            </w:r>
            <w:r>
              <w:rPr>
                <w:sz w:val="16"/>
                <w:lang/>
              </w:rPr>
              <w:t>р</w:t>
            </w:r>
            <w:r w:rsidRPr="00BF44F2">
              <w:rPr>
                <w:sz w:val="16"/>
                <w:lang/>
              </w:rPr>
              <w:t>изма. Број образложења у којима је дата анализа ефеката.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Пословници Владе и Народне скупштине објављени у Службеном гласнику.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Влада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1.3.5.2. Дефинисати приоритетне области на које ће се односити обавеза из ове мере и о томе обавестити релевантне органе.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36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 релевантни органи разумеју на које приоритетне области се обавеза израде анализе ефеката односи.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Информација СКГ/Владе упућена релевантним органима у којој се наводе приоритетне области.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Влада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sz w:val="16"/>
          <w:lang/>
        </w:rPr>
      </w:pPr>
    </w:p>
    <w:p w:rsidR="00E62CF8" w:rsidRPr="00BF44F2" w:rsidRDefault="00E62CF8" w:rsidP="00E62CF8">
      <w:pPr>
        <w:jc w:val="both"/>
        <w:rPr>
          <w:sz w:val="16"/>
          <w:lang/>
        </w:rPr>
      </w:pPr>
      <w:r w:rsidRPr="00BF44F2">
        <w:rPr>
          <w:b/>
          <w:sz w:val="16"/>
          <w:lang/>
        </w:rPr>
        <w:br w:type="page"/>
      </w:r>
      <w:r w:rsidRPr="00BF44F2">
        <w:rPr>
          <w:b/>
          <w:sz w:val="16"/>
          <w:lang/>
        </w:rPr>
        <w:lastRenderedPageBreak/>
        <w:t>Стратешка тема 2 – Спречавање уношења имовине за коју се сумња да је стечена кривичним делом у финансијски систем и друге секторе, односно откривање и пријављивање већ унете имовине</w:t>
      </w:r>
      <w:r w:rsidRPr="00BF44F2">
        <w:rPr>
          <w:sz w:val="16"/>
          <w:lang/>
        </w:rPr>
        <w:t xml:space="preserve"> </w:t>
      </w:r>
    </w:p>
    <w:p w:rsidR="00E62CF8" w:rsidRPr="00BF44F2" w:rsidRDefault="00E62CF8" w:rsidP="00E62CF8">
      <w:pPr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20"/>
        <w:gridCol w:w="3330"/>
        <w:gridCol w:w="1251"/>
        <w:gridCol w:w="9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8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2.1</w:t>
            </w:r>
            <w:r w:rsidRPr="00BF44F2">
              <w:rPr>
                <w:sz w:val="16"/>
                <w:lang/>
              </w:rPr>
              <w:t xml:space="preserve">. </w:t>
            </w:r>
            <w:r w:rsidRPr="00BF44F2">
              <w:rPr>
                <w:b/>
                <w:sz w:val="16"/>
                <w:lang/>
              </w:rPr>
              <w:t>Побољшање квалитета пријава које Управа прима од обвезника тако да се из њиховог садржаја могу извести корисни финансијскообавештајни подаци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9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Већи број квалитетних извештаја из приватног сектора допринеће квалитету извештаја које сачињавају Управа за спречавање прања новца и други надлежни органи, а нарочито у областима у којима је утврђен висок степен ризика.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2.1.1. Унапредити смернице за пријављивање сумњивих трансакција у различитим секторима;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2.1.2. Утицати на обвезнике да побољшају механизме интерне контроле и извештавања;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2.1.3. Обавештавати обвезнике о квалитету њиховог извештавања и пружати им друге информације, попут информација из Извештаја о националној процени ризика и других значајних докумената, како би унапредили своју ефикасност;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2.1.4. Анализирати систем за борбу против прања новца и финансирања тероризма у банкарском сектору, и утврдити и спровести стратегију јачања овог система;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2.1.5. Унапређивати услове за појачан приступ финансијским услугама и погодности њиховог коришћења.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</w:tcPr>
          <w:p w:rsidR="00E62CF8" w:rsidRPr="00BF44F2" w:rsidRDefault="00E62CF8" w:rsidP="00BB7C97">
            <w:pPr>
              <w:contextualSpacing/>
              <w:jc w:val="both"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2.1.1. </w:t>
            </w:r>
            <w:r w:rsidRPr="00BF44F2">
              <w:rPr>
                <w:bCs/>
                <w:sz w:val="16"/>
                <w:lang/>
              </w:rPr>
              <w:t>Унапредити смернице за пријављивање сумњивих трансакција у различитим секторима;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2.1.1.1. Уз консултације са обвезницима, донети нове смернице за пријављивање сумњивих трансакција</w:t>
            </w:r>
            <w:r w:rsidRPr="00BF44F2">
              <w:rPr>
                <w:bCs/>
                <w:sz w:val="16"/>
                <w:lang/>
              </w:rPr>
              <w:t xml:space="preserve"> у којим ће се, између осталог, детаљније описати неуобичајене трансакције.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Постоји боље разумевање неуобичајених и сумњивих трансакција код обвезника.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Објављене смернице за пријављивање сумњивих трансакција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органи, удружења 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5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2.1.2. </w:t>
            </w:r>
            <w:r w:rsidRPr="00BF44F2">
              <w:rPr>
                <w:bCs/>
                <w:sz w:val="16"/>
                <w:lang/>
              </w:rPr>
              <w:t>Утицати на обвезнике да побољшају механизме интерне контроле и извештавања;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2.1.2.1. Извршити анализу постојећег система интерне контроле и извештавања и извештавања Управе, за све обвезнике, и по потреби утицати на обвезнике да тај систем унапреде</w:t>
            </w:r>
            <w:r w:rsidRPr="00BF44F2">
              <w:rPr>
                <w:bCs/>
                <w:sz w:val="16"/>
                <w:lang/>
              </w:rPr>
              <w:t>, између осталог и прецизнијим дефинисањем интерног система;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капацитета; недовољан квалитет сарадње са обвезницима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Код обвезника постоји боље разумевање циљева интерне контроле и извештавања, у смислу спречавања прања новца и финансирања тероризма, и потреба Управе за информацијама. Број унапређења интерног система.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контроли и други облици анализа система код обвезника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органи, удружења 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5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2.1.2.2. </w:t>
            </w:r>
            <w:r w:rsidRPr="00BF44F2">
              <w:rPr>
                <w:bCs/>
                <w:sz w:val="16"/>
                <w:lang/>
              </w:rPr>
              <w:t>Извршити ревизију индикатора за пријављивање сумњивих трансакција у свим секторима.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Код обвезника и инспектора у надзорним органима постоји боље разумевање показатеља основа сумње на прање новца и финансирање тероризма који су срочени прецизно и погодни, у што већој мери, за интеграцију у информатичке системе обвезника.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квалитета пријава сумњивих трансакција.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органи, удружења 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440"/>
        </w:trPr>
        <w:tc>
          <w:tcPr>
            <w:tcW w:w="1710" w:type="dxa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2.1.3. </w:t>
            </w:r>
            <w:r w:rsidRPr="00BF44F2">
              <w:rPr>
                <w:bCs/>
                <w:sz w:val="16"/>
                <w:lang/>
              </w:rPr>
              <w:t xml:space="preserve">Обавештавати обвезнике о квалитету </w:t>
            </w:r>
            <w:r w:rsidRPr="00BF44F2">
              <w:rPr>
                <w:bCs/>
                <w:sz w:val="16"/>
                <w:lang/>
              </w:rPr>
              <w:lastRenderedPageBreak/>
              <w:t>њиховог извештавања и пружати им друге информације, попут информација из Извештаја о националној процени ризика и других значајних докумената, како би унапредили своју ефикасност;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  <w:r w:rsidRPr="00BF44F2">
              <w:rPr>
                <w:bCs/>
                <w:sz w:val="16"/>
                <w:lang/>
              </w:rPr>
              <w:lastRenderedPageBreak/>
              <w:t xml:space="preserve">2.1.3.1. </w:t>
            </w:r>
            <w:r w:rsidRPr="00BF44F2">
              <w:rPr>
                <w:sz w:val="16"/>
                <w:lang/>
              </w:rPr>
              <w:t xml:space="preserve">Уз консултације са обвезницима, утврдити методологију за давање повратних </w:t>
            </w:r>
            <w:r w:rsidRPr="00BF44F2">
              <w:rPr>
                <w:sz w:val="16"/>
                <w:lang/>
              </w:rPr>
              <w:lastRenderedPageBreak/>
              <w:t>информација у којој ће се предвидети и начин прибављања информација од других државних органа (полиције, тужилаштва) потребних за давање повратне информације.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Непостојање ресурса и капацитета; од</w:t>
            </w:r>
            <w:r>
              <w:rPr>
                <w:sz w:val="16"/>
                <w:lang/>
              </w:rPr>
              <w:t>с</w:t>
            </w:r>
            <w:r w:rsidRPr="00BF44F2">
              <w:rPr>
                <w:sz w:val="16"/>
                <w:lang/>
              </w:rPr>
              <w:t xml:space="preserve">уство воље </w:t>
            </w:r>
            <w:r w:rsidRPr="00BF44F2">
              <w:rPr>
                <w:sz w:val="16"/>
                <w:lang/>
              </w:rPr>
              <w:lastRenderedPageBreak/>
              <w:t xml:space="preserve">заинтересованих страна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обавештења послатих обвезницима из којих се могу извести корисне информације у циљу унапређења ефикасности. Број извршених </w:t>
            </w:r>
            <w:r w:rsidRPr="00BF44F2">
              <w:rPr>
                <w:sz w:val="16"/>
                <w:lang/>
              </w:rPr>
              <w:lastRenderedPageBreak/>
              <w:t>интервенција у систем од стране обвезника.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Извештаји о контроли; Израђена методологија за давање повратних информација и прибављање повратних информација од других државних органа.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Управа, надзорни органи, удружења </w:t>
            </w:r>
            <w:r w:rsidRPr="00BF44F2">
              <w:rPr>
                <w:sz w:val="16"/>
                <w:lang/>
              </w:rPr>
              <w:lastRenderedPageBreak/>
              <w:t>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2.1.4. </w:t>
            </w:r>
            <w:r w:rsidRPr="00BF44F2">
              <w:rPr>
                <w:bCs/>
                <w:sz w:val="16"/>
                <w:lang/>
              </w:rPr>
              <w:t>Анализирати систем за борбу против прања новца и финансирања тероризма у банкарском сектору, и утврдити и спровести стратегију јачања овог система</w:t>
            </w:r>
            <w:r w:rsidRPr="00BF44F2">
              <w:rPr>
                <w:sz w:val="16"/>
                <w:lang/>
              </w:rPr>
              <w:t>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2.1.4.1. Извршити анализу постојећег система интерне контроле и извештавања у банкама и извештавања Управе и по потреби утицати на банке да тај систем унапреде</w:t>
            </w:r>
            <w:r w:rsidRPr="00BF44F2">
              <w:rPr>
                <w:bCs/>
                <w:sz w:val="16"/>
                <w:lang/>
              </w:rPr>
              <w:t>, између осталог и прецизнијим дефинисањем интерног система;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и капацитета.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9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Код банака постоји боље разумевање циљева интерне контроле и извештавања, у смислу спречавања прања новца и финансирања тероризма, и потреба Управе за информацијама. Број унапређења интерног система.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контроли и други облици анализа система код банака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Народна банка Србије (НБС), Управа,  Удружење банака Србије (УБС 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2.1.4.2. Анализа положаја овлашћених лица и п</w:t>
            </w:r>
            <w:r w:rsidRPr="00BF44F2">
              <w:rPr>
                <w:bCs/>
                <w:sz w:val="16"/>
                <w:lang/>
              </w:rPr>
              <w:t>рецизније дефинисање одговорности највишег руководства банке по питању управљања ризиком од прања новца и финансирања тероризма;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и капацитета.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чланова највишег руководства банке који су одговорни за управљање ризиком од прања новца и финансирања тероризма. Постојање делотворних, сразмерних и одвраћајућих санкција према највишем руководству банке (спровођење активности 2.3.6.1), тј. број чланова највишег руководства против којих су предузете одговарајуће санкције због излагања банке ризицима од прања новца и финансирања тероризма.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НБС и статистике које води Управа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НБС, Управa, УБС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43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2.1.4.3. </w:t>
            </w:r>
            <w:r w:rsidRPr="00BF44F2">
              <w:rPr>
                <w:bCs/>
                <w:sz w:val="16"/>
                <w:lang/>
              </w:rPr>
              <w:t>Испитати могућност прописивања обавезног дела извештаја о ревизији банака који би се односио на област управљања ризиком од прања новца и финансирања тероризма;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Анализа указује на најпримеренији метод јасног формулисања и представљања области управљања ризиком од прања новца и финансирања тероризма у извештајима о ревизији.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Прописани обавезни део извештаја о ревизији или утврђивање начина приказивања области управљања наведеним ризиком који омогућује разумевање анализиране области.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Документ о анализи могућности </w:t>
            </w:r>
            <w:r w:rsidRPr="00BF44F2">
              <w:rPr>
                <w:bCs/>
                <w:sz w:val="16"/>
                <w:lang/>
              </w:rPr>
              <w:t>прописивања обавезног дела извештаја о ревизији банака који би се односио на област управљања ризиком од прања новца и финансирања тероризма.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НБС, Управа, УБС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2.1.4.4. Препоручити банкама поседовање адекватних ИТ решења из области спречавања прања новца и финансирања тероризма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воље, ресурса;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банака које су примениле препоруке о адекватном ИТ систему у банкама.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Хоризонтални преглед активности банака – извештај НБС.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НБС, Управа, УБС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44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2.1.4.5. Размотрити могућности за смањење трошкова преноса новца (слања дознака) и циљу подстицања коришћења законитих канала за пренос новца, укључујући и подстицањем конкуренције у тој делатности. 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Непостојање воље за спровођење промена ради већег степена </w:t>
            </w:r>
            <w:r w:rsidRPr="00BF44F2">
              <w:rPr>
                <w:i/>
                <w:sz w:val="16"/>
                <w:lang/>
              </w:rPr>
              <w:t>финансијске укључености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Смањена неизвесност у погледу нето износа који се може очекивати на пријему новца. Број пружалаца услуга преноса новца и квантитативне и квалитативне промене у понуди услуга преноса новца.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понуде лица која се баве преносом новца и учесталости коришћења услуга преноса новца.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НБС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2.1.5. Унапређивати услове за појачан приступ финансијским услугама и погодности њиховог коришћења.</w:t>
            </w:r>
          </w:p>
          <w:p w:rsidR="00E62CF8" w:rsidRPr="00BF44F2" w:rsidRDefault="00E62CF8" w:rsidP="00BB7C97">
            <w:pPr>
              <w:rPr>
                <w:rStyle w:val="FontStyle11"/>
                <w:rFonts w:ascii="Calibri" w:hAnsi="Calibri"/>
                <w:bCs w:val="0"/>
                <w:sz w:val="16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contextualSpacing/>
              <w:rPr>
                <w:rStyle w:val="FontStyle11"/>
                <w:rFonts w:ascii="Calibri" w:hAnsi="Calibri"/>
                <w:b w:val="0"/>
                <w:bCs w:val="0"/>
                <w:sz w:val="16"/>
                <w:lang/>
              </w:rPr>
            </w:pPr>
            <w:r w:rsidRPr="00BF44F2">
              <w:rPr>
                <w:rStyle w:val="FontStyle11"/>
                <w:rFonts w:ascii="Calibri" w:hAnsi="Calibri"/>
                <w:sz w:val="16"/>
                <w:lang/>
              </w:rPr>
              <w:t>2.1.5.1. Вршити редовне консултације са пружаоцима финансијских услуга о начинима подстицаја појачаног приступа финансијским услугама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Непостојање, ресурса; Непостојање воље за спровођење промена ради већег степена </w:t>
            </w:r>
            <w:r w:rsidRPr="00BF44F2">
              <w:rPr>
                <w:i/>
                <w:sz w:val="16"/>
                <w:lang/>
              </w:rPr>
              <w:t>финансијске укључености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предлога за подстицај коришћења финансијских услуга.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Белешке са састанака, дописи упућени релевантним институцијама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contextualSpacing/>
              <w:rPr>
                <w:rStyle w:val="FontStyle11"/>
                <w:rFonts w:ascii="Calibri" w:hAnsi="Calibri"/>
                <w:b w:val="0"/>
                <w:bCs w:val="0"/>
                <w:sz w:val="16"/>
                <w:lang/>
              </w:rPr>
            </w:pPr>
            <w:r w:rsidRPr="00BF44F2">
              <w:rPr>
                <w:rStyle w:val="FontStyle11"/>
                <w:rFonts w:ascii="Calibri" w:hAnsi="Calibri"/>
                <w:sz w:val="16"/>
                <w:lang/>
              </w:rPr>
              <w:t>2.1.5.2. У координацији и складу са другим стратегијама и плановима у области либерализације тржишта капитала, иницирати и предузимати мере на подстицању појачаног приступа финансијским услугама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Непостојање капацитета, ресурса; Непостојање воље за спровођење промена ради већег степена </w:t>
            </w:r>
            <w:r w:rsidRPr="00BF44F2">
              <w:rPr>
                <w:i/>
                <w:sz w:val="16"/>
                <w:lang/>
              </w:rPr>
              <w:t>финансијске укључености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предлога за подстицај коришћења финансијских услуга.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Белешке са састанака, дописи упућени релевантним институцијама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b/>
          <w:sz w:val="16"/>
          <w:lang/>
        </w:rPr>
      </w:pPr>
    </w:p>
    <w:p w:rsidR="00E62CF8" w:rsidRPr="00BF44F2" w:rsidRDefault="00E62CF8" w:rsidP="00E62CF8">
      <w:pPr>
        <w:rPr>
          <w:b/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20"/>
        <w:gridCol w:w="3330"/>
        <w:gridCol w:w="1251"/>
        <w:gridCol w:w="9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8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2.2</w:t>
            </w:r>
            <w:r w:rsidRPr="00BF44F2">
              <w:rPr>
                <w:sz w:val="16"/>
                <w:lang/>
              </w:rPr>
              <w:t xml:space="preserve">. </w:t>
            </w:r>
            <w:r w:rsidRPr="00BF44F2">
              <w:rPr>
                <w:b/>
                <w:sz w:val="16"/>
                <w:lang/>
              </w:rPr>
              <w:t>Спречавање злоупотребе финансијског и других сектора кроз мере познавања и праћења странке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9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Извршиоци кривичних дела ће се</w:t>
            </w:r>
            <w:r w:rsidRPr="00BF44F2">
              <w:rPr>
                <w:b/>
                <w:sz w:val="16"/>
                <w:lang/>
              </w:rPr>
              <w:t xml:space="preserve"> </w:t>
            </w:r>
            <w:r w:rsidRPr="00BF44F2">
              <w:rPr>
                <w:sz w:val="16"/>
                <w:lang/>
              </w:rPr>
              <w:t>ефикасно спречавати у покушају злоупотребе финансијског и других сектора, али тако да се у најмањој могућој мери негативно утиче на пословање и на доступност услуга финансијског и других сектора корисницима. Органи који учествују у истрагама моћи ће брзо да дођу до информација које прикупљају обвезници у оквиру радњи и мера познавања и праћења странке. Стицање власништва над обвезницима и управљање њима биће искључиво у складу са стандардом подобности и поузданости (</w:t>
            </w:r>
            <w:r w:rsidRPr="00BF44F2">
              <w:rPr>
                <w:i/>
                <w:sz w:val="16"/>
                <w:lang/>
              </w:rPr>
              <w:t>fit and proper</w:t>
            </w:r>
            <w:r w:rsidRPr="00BF44F2">
              <w:rPr>
                <w:sz w:val="16"/>
                <w:lang/>
              </w:rPr>
              <w:t>).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2.2.1. Разрадити делотворне мере како би се обезбедило да обвезници поступају у складу са приступом заснованим на анализи и процени ризика;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2.2.2. Унапредити механизме познавања и праћења странке код обвезника;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2.2.3. Унапредити прописе који се односе на регистрацију привредних субјеката и невладиних организација и на стварно власништво, као и посебно у циљу повећања транспарентности власништва и једноставности приступа обвезника тим подацима.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88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2.2.1. Разрадити делотворне мере како би се обезбедило да обвезници поступају у складу са приступом заснованим на анализи и процени ризика;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2.2.1.1. Изменити смернице за банкарски сектор којима ће се, између осталог, предвидети примери високог и ниског ризика;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Промене у</w:t>
            </w:r>
            <w:r>
              <w:rPr>
                <w:sz w:val="16"/>
                <w:lang/>
              </w:rPr>
              <w:t xml:space="preserve"> класификацији ризика за клијен</w:t>
            </w:r>
            <w:r w:rsidRPr="00BF44F2">
              <w:rPr>
                <w:sz w:val="16"/>
                <w:lang/>
              </w:rPr>
              <w:t xml:space="preserve">те, производе, услуге, трансакције.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Упоредна анализа хоризонталних извештаја НБС (процентуалне промене).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НБС, Управа, УБС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917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2.2.1.2. Издати смернице и упутства за области високог и ниског степена ризика за све секторе.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Промене у</w:t>
            </w:r>
            <w:r>
              <w:rPr>
                <w:sz w:val="16"/>
                <w:lang/>
              </w:rPr>
              <w:t xml:space="preserve"> класификацији ризика за клијен</w:t>
            </w:r>
            <w:r w:rsidRPr="00BF44F2">
              <w:rPr>
                <w:sz w:val="16"/>
                <w:lang/>
              </w:rPr>
              <w:t>те, производе, услуге, трансакције.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Упоредна анализа хоризонталних извештаја надзорних органа.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органи, Управа, удружења 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61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2.2.2. Унапредити механизме познавања и праћења странке код обвезника;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2.2.2.1 Изменити Закон о спречавању прања новца и финансирања тероризма и одговарајућа подзаконска аката ради усаглашавања са новим међународним стандардима и националном проценом ризика.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Политичка нестабилност, непостојање политичке воље.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1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новина у примени Закона о спречавању прања новца и финансирања тероризма које су последица имплементације међународних стандарда, посебно у областима политички експонираних лица, анализе и процене ризика, стварног власништва, и др. 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 Закон о изменама и допунама Закона објављен у Службеном гласнику РС.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Управа, 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2.000.000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(информације о најбољим праксама, јавна расправа)</w:t>
            </w:r>
          </w:p>
        </w:tc>
      </w:tr>
      <w:tr w:rsidR="00E62CF8" w:rsidRPr="00BF44F2" w:rsidTr="00BB7C97">
        <w:trPr>
          <w:trHeight w:val="971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2.2.2.2.</w:t>
            </w:r>
            <w:r w:rsidRPr="00BF44F2">
              <w:rPr>
                <w:b/>
                <w:sz w:val="16"/>
                <w:lang/>
              </w:rPr>
              <w:t xml:space="preserve"> </w:t>
            </w:r>
            <w:r w:rsidRPr="00BF44F2">
              <w:rPr>
                <w:sz w:val="16"/>
                <w:lang/>
              </w:rPr>
              <w:t>П</w:t>
            </w:r>
            <w:r w:rsidRPr="00BF44F2">
              <w:rPr>
                <w:bCs/>
                <w:sz w:val="16"/>
                <w:lang/>
              </w:rPr>
              <w:t>ојачано контролисати, код обвезника и од стране надлежних државних органа, лица и средства чије је крајње одредиште држава која је високоризична за тероризам, или држава која је транзитно одредиште до такве државе.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ресурса; Неспровођење активности 2.2.2.1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Систематизоване статистике о контроли лица и средстава чије је крајње одредиште високоризична или транзитна држава и број препорука за унапређење стања у области.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Записници о извршеним контролама.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223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2.2.3. Унапредити прописе који се односе на регистрацију привредних субјеката и невладиних организација и на стварно власништво, као и посебно у циљу повећања транспарентности власништва и једноставности приступа </w:t>
            </w:r>
            <w:r w:rsidRPr="00BF44F2">
              <w:rPr>
                <w:sz w:val="16"/>
                <w:lang/>
              </w:rPr>
              <w:lastRenderedPageBreak/>
              <w:t>обвезника тим подацима.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2.2.3.1. Иницирати измене и допуне закона, других прописа и општих аката који се односе на регистрацију привредних субјеката (нарочито имајући у виду висок ризик од оснивања тзв. </w:t>
            </w:r>
            <w:r w:rsidRPr="00BF44F2">
              <w:rPr>
                <w:i/>
                <w:sz w:val="16"/>
                <w:lang/>
              </w:rPr>
              <w:t>фантомских фирми</w:t>
            </w:r>
            <w:r w:rsidRPr="00BF44F2">
              <w:rPr>
                <w:sz w:val="16"/>
                <w:lang/>
              </w:rPr>
              <w:t>) тако да информације о стварном власништву буду транспарентне и лако доступне обвезницима и државним органима;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Политичка нестабилност, непостојање политичке воље. 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Из информација о привредним субјектима и невладиним организацијама може се једноставно извући закључак у погледу стварног власништва.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Измењени релевантни прописи који се односе на регистрацију привредних субјеката.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Пореска управа, министарство надлежно за привреду, Агенција за привредне регистре (АПР), 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1.600.000 (информације о најбољим праксама, јавна расправа)</w:t>
            </w:r>
          </w:p>
        </w:tc>
      </w:tr>
      <w:tr w:rsidR="00E62CF8" w:rsidRPr="00BF44F2" w:rsidTr="00BB7C97">
        <w:trPr>
          <w:trHeight w:val="143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2.2.3.2. Предузети оперативне и/или друге мере којима ће информације о тзв. </w:t>
            </w:r>
            <w:r w:rsidRPr="00BF44F2">
              <w:rPr>
                <w:i/>
                <w:sz w:val="16"/>
                <w:lang/>
              </w:rPr>
              <w:t xml:space="preserve">фантомским фирмама </w:t>
            </w:r>
            <w:r w:rsidRPr="00BF44F2">
              <w:rPr>
                <w:sz w:val="16"/>
                <w:lang/>
              </w:rPr>
              <w:t>бити доступне што ширем кругу учесника у систему за борбу против прања новца и финансирања тероризма;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 и ресурса; непостојање правних и техничких предуслова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Учесталост размене информација о </w:t>
            </w:r>
            <w:r w:rsidRPr="00BF44F2">
              <w:rPr>
                <w:i/>
                <w:sz w:val="16"/>
                <w:lang/>
              </w:rPr>
              <w:t>фантомским фирмама</w:t>
            </w:r>
            <w:r w:rsidRPr="00BF44F2">
              <w:rPr>
                <w:sz w:val="16"/>
                <w:lang/>
              </w:rPr>
              <w:t xml:space="preserve"> приликом анализе и процене ризика од прања новца и финансирања тероризма и рада на предметима.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 и сарадњи између релевантних органа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Пореска полиција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анализом.</w:t>
            </w:r>
          </w:p>
        </w:tc>
      </w:tr>
      <w:tr w:rsidR="00E62CF8" w:rsidRPr="00BF44F2" w:rsidTr="00BB7C97">
        <w:trPr>
          <w:trHeight w:val="1142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2.2.3.3. Омогућити доступност историјских података у вези са регистрацијом привредних субјеката у Агенцији за привредне регистре;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правних и техничких предуслова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На примерен начин омогућен приступ </w:t>
            </w:r>
            <w:r w:rsidRPr="00BF44F2">
              <w:rPr>
                <w:i/>
                <w:sz w:val="16"/>
                <w:lang/>
              </w:rPr>
              <w:t>историјским</w:t>
            </w:r>
            <w:r w:rsidRPr="00BF44F2">
              <w:rPr>
                <w:sz w:val="16"/>
                <w:lang/>
              </w:rPr>
              <w:t xml:space="preserve"> подацима.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АПР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потенцијалног информатичко-техничког решења и неопходне интервенције.</w:t>
            </w:r>
          </w:p>
        </w:tc>
      </w:tr>
      <w:tr w:rsidR="00E62CF8" w:rsidRPr="00BF44F2" w:rsidTr="00BB7C97">
        <w:trPr>
          <w:trHeight w:val="43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2.2.3.4. Размотрити измену одговарајућих правних прописа о класификацији делатности како би рачуновође биле регистроване под једном шифром;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Политичка нестабилност, непостојање политичке воље. Претпоставка: Примереност решења датим околностима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Заступљеност нових шифри приликом контрола и других анализа код државних органа. Број типологија у којима су заступљене нове шифре делатности. Време потребно надлежним органима за ефикасне контроле и анализе у вези са лицима која се баве рачуноводством (надзор, аналитички рад).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Измењена Уредба о класификацији делатности.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Орган надлежан за послове статистике</w:t>
            </w:r>
          </w:p>
          <w:p w:rsidR="00E62CF8" w:rsidRPr="00BF44F2" w:rsidRDefault="00E62CF8" w:rsidP="00BB7C97">
            <w:pPr>
              <w:rPr>
                <w:strike/>
                <w:sz w:val="16"/>
                <w:lang/>
              </w:rPr>
            </w:pP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43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2.2.3.5. Размотрити измену одговарајућих правних прописа о класификацији делатности како би агенције за промет некретнина биле регистроване под једном шифром.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Политичка нестабилност, непостојање политичке воље. Претпоставка: Примереност решења датим околностима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Време потребно надлежним органима за ефикасне контроле и анализе у вези са лицима која се баве прометом непокретности (надзор, аналитички рад).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Службени гласник Републике Србије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трговину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b/>
          <w:bCs/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18"/>
        <w:gridCol w:w="3330"/>
        <w:gridCol w:w="1262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2.3</w:t>
            </w:r>
            <w:r w:rsidRPr="00BF44F2">
              <w:rPr>
                <w:sz w:val="16"/>
                <w:lang/>
              </w:rPr>
              <w:t xml:space="preserve">. </w:t>
            </w:r>
            <w:r w:rsidRPr="00BF44F2">
              <w:rPr>
                <w:b/>
                <w:sz w:val="16"/>
                <w:lang/>
              </w:rPr>
              <w:t>Унапређење рада органа који надзиру финансијске институције, нарочито банкарски сектор, и одређене делатности ван финансијског сектора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Надзорни органи из Закона о спречавању прања новца и финансирања тероризма врше надзор, праћење и регулисање рада финансијских институција и одређених делатности ван финансијског сектора сразмерно утврђеним ризицима за сваку делатност.</w:t>
            </w:r>
          </w:p>
        </w:tc>
      </w:tr>
      <w:tr w:rsidR="00E62CF8" w:rsidRPr="00BF44F2" w:rsidTr="00BB7C97">
        <w:trPr>
          <w:trHeight w:val="224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br w:type="page"/>
              <w:t>Мера 2.3.1. Трајно усклађивати надзор над применом Закона о спречавању прања новца и финансирања тероризма са националном проценом ризика;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467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2.3.2. Унапредити капацитет и способност надзорних органа у области спречавања прања новца и финансирања тероризма, нарочито за банкарски сектор, додатним ангажовањем запослених, очувањем кадровске основе и стручним усавршавањем;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87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2.3.3 Унапредити рад органа који врше надзор у другим секторима, попут рада мењачница, лица која пружају услуге преноса новца, учесника на тржишту капитала и хартија од вредности итд, у складу са проценом ризика у тим областима;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87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2.3.4. Унапредити рад органа који врше надзор над радом одређених физичких и правних лица ван финансијског сектора, попут рачуновођа и ревизора, у складу са проценом ризика у тим областима;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87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lastRenderedPageBreak/>
              <w:t>Мера 2.3.5. Донети одговарајуће прописе и процедуре у области надзора, који су засновани на анализи и процени ризика, за све обвезнике у складу са међународним стандардима у конкретној области;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bCs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87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2.3.6. Преиспитати и по потреби унапредити постојећи систем санкционисања за непоступање у складу са Законом о спречавању прања новца и финансирања тероризма.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35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br w:type="page"/>
              <w:t xml:space="preserve"> 2.3.1. Трајно усклађивати надзор над применом Закона о спречавању прања новца и финансирања тероризма са националном проценом ризика;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2.3.1.1. Усклађивати годишње планове контрола са закључцима и резултатима националне процене ризика.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капацитета, ресурса и воље. Неспровођење мера 1.1.1 (НПР ПН) и 1.2.1. (НПР ФТ)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Израђени годишњи планови контрола садрже инструкције о начину провере изложености ризицима утврђеним у НПР. Број контрола у којима је документовано (упитници, извештаји о контроли) посвећена нарочита пажња ризицима и слабостима утврђеним у НПР.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Евентуалне измене и допуне методологије.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2.3.1.2. Испитати потребу измене/допуне методологије надзора, планирања контрола.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Боље разумевање методологије надзора и начина планирања контроле код надзорних органа.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2.3.2. Унапредити капацитет и способност надзорних органа у области спречавања прања новца и финансирања тероризма, нарочито за банкарски сектор, додатним ангажовањем запослених, очувањем кадровске основе и стручним усавршавањем;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2.3.2.1. Извршити анализу капацитета надлежних организационих јединица надзорних органа, нарочито за банкарски сектор, у смислу организације, кадровске попуњености и техничке опремљености имајући у виду приоритете сваког надзорног органа дефинисане на основу резултата националне процене ризика;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капацитета, ресурса. Неспровођење мера 1.1.1 (НПР ПН) и 1.2.1. (НПР ФТ)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Кадровски, организациони и технички капацитети преусмерени у складу са приоритетима из НПР.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Анализа. Евентуалне измене и допуне аката о унутрашњој организацији и систематизацији радних места.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 , 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</w:t>
            </w:r>
          </w:p>
        </w:tc>
      </w:tr>
      <w:tr w:rsidR="00E62CF8" w:rsidRPr="00BF44F2" w:rsidTr="00BB7C97">
        <w:trPr>
          <w:trHeight w:val="1187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2.3.2.2. На основу анализе из активности 2.3.4.1 предузети мере за унапређење капацитета надзорних органа.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капацитета, ресурса. Неспровођење анализе из мере 2.3.2.1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Квалитет и квантитет извршених контрола у областима дефинисаним као ризичне.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Измењена акта о организацији. Извештај о раду.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2.3.3 Унапредити рад органа који врше надзор у другим секторима, попут рада мењачница, лица која пружају услуге преноса </w:t>
            </w:r>
            <w:r w:rsidRPr="00BF44F2">
              <w:rPr>
                <w:sz w:val="16"/>
                <w:lang/>
              </w:rPr>
              <w:lastRenderedPageBreak/>
              <w:t>новца, учесника на тржишту капитала и хартија од вредности итд, у складу са проценом ризика у тим областима;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2.3.3.1.</w:t>
            </w:r>
            <w:r w:rsidRPr="00BF44F2">
              <w:rPr>
                <w:b/>
                <w:sz w:val="16"/>
                <w:lang/>
              </w:rPr>
              <w:t xml:space="preserve"> </w:t>
            </w:r>
            <w:r w:rsidRPr="00BF44F2">
              <w:rPr>
                <w:bCs/>
                <w:sz w:val="16"/>
                <w:lang/>
              </w:rPr>
              <w:t xml:space="preserve">У годишњим плановима контрола предвидети интензивније контроле у оним областима које су означене вишим степеном ризика и у складу с тим </w:t>
            </w:r>
            <w:r w:rsidRPr="00BF44F2">
              <w:rPr>
                <w:bCs/>
                <w:sz w:val="16"/>
                <w:lang/>
              </w:rPr>
              <w:lastRenderedPageBreak/>
              <w:t>прерасподелити ресурсе надзорног органа.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Непостојање капацитета, ресурса.Неспровођење мера 1.1.1 (НПР ПН) и 1.2.1. (НПР ФТ)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Израђени годишњи планови контрола садрже инструкције о начину провере изложености ризицима утврђеним у НПР. Број контрола у којима је документовано (упитници, извештаји о контроли) посвећена нарочита пажња ризицима и слабостима из НПР утврђеним за област рада мењачница, лица која пружају услуге </w:t>
            </w:r>
            <w:r w:rsidRPr="00BF44F2">
              <w:rPr>
                <w:sz w:val="16"/>
                <w:lang/>
              </w:rPr>
              <w:lastRenderedPageBreak/>
              <w:t>преноса новца, учесника на тржишту капи</w:t>
            </w:r>
            <w:r>
              <w:rPr>
                <w:sz w:val="16"/>
                <w:lang/>
              </w:rPr>
              <w:t>т</w:t>
            </w:r>
            <w:r w:rsidRPr="00BF44F2">
              <w:rPr>
                <w:sz w:val="16"/>
                <w:lang/>
              </w:rPr>
              <w:t>ала и хартија од вредности итд.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Годишњи планови; Извештаји о контролама; Годишњи извештаји; Анализе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41"/>
        </w:trPr>
        <w:tc>
          <w:tcPr>
            <w:tcW w:w="1710" w:type="dxa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2.3.4. Унапредити рад органа који врше надзор над радом одређених физичких и правних лица ван финансијског сектора, попут рачуновођа и ревизора, у складу са проценом ризика у тим областима;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2.3.4.1. </w:t>
            </w:r>
            <w:r w:rsidRPr="00BF44F2">
              <w:rPr>
                <w:bCs/>
                <w:sz w:val="16"/>
                <w:lang/>
              </w:rPr>
              <w:t>У годишњим плановима контрола предвидети интензивније контроле у оним областима које су означене вишим степеном ризика и у складу с тим прерасподелити ресурсе надзорног органа;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капацитета, ресурса.Неспровођење мера 1.1.1 (НПР ПН) и 1.2.1. (НПР ФТ)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Израђени годишњи планови контрола садрже инструкције о начину провере изложености ризицима утврђеним у НПР. Број контрола у којима је документовано (упитници, извештаји о контроли) посвећена нарочита пажња ризицима и слабостима из НПР утврђеним за област рада одређених физичких и правних лица ван финансијског сектора, попут рачуновођа и ревизора;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Годишњи планови; Извештаји о контролама; Годишњи извештаји; Анализе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62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2.3.5. Донети одговарајуће прописе и процедуре у области надзора, који су засновани на анализи и процени ризика, за све обвезнике у складу са међународним стандардима у конкретној области;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bCs/>
                <w:sz w:val="16"/>
                <w:lang/>
              </w:rPr>
              <w:t>2.3.5.1. Иницирати измене и допуне Закона о спречавању прања новца и финансирања тероризма тако што ће се у област надзора увести обавеза примене приступа заснованог на анализи и процени ризика;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Политичка нестабилност, непостојање политичке воље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 имају обавезу да врше већи број контрола над обвезницима који су означени као ризични у складу са анализом и проценом ризика.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Донесене измене и допуне Закона о спречавању прања новца у складу са међународним стандардима.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Предвиђена у активности 2.2.2.1</w:t>
            </w:r>
          </w:p>
        </w:tc>
      </w:tr>
      <w:tr w:rsidR="00E62CF8" w:rsidRPr="00BF44F2" w:rsidTr="00BB7C97">
        <w:trPr>
          <w:trHeight w:val="97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bCs/>
                <w:sz w:val="16"/>
                <w:lang/>
              </w:rPr>
              <w:t>2.3.5.2. Донети смернице за вршење надзора на основу процене ризика.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ризика; Неспровођење мера 1.1.1 (НПР ПН) и 1.2.1. (НПР ФТ)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9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Постоји разумевање у погледу начина анализе и процене ризика обвезника које примењују надзорни органи.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Усвојене и објављене смернице.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500.000 (информације о најбољој пракси)</w:t>
            </w:r>
          </w:p>
        </w:tc>
      </w:tr>
      <w:tr w:rsidR="00E62CF8" w:rsidRPr="00BF44F2" w:rsidTr="00BB7C97">
        <w:trPr>
          <w:trHeight w:val="251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2.3.6. Преиспитати и по потреби унапредити постојећи систем санкционисања за непоступање у складу са Законом о спречавању прања новца и финансирања тероризма.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2.3.6.1. </w:t>
            </w:r>
            <w:r w:rsidRPr="00BF44F2">
              <w:rPr>
                <w:bCs/>
                <w:sz w:val="16"/>
                <w:lang/>
              </w:rPr>
              <w:t>Анализирати и по потреби иницирати измену система санкционисања како би се постојећи концепт одговорности за привредни преступ усмерио ка концепту одговорности за неадекватно управљање ризиком од прања новца и финансирања тероризма.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Одсуство воље код доносилаца одлука и заинтересованих страна (веза: 2.1.4.2)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измена и корекција интерних процедура  за спречавање прања новца код обвезника. Број промена структуре, број кадровских промена на нивоу овлашћених л</w:t>
            </w:r>
            <w:r>
              <w:rPr>
                <w:sz w:val="16"/>
                <w:lang/>
              </w:rPr>
              <w:t>ица, руководства, као резултат</w:t>
            </w:r>
            <w:r w:rsidRPr="00BF44F2">
              <w:rPr>
                <w:sz w:val="16"/>
                <w:lang/>
              </w:rPr>
              <w:t xml:space="preserve"> санкција или претње санкцијама од стране надзорног органа. Број пресуда и висина изречених казни против обвезника.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Измењени неопходни прописи.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500. 000 (информације о најбољој пракси)</w:t>
            </w:r>
          </w:p>
        </w:tc>
      </w:tr>
    </w:tbl>
    <w:p w:rsidR="00E62CF8" w:rsidRPr="00BF44F2" w:rsidRDefault="00E62CF8" w:rsidP="00E62CF8">
      <w:pPr>
        <w:jc w:val="both"/>
        <w:rPr>
          <w:b/>
          <w:sz w:val="16"/>
          <w:lang/>
        </w:rPr>
      </w:pPr>
    </w:p>
    <w:p w:rsidR="00E62CF8" w:rsidRPr="00BF44F2" w:rsidRDefault="00E62CF8" w:rsidP="00E62CF8">
      <w:pPr>
        <w:jc w:val="both"/>
        <w:rPr>
          <w:b/>
          <w:sz w:val="16"/>
          <w:lang/>
        </w:rPr>
      </w:pPr>
    </w:p>
    <w:p w:rsidR="00E62CF8" w:rsidRPr="00BF44F2" w:rsidRDefault="00E62CF8" w:rsidP="00E62CF8">
      <w:pPr>
        <w:jc w:val="both"/>
        <w:rPr>
          <w:b/>
          <w:sz w:val="16"/>
          <w:lang/>
        </w:rPr>
      </w:pPr>
      <w:r w:rsidRPr="00BF44F2">
        <w:rPr>
          <w:b/>
          <w:sz w:val="16"/>
          <w:lang/>
        </w:rPr>
        <w:br w:type="page"/>
      </w:r>
      <w:r w:rsidRPr="00BF44F2">
        <w:rPr>
          <w:b/>
          <w:sz w:val="16"/>
          <w:lang/>
        </w:rPr>
        <w:lastRenderedPageBreak/>
        <w:t>Стратешка тема 3 – Уочавање и отклањање претњи од прања новца и финансирања тероризма, кажњавање извршилаца кривичних дела и одузимање незаконито стечене имовине</w:t>
      </w:r>
    </w:p>
    <w:p w:rsidR="00E62CF8" w:rsidRPr="00BF44F2" w:rsidRDefault="00E62CF8" w:rsidP="00E62CF8">
      <w:pPr>
        <w:jc w:val="both"/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20"/>
        <w:gridCol w:w="3330"/>
        <w:gridCol w:w="1251"/>
        <w:gridCol w:w="9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b/>
                <w:bCs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3.1. Повећање броја случајева у којима је утврђен основ сумње на кривично дело прања новца или финансирања тероризма и по којима се поступа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rPr>
                <w:b/>
                <w:bCs/>
                <w:sz w:val="16"/>
                <w:lang/>
              </w:rPr>
            </w:pPr>
            <w:r w:rsidRPr="00BF44F2">
              <w:rPr>
                <w:b/>
                <w:bCs/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9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Унапредиће се квалитет информација и учесталост њихове размене. Случајеви прања новца и финансирања тероризма ће се откривати делотворније и ефикасније. То ће помоћи тужиоцима у утврђивању постојања елемената кривичног дела и обезбедити им доказе потребне за успешно гоњење.</w:t>
            </w:r>
          </w:p>
        </w:tc>
      </w:tr>
      <w:tr w:rsidR="00E62CF8" w:rsidRPr="00BF44F2" w:rsidTr="00BB7C97">
        <w:trPr>
          <w:trHeight w:val="251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 xml:space="preserve">Мера 3.1.1. Обезбедити односно унапредити правни оквир за размену информација у конкретним случајевима прања новца или финансирања тероризма и претходних кривичних дела; 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3.1.2. Обезбедити односно јачати механизме сарадње и размене информација у конкретним случајевима прања новца или финансирања тероризма и претходних кривичних дела, како на домаћем тако и на међународном нивоу,  и утврђивати одговарајуће методологије;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287"/>
        </w:trPr>
        <w:tc>
          <w:tcPr>
            <w:tcW w:w="14481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3.1.3. Обезбедити информационотехнолошке системе за размену информација у релевантним органима.</w:t>
            </w:r>
          </w:p>
        </w:tc>
        <w:tc>
          <w:tcPr>
            <w:tcW w:w="1179" w:type="dxa"/>
            <w:gridSpan w:val="2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 и претпоставке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3.1.1. Обезбедити односно унапредити правни оквир за размену информација у конкретним случајевима прања новца или финансирања тероризма и претходних кривичних дела; 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3.1.1.1. Анализирати постојећи правни оквир за размену информација, како у домаћем тако и у међународном контексту, водећи рачуна о важећим прописима који се односе на заштиту података о личности.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Надлежни државни органи директно, фактички и правно несметано, размењују информације међу собом и са органима страних држава уз гаранцију заштите података о личности. Број интервенција у правни оквир који се односи на домаћу и међународну сарадњу.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постојећег правног оквира.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правосуђа, Републичко јавно тужилаштво (РЈТ), МУП, Управа, Безбедносно-информативна агенција (БИА), Пореска управа, Агенција за борбу против корупције (АБПК), Војнобезбедносна агенција (ВБА)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3.1.1.2.Сачинити план спровођења препорука анализе из Активности 3.1.1.1 и реализовати те активности;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Непостојање воље код свих учесника, правних и техничких предуслова; </w:t>
            </w:r>
            <w:r w:rsidRPr="00BF44F2">
              <w:rPr>
                <w:sz w:val="16"/>
                <w:lang/>
              </w:rPr>
              <w:lastRenderedPageBreak/>
              <w:t>спровођење активности 3.1.1.1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15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Постоје тачно одређене договорене радње, органи надлежни за спровођење договорених радњи и рокови у којима су одговорни органи дужни да предузму кораке у</w:t>
            </w:r>
            <w:r>
              <w:rPr>
                <w:sz w:val="16"/>
                <w:lang/>
              </w:rPr>
              <w:t>т</w:t>
            </w:r>
            <w:r w:rsidRPr="00BF44F2">
              <w:rPr>
                <w:sz w:val="16"/>
                <w:lang/>
              </w:rPr>
              <w:t>врђене анализом из 3.1.1.1.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План спровођења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Министарство надлежно за послове правосуђа, РЈТ, МУП, </w:t>
            </w:r>
            <w:r w:rsidRPr="00BF44F2">
              <w:rPr>
                <w:sz w:val="16"/>
                <w:lang/>
              </w:rPr>
              <w:lastRenderedPageBreak/>
              <w:t>Управа, БИА, Пореска управа, АБПК, ВБА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У складу са Планом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3.1.2. Обезбедити односно јачати механизме сарадње и размене информација у конкретним случајевима прања новца или финансирања тероризма и претходних кривичних дела, како на домаћем тако и на међународном нивоу,  и утврђивати одговарајуће методологије;</w:t>
            </w:r>
          </w:p>
        </w:tc>
        <w:tc>
          <w:tcPr>
            <w:tcW w:w="2160" w:type="dxa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3.1.2.1. Анализирати механизме домаће и међународне сарадње и размене информација, утврдити евентуалне недостатке и дати предлоге за њихово отклањање на законодавном, институционалном или оперативном нивоу;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свих учесника, правних и техничких предуслова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Редовно,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Надлежни државни органи директно, фактички и правно несметано, размењују информације међу собом и са органима страних држава уз гаранцију заштите података о личности.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новоуспостављених механизама сарадње. Број размењених информација.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механизама сарадње и размене информација са препорукама.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правосуђа, РЈТ, МУП, Управа, БИА, Пореска управа, АБПК, ВБА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предлозима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3.1.2.2. Утврдити обавезне или пожељне делове споразума о сарадњи између органа који раде на откривању и гоњењу за кривично дело прања новца и финансир</w:t>
            </w:r>
            <w:r>
              <w:rPr>
                <w:sz w:val="16"/>
                <w:lang/>
              </w:rPr>
              <w:t>а</w:t>
            </w:r>
            <w:r w:rsidRPr="00BF44F2">
              <w:rPr>
                <w:sz w:val="16"/>
                <w:lang/>
              </w:rPr>
              <w:t>ња тероризма и претходних кривичних дела који проистичу из најбоље праксе и подстицати надлежне органе на закључивање таквих споразума;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правних предуслова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Задовољство учесника у систему делотворношћу механизама сарадње који проистичу из споразума о сарадњи у складу са утврђеним обавезним односно пожељним деловима споразума. Број споразума који је потписан и који се примењује.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Попис споразума и анализа степена задовољства учесника.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500.000 (информације о најбољој пракси)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3.1.2.3. Редовно вршити преглед квантитета и квалитета остварене домаће и међународне сарадње, сачињавати одговарајуће извештаје и давати предлоге за унапређење стања;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капацитета. Одсуство уједначене методологије за вођење статистика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Редовно, П. 2 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Чланови СКГ имају увид у квантитет и квалитет остварене међусобне и међународне сарадње кроз писане извештаје. Број предлога за унапређење стања.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СКГ или задужених подгрупа СКГ.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предлозима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3.1.2.4. Закључивати споразуме о сарадњи и размени информација са финансијскообавештајним службама којима је за размену података неопходан такав споразум;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код ФОС које захтевају такав споразум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Трајно, П. 3 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држава које захтевају споразум о сарадњи као услов за размену података и број потписаних споразума са таквим државама односно преостали број држава које захтевају такав споразум.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 Управе.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043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3.1.2.5. Анализирати стање и давати препоруке у погледу могућности тзв. дијагоналне размене података (између несродних органа).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Постоји разумевање у погледу могућности дијагоналне размене. Постоји упутство о остваривању такве сарадње. Број примера остварене сарадње.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Упутство о сарадњи. Оцена квалитета сарадње.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3.1.3. Обезбедити информационотехнолошке системе за размену информација у релевантним органима.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3.1.3.1. Анализа информационотехнолошког (</w:t>
            </w:r>
            <w:r w:rsidRPr="00BF44F2">
              <w:rPr>
                <w:i/>
                <w:sz w:val="16"/>
                <w:lang/>
              </w:rPr>
              <w:t>ICT</w:t>
            </w:r>
            <w:r w:rsidRPr="00BF44F2">
              <w:rPr>
                <w:sz w:val="16"/>
                <w:lang/>
              </w:rPr>
              <w:t>) оквира за међусобну размену података;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Постоји разумевање потреба у погледу унапређења </w:t>
            </w:r>
            <w:r w:rsidRPr="00BF44F2">
              <w:rPr>
                <w:i/>
                <w:sz w:val="16"/>
                <w:lang/>
              </w:rPr>
              <w:t xml:space="preserve">ICT </w:t>
            </w:r>
            <w:r w:rsidRPr="00BF44F2">
              <w:rPr>
                <w:sz w:val="16"/>
                <w:lang/>
              </w:rPr>
              <w:t xml:space="preserve">технологије у циљу међусобне размене података.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документ са препорукама.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Управа, НБС, МУП, РЈТ, Управа царина, Пореска управа, АБПК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07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3.1.3.2. Информационо технолошко опремање релевантних органа у циљу изградње капацитета за несметану размену информација;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Постоје средства и тачно утврђене потребе и рокови за унапређење </w:t>
            </w:r>
            <w:r w:rsidRPr="00BF44F2">
              <w:rPr>
                <w:i/>
                <w:sz w:val="16"/>
                <w:lang/>
              </w:rPr>
              <w:t xml:space="preserve">ICT </w:t>
            </w:r>
            <w:r w:rsidRPr="00BF44F2">
              <w:rPr>
                <w:sz w:val="16"/>
                <w:lang/>
              </w:rPr>
              <w:t>опреме у релевантним органима.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Анализа, извештај о спроведеним активностима (извештаји о раду)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 и релевантни органи одређени у анализи из 3.1.3.1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У складу са Анализом </w:t>
            </w:r>
          </w:p>
        </w:tc>
      </w:tr>
      <w:tr w:rsidR="00E62CF8" w:rsidRPr="00BF44F2" w:rsidTr="00BB7C97">
        <w:trPr>
          <w:trHeight w:val="2042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3.1.3.3. Информационотехнолошко </w:t>
            </w:r>
            <w:r w:rsidRPr="00BF44F2">
              <w:rPr>
                <w:b/>
                <w:sz w:val="16"/>
                <w:lang/>
              </w:rPr>
              <w:t>повезивање</w:t>
            </w:r>
            <w:r w:rsidRPr="00BF44F2">
              <w:rPr>
                <w:sz w:val="16"/>
                <w:lang/>
              </w:rPr>
              <w:t xml:space="preserve"> релевантних органа у циљу ефикасне размене информација;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политичке воље. Непостојање воље, правних и техничких предуслова за размену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1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Остварена заштићена и поуздана веза између релевантних органа за размену информација.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размењених информација путем новоуспостављених система.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Анализа, извештај о спроведеним активностима (извештаји о раду)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правосуђа, РЈТ, МУП, Министарство финансија (Управа, Пореска управа, Управа царина), АПР, АБПК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</w:t>
            </w:r>
          </w:p>
        </w:tc>
      </w:tr>
      <w:tr w:rsidR="00E62CF8" w:rsidRPr="00BF44F2" w:rsidTr="00BB7C97">
        <w:trPr>
          <w:trHeight w:val="161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3.1.3.4. Извршити анализу изводљивости, правних и техничких могућности за централизацију података о имовини на целој територији Републике Србије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 за анализу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2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Постојање закључка у погледу изводљивости, правних и техничких могућности за централизацију података. У случају централизације - време потребно за прибављање података о имовини. Време потребно за анализу у релевантним органима.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случају централизације: Постојање централне базе и повезаност на њу.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Израђена студија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Пореска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3.1.3.5. У циљу избегавања непотребног администрирања, надлежним државним органима обезбедити директан електронски приступ евиденцијама </w:t>
            </w:r>
            <w:r>
              <w:rPr>
                <w:sz w:val="16"/>
                <w:lang/>
              </w:rPr>
              <w:t>„</w:t>
            </w:r>
            <w:r w:rsidRPr="00BF44F2">
              <w:rPr>
                <w:sz w:val="16"/>
                <w:lang/>
              </w:rPr>
              <w:t>инфо-стана</w:t>
            </w:r>
            <w:r>
              <w:rPr>
                <w:sz w:val="16"/>
                <w:lang/>
              </w:rPr>
              <w:t>”</w:t>
            </w:r>
            <w:r w:rsidRPr="00BF44F2">
              <w:rPr>
                <w:sz w:val="16"/>
                <w:lang/>
              </w:rPr>
              <w:t>, рачуна за струју, итд;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капацитета. Непостојање правних и техничких предуслова.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i/>
                <w:strike/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Време потребно за прибављање података о имовини. Време потребно за анализу у релевантним органима.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Постојање релевантне базе и повезаност на њу.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Организације којима су пренета јавна овлашћења (јавна предузећа)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500.000 динара (повезивање сервера)</w:t>
            </w:r>
          </w:p>
        </w:tc>
      </w:tr>
      <w:tr w:rsidR="00E62CF8" w:rsidRPr="00BF44F2" w:rsidTr="00BB7C97">
        <w:trPr>
          <w:trHeight w:val="27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3.1.3.6. Извршити детаљну анализу приступа јавно доступним и другим (независним) изворима информација, посебно приступа подацима у </w:t>
            </w:r>
            <w:r w:rsidRPr="00BF44F2">
              <w:rPr>
                <w:sz w:val="16"/>
                <w:lang/>
              </w:rPr>
              <w:lastRenderedPageBreak/>
              <w:t>иностранству и израдити приручник који ће садржати податке о изворима информација у држави и иностранству, начину на који се може приступити тим подацима и законских или фактичких препрека за приступ појединим изворима података.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Непостојање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3</w:t>
            </w:r>
          </w:p>
        </w:tc>
        <w:tc>
          <w:tcPr>
            <w:tcW w:w="342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Постоји свест о постојању различитих јавно доступних извора информација. Укључивање провера тих база као неопходних корака у анализи (кроз процедуре, упутством или на други начин).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Анализа, приручник са изворима информација</w:t>
            </w:r>
          </w:p>
        </w:tc>
        <w:tc>
          <w:tcPr>
            <w:tcW w:w="1260" w:type="dxa"/>
            <w:gridSpan w:val="2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РЈТ, МУП, Управа, БИА, ВБА, Војно обавештајна агенција (ВОА), </w:t>
            </w:r>
            <w:r w:rsidRPr="00BF44F2">
              <w:rPr>
                <w:sz w:val="16"/>
                <w:lang/>
              </w:rPr>
              <w:lastRenderedPageBreak/>
              <w:t>АБПК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100.000 (ангажовати експерта за претрагу независни</w:t>
            </w:r>
            <w:r w:rsidRPr="00BF44F2">
              <w:rPr>
                <w:sz w:val="16"/>
                <w:lang/>
              </w:rPr>
              <w:lastRenderedPageBreak/>
              <w:t xml:space="preserve">х извора информација који ће извршити анализу)  </w:t>
            </w:r>
          </w:p>
        </w:tc>
      </w:tr>
    </w:tbl>
    <w:p w:rsidR="00E62CF8" w:rsidRPr="00BF44F2" w:rsidRDefault="00E62CF8" w:rsidP="00E62CF8">
      <w:pPr>
        <w:rPr>
          <w:sz w:val="16"/>
          <w:lang/>
        </w:rPr>
      </w:pPr>
    </w:p>
    <w:p w:rsidR="00E62CF8" w:rsidRPr="00BF44F2" w:rsidRDefault="00E62CF8" w:rsidP="00E62CF8">
      <w:pPr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18"/>
        <w:gridCol w:w="992"/>
        <w:gridCol w:w="3418"/>
        <w:gridCol w:w="3330"/>
        <w:gridCol w:w="1262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3.2. Унапређење свих фаза поступања у конкретним случајевима прања новца и финансирања тероризма од основа сумње до завршетка поступка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Успешно ће се решити већи број случајева прања новца, посебно у вези са претходним кривичним делима утврђеним у Националној процени ризика, и финансирања тероризма. Одузеће се више имовине стечене кривичним делом односно више имовине намењене финансирању тероризма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3.2.1. Образовати заједничке радне групе и оперативне тимове које ће се бавити посебно великим предметима и областима високог степена приоритета (пореска кривична дела, коруптивна кривична дела, кривична дела производње и стављања у промет опојних дрога);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3.2.2. Разрадити механизме поверавања задатака и координације између надлежних органа у заједничким радним групама и радним тимовима;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3.2.3. Утврђивати приоритете, у складу са Националном проценом ризика, кроз међусобну сарадњу надлежних државних органа који учествују у истрагама кривичних дела прања новца и финансирања тероризма односно прикупљању обавештајних података;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3.2.4. Анализом финансијскообавештајног циклуса и рада на предмету побољшати праксу у раду;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3.2.5. Предвидети ефикасне и свеобухватне процедуре за статистичко праћење (мерење) стања у свим фазама поступка, од основа сумње до завршетка поступка;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3.2.6. У активностима откривања и гоњења за кривична дела финансијског криминала прерасподелити ресурсе у смеру разумевања и откривања кривичног дела прања новца и утврдити показатеље успешности.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3.2.1. </w:t>
            </w:r>
            <w:r w:rsidRPr="00BF44F2">
              <w:rPr>
                <w:bCs/>
                <w:sz w:val="16"/>
                <w:lang/>
              </w:rPr>
              <w:t xml:space="preserve">Образовати заједничке радне групе и оперативне тимове које ће се бавити посебно великим предметима и областима високог степена приоритета (пореска кривична дела, коруптивна кривична дела, кривична дела </w:t>
            </w:r>
            <w:r w:rsidRPr="00BF44F2">
              <w:rPr>
                <w:bCs/>
                <w:sz w:val="16"/>
                <w:lang/>
              </w:rPr>
              <w:lastRenderedPageBreak/>
              <w:t>производње и стављања у промет опојних дрога);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3.2.1.1. Одредити сталне особе за контакт у свим релевантним органима који ће се бавити областима високог степена приоритета и из чијих редова ће се образовати оперативни тимови за конкретне предмете;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Недостатак ресурса. 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посебно великих предмета у раду државних органа кроз механизам заједничких радних група и оперативних тимова. Број посебно великих предмета из области високог степена приоритета.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3.2.1.2. По потреби оснивати оперативне тимове за конкретне предмете;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vertAlign w:val="subscript"/>
                <w:lang/>
              </w:rPr>
            </w:pPr>
            <w:r w:rsidRPr="00BF44F2">
              <w:rPr>
                <w:sz w:val="16"/>
                <w:lang/>
              </w:rPr>
              <w:t xml:space="preserve">Недостатак капацитета и ресурса.Неспровођење активности </w:t>
            </w:r>
            <w:r w:rsidRPr="00BF44F2">
              <w:rPr>
                <w:sz w:val="16"/>
                <w:lang/>
              </w:rPr>
              <w:lastRenderedPageBreak/>
              <w:t xml:space="preserve">3.2.2.1 и 3.2.3.1 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18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оперативних тимова и број предмета.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РЈТ, органи надлежни за откривање кривичних </w:t>
            </w:r>
            <w:r w:rsidRPr="00BF44F2">
              <w:rPr>
                <w:sz w:val="16"/>
                <w:lang/>
              </w:rPr>
              <w:lastRenderedPageBreak/>
              <w:t>дела прања новца и финансирања тероризма (ПН/ФТ) , Сектор пореске полиције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У складу са анализом потреба </w:t>
            </w:r>
          </w:p>
        </w:tc>
      </w:tr>
      <w:tr w:rsidR="00E62CF8" w:rsidRPr="00BF44F2" w:rsidTr="00BB7C97">
        <w:trPr>
          <w:trHeight w:val="917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3.2.1.3 Утврдити циљеве и приоритете у раду радних тимова и свих државних органа појединачно;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правних предуслова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Разумевање чланова радних група и државних органа појединачно улоге радних група и приоритета у раду.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Доношење одговарајућег акта.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РЈТ, органи за откривање кривичних дела ПН/ФТ, Сектор пореске полиције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917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contextualSpacing/>
              <w:jc w:val="both"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3.2.1.4. Водити одговарајуће статистике у раду радних група и оперативних тимова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јасне и доследне методологије за вођење статистика.Неспровођење активности 3.2.1.2, 3.2.2.1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Упоредни преглед статистика.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 радних група.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РЈТ, органи надлежни за откривање кривичних дела ПН/ФТ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Нису потребна </w:t>
            </w:r>
          </w:p>
        </w:tc>
      </w:tr>
      <w:tr w:rsidR="00E62CF8" w:rsidRPr="00BF44F2" w:rsidTr="00BB7C97">
        <w:trPr>
          <w:trHeight w:val="1448"/>
        </w:trPr>
        <w:tc>
          <w:tcPr>
            <w:tcW w:w="171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3.2.2. </w:t>
            </w:r>
            <w:r w:rsidRPr="00BF44F2">
              <w:rPr>
                <w:bCs/>
                <w:sz w:val="16"/>
                <w:lang/>
              </w:rPr>
              <w:t>Разрадити механизме поверавања задатака и координације између надлежних органа у заједничким радним групама и радним тимовима;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3.2.2.1. Донети одговарајући акт којим се утврђују обавезе представника сваког државног органа који је члан радне групе односно оперативног тима.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Разумевање чланова радних група и државних органа појединачно улоге радних група и приоритета у раду. Број предмета.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Доношење одговарајућег акта. Извештаји о раду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РЈТ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3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3.2.3. Утврђивати</w:t>
            </w:r>
            <w:r w:rsidRPr="00BF44F2">
              <w:rPr>
                <w:bCs/>
                <w:sz w:val="16"/>
                <w:lang/>
              </w:rPr>
              <w:t xml:space="preserve"> приоритете, у складу са Националном проценом ризика, кроз међусобну сарадњу надлежних државних органа који учествују у истрагама кривичних дела прања новца и финансирања тероризма односно прикупљању </w:t>
            </w:r>
            <w:r w:rsidRPr="00BF44F2">
              <w:rPr>
                <w:bCs/>
                <w:sz w:val="16"/>
                <w:lang/>
              </w:rPr>
              <w:lastRenderedPageBreak/>
              <w:t>обавештајних података;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3.2.3.1. Меморандумом о разумевању између релевантних органа предвидети, за сваку годину, заједничке приоритете у складу са националном проценом ризика;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воље, анализе приоритета органа, ресурса, капацитета.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предмета у релевантним органима – упоредни преглед. Број или квалитет унапређења у систему (базе података, заједничке обуке, иницијативе, итд.)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Меморандум о разумевању. Извештаји о раду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133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3.2.3.3. Израдити и донети обавезне инструкције о методологији за случајеве прања новца и за тужиоце.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ризика.Непостојање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i/>
                <w:strike/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Тужиоци разумеју приоритете и придају им одговарајући значај приликом рада на предметима. Број предмета у раду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 области високоризичних кривичних дела.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Израђена методологија и обавезне инструкције о утврђивању приоритета.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РЈТ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инструкцијом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3.2.4. Анализом финансијскообавештајног циклуса и рада на предмету побољшати праксу у раду;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3.2.4.1. Извештај о спроведеној анализи достављати руководиоцима надлежних организационих јединица са препорукама за унапређење стања (организационе корекције или обука);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Без ризика. 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анализираних предмета, број препорука. Број спроведених обука.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анализи и прослеђивању анализе.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Управа, МУП, РЈТ 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препорукама</w:t>
            </w:r>
          </w:p>
        </w:tc>
      </w:tr>
      <w:tr w:rsidR="00E62CF8" w:rsidRPr="00BF44F2" w:rsidTr="00BB7C97">
        <w:trPr>
          <w:trHeight w:val="35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rFonts w:eastAsia="MS ??"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3.2.4.2. </w:t>
            </w:r>
            <w:r w:rsidRPr="00BF44F2">
              <w:rPr>
                <w:rFonts w:eastAsia="MS ??"/>
                <w:sz w:val="16"/>
                <w:lang/>
              </w:rPr>
              <w:t>Утврдити смернице у писаној форми којима ће се прецизирати поступање са информацијама које се размењују, у смислу радњи које је потребно предузети, рокова и повратних информација о напретку на случају од крајњег корисника извештаја.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9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Орган који сачињава извештај/доставља информације има преглед квалитета достављених информација на бази оцене задовољства коју доставља корисник информације. Корисници размењених информација међусобно се обавештавају о стању предмета, квалитету размењених информација и додатних информација које је потребно прибавити.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Документ са смерницама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 , органи надлежни за откривање кривичних дела ПН/ФТ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90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3.2.5.</w:t>
            </w:r>
            <w:r w:rsidRPr="00BF44F2">
              <w:rPr>
                <w:i/>
                <w:sz w:val="16"/>
                <w:lang/>
              </w:rPr>
              <w:t xml:space="preserve"> </w:t>
            </w:r>
            <w:r w:rsidRPr="00BF44F2">
              <w:rPr>
                <w:sz w:val="16"/>
                <w:lang/>
              </w:rPr>
              <w:t>Предвидети ефикасне и свеобухватне процедуре за статистичко праћење (мерење) стања у свим фазама поступка, од основа сумње до завршетка поступка;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3.2.5.1. Унапредити поступак прикупљања, обједињавања и анализе података о кривичним делима прања новца и финансирања тероризма које Управа прикупља од других органа;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Неблаговремено извршавање обавезе достављања података Управи. Нетачне, непотпуне, некомпатибилне статистике. Непостојање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36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Подаци у складу са Законом о спречавању прања новца и финансирања тероризма достављају се Управи једанпут годишње и сваки пут на захтев Управе. Време потребно за састављање статистичког извештаја у Управи.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Апликација за евидентирање података у Управи.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Управа, РЈТ, судови, Министарство надлежно за послове правосуђа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3.2.5.2. Иницирање доношења јединственог закона о статистикама у правосуђу којим ће се решити питање статистичког праћења (мерење) стања у свим фазама поступка, од основа сумње до завршетка поступка, као и питање вредности </w:t>
            </w:r>
            <w:r w:rsidRPr="00BF44F2">
              <w:rPr>
                <w:sz w:val="16"/>
                <w:lang/>
              </w:rPr>
              <w:lastRenderedPageBreak/>
              <w:t xml:space="preserve">одузете имовине. 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Политичка нестабилност, непостојање политичке воље. Непостојање правних и техничких предуслова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 истеку овог (првог двогодишњег) плана,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Успостављен систем у ком статистички подаци омогућују мерење стања у свим фазама поступка.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Донет закон.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послове правосуђа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1.600.000 (информације о најбољој пракси и јавна расправа) 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3.2.6.</w:t>
            </w:r>
            <w:r w:rsidRPr="00BF44F2">
              <w:rPr>
                <w:i/>
                <w:sz w:val="16"/>
                <w:lang/>
              </w:rPr>
              <w:t xml:space="preserve"> </w:t>
            </w:r>
            <w:r w:rsidRPr="00BF44F2">
              <w:rPr>
                <w:sz w:val="16"/>
                <w:lang/>
              </w:rPr>
              <w:t>У активностима откривања и гоњења за кривична дела финансијског криминала прерасподелити ресурсе у смеру разумевања и откривања кривичног дела прања новца и утврдити показатеље успешности.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3.2.6.1. Израда стратешке анализе (трендова и типологија) уз посебан нагласак на кривична дела која су у националној процени ризика идентификована као високо ризична;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ажуриране НПР, непостојање ресурса и капацитета; Неспровођење мера 1.1.1 и 1.2.1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Запослени ангажовани на пословима откривања и спречавања прања новца разумеју последње трендове и имају знање о типологијама прања новца, нарочито из </w:t>
            </w:r>
            <w:r w:rsidRPr="00BF44F2">
              <w:rPr>
                <w:i/>
                <w:sz w:val="16"/>
                <w:lang/>
              </w:rPr>
              <w:t xml:space="preserve">високоризичних </w:t>
            </w:r>
            <w:r w:rsidRPr="00BF44F2">
              <w:rPr>
                <w:sz w:val="16"/>
                <w:lang/>
              </w:rPr>
              <w:t>кривичних дела.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Израђена стратешка анализа, достављена запосленима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Управа, 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88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3.2.6.2.  Редовно проверавање (тражењем повратних информација) корисности и успешности стратешких производа;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Неодазивање испитаника. Непостојање ресурса, воља институција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Оцена задовољства корисника стратешких анализа.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евалуацији упитника.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260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3.2.6.3. У извештаје које Управа прослеђује надлежним органима у случају основа сумње на прање новца или финансирање тероризма уврстити стандардизовани образац за достављање повратних информација у циљу праћења тока предмета Управе и делотворности информација из извештаја.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 и воље учесника у размени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Запослени ангажовани на пословима анализе у Управи разумеју перцепцију квалитета информација и анализа које достављају колегама у другим релевантним органима. Број измена у интерним процедурама аналитичког рада.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Измењени и допуњени образац захтева Управи и одговора (извештаја Управе). Образац за повратну информацију.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b/>
          <w:bCs/>
          <w:sz w:val="16"/>
          <w:lang/>
        </w:rPr>
      </w:pPr>
    </w:p>
    <w:p w:rsidR="00E62CF8" w:rsidRPr="00BF44F2" w:rsidRDefault="00E62CF8" w:rsidP="00E62CF8">
      <w:pPr>
        <w:rPr>
          <w:b/>
          <w:bCs/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18"/>
        <w:gridCol w:w="992"/>
        <w:gridCol w:w="3418"/>
        <w:gridCol w:w="3330"/>
        <w:gridCol w:w="1262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rPr>
                <w:b/>
                <w:bCs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3.3. Унапређење капацитета Управе за спречавање прања новца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rPr>
                <w:b/>
                <w:bCs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Унапредиће се брзина и учесталост размене информација, квалитет анализа у Управи из којих ће други надлежни органи и органи страних држава моћи извлачити корисне информације за поступке из њихове надлежности. Статистичко праћење и мерење одређених елемената у сарадњи и размени информација омогућиће боље разумевање квалитета и трендова у сарадњи и одговарајуће кориговање механизама сарадње.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numPr>
                <w:ilvl w:val="0"/>
                <w:numId w:val="28"/>
              </w:num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Мера 3.3.1. Унапредити ресурсе у Управи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numPr>
                <w:ilvl w:val="0"/>
                <w:numId w:val="28"/>
              </w:num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Мера 3.3.2. Унапредити пословне процесе у Управи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lastRenderedPageBreak/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458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3.3.1. Унапредити ресурсе у Управи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3.3.1.1. Анализирати постојеће капацитете Управе у погледу смештаја, људских и материјалних ресурса и информационо-комуникационих система  у односу на овлашћења и надлежности у складу са Законом и међународне стандарде;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Разумевање међународних стандарда у погледу финансијскообавештајних служби; Разликовање основних и других овлашћења и надлежности Управе и расподела ресурса у складу са значајем основних функција.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капацитета.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потребна.</w:t>
            </w:r>
          </w:p>
        </w:tc>
      </w:tr>
      <w:tr w:rsidR="00E62CF8" w:rsidRPr="00BF44F2" w:rsidTr="00BB7C97">
        <w:trPr>
          <w:trHeight w:val="791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3.3.1.2. Унапредити капацитете у складу са анализом потреба из активности 3.3.1.1.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и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Величина простора за рад и смештај кадрова и опреме. Број случајева (проценат) у којима су коришћени допунски информатички аналитички алати (Бизнис интелиџенс, И2)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Правилник о унутрашњем уређењу систематизацији радних места у Управи. Извештај о раду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 складу са анализом из 3.3.1.1.</w:t>
            </w:r>
          </w:p>
        </w:tc>
      </w:tr>
      <w:tr w:rsidR="00E62CF8" w:rsidRPr="00BF44F2" w:rsidTr="00BB7C97">
        <w:trPr>
          <w:trHeight w:val="7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3.3.2. Унапредити пословне процесе у Управи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3.3.2.1. Анализирати пословне процесе у оквиру аналитике у Управи и кориговати их у складу са препорукама.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предмета којима су задужени аналитичари и брзине обраде тих предмета.. Број обука у којима су учествовали запослени у Управи и број интервенција у интерне процесе који су резултат тих обука. Број интервенција у информатички систем као резултат примедаба од корисника информатичких алата (база) Управе.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процеса.  Извештаји о обуци, извештаји о раду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потребна.</w:t>
            </w:r>
          </w:p>
        </w:tc>
      </w:tr>
      <w:tr w:rsidR="00E62CF8" w:rsidRPr="00BF44F2" w:rsidTr="00BB7C97">
        <w:trPr>
          <w:trHeight w:val="1214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3.3.2.2. Анализирати осталe пословнe проценe у Управи, имајући у виду овлашћења и надлежности Управе, и кориговати их у складу са препорукама.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</w:t>
            </w:r>
          </w:p>
        </w:tc>
        <w:tc>
          <w:tcPr>
            <w:tcW w:w="992" w:type="dxa"/>
            <w:shd w:val="clear" w:color="auto" w:fill="auto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 месеца, П. 3</w:t>
            </w:r>
          </w:p>
        </w:tc>
        <w:tc>
          <w:tcPr>
            <w:tcW w:w="3418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запослених у Управи задужен за основне и друге функције.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Систематизација радних места и распоређеност радних задатака кроз описе радних места. Извештај о раду</w:t>
            </w:r>
          </w:p>
        </w:tc>
        <w:tc>
          <w:tcPr>
            <w:tcW w:w="1262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потребна.</w:t>
            </w:r>
          </w:p>
        </w:tc>
      </w:tr>
      <w:tr w:rsidR="00E62CF8" w:rsidRPr="00BF44F2" w:rsidTr="00BB7C97">
        <w:trPr>
          <w:trHeight w:val="260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3.3.2.3. Ојачати Одељење за надзор у Управи. 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ресурса</w:t>
            </w:r>
          </w:p>
        </w:tc>
        <w:tc>
          <w:tcPr>
            <w:tcW w:w="992" w:type="dxa"/>
            <w:shd w:val="clear" w:color="auto" w:fill="auto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извештаја о извршеним контролама, број налога за отклањање неправилности, број поднетих пријава за изрицање санкција због повреде закона, број пресуда, број сумњивих трансакција од стране обвезника које Управа надзире;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Статистике Управе, Извештај о раду Одељења, Извештај о раду Управе</w:t>
            </w:r>
          </w:p>
        </w:tc>
        <w:tc>
          <w:tcPr>
            <w:tcW w:w="1262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  <w:shd w:val="clear" w:color="auto" w:fill="auto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80.000 бруто по запосленом инспектору на месечном нивоу</w:t>
            </w:r>
          </w:p>
        </w:tc>
      </w:tr>
    </w:tbl>
    <w:p w:rsidR="00E62CF8" w:rsidRPr="00BF44F2" w:rsidRDefault="00E62CF8" w:rsidP="00E62CF8">
      <w:pPr>
        <w:rPr>
          <w:b/>
          <w:bCs/>
          <w:sz w:val="16"/>
          <w:lang/>
        </w:rPr>
      </w:pPr>
    </w:p>
    <w:p w:rsidR="00E62CF8" w:rsidRPr="00BF44F2" w:rsidRDefault="00E62CF8" w:rsidP="00E62CF8">
      <w:pPr>
        <w:rPr>
          <w:b/>
          <w:sz w:val="16"/>
          <w:lang/>
        </w:rPr>
      </w:pPr>
    </w:p>
    <w:p w:rsidR="00E62CF8" w:rsidRPr="00BF44F2" w:rsidRDefault="00E62CF8" w:rsidP="00E62CF8">
      <w:pPr>
        <w:rPr>
          <w:b/>
          <w:sz w:val="16"/>
          <w:lang/>
        </w:rPr>
      </w:pPr>
      <w:r w:rsidRPr="00BF44F2">
        <w:rPr>
          <w:b/>
          <w:sz w:val="16"/>
          <w:lang/>
        </w:rPr>
        <w:br w:type="page"/>
      </w:r>
      <w:r w:rsidRPr="00BF44F2">
        <w:rPr>
          <w:b/>
          <w:sz w:val="16"/>
          <w:lang/>
        </w:rPr>
        <w:lastRenderedPageBreak/>
        <w:t>Стратешка тема  4 – Квалификовани кадрови оспособљени за делотворно учешће у свим сегментима система за борбу против прања новца и финансирања тероризма и разумевање у јавности улоге и планова надлежних органа</w:t>
      </w:r>
    </w:p>
    <w:p w:rsidR="00E62CF8" w:rsidRPr="00BF44F2" w:rsidRDefault="00E62CF8" w:rsidP="00E62CF8">
      <w:pPr>
        <w:rPr>
          <w:b/>
          <w:bCs/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18"/>
        <w:gridCol w:w="992"/>
        <w:gridCol w:w="3418"/>
        <w:gridCol w:w="3330"/>
        <w:gridCol w:w="1262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Циљ 4.1. Обука и стручно усавршавање учесника у систему борбе против прања новца и финансирања тероризма за стицање теоретских и практичних знања и вештина и за њихову адекватну примену у оквиру својих овлашћења и надлежности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</w:t>
            </w:r>
            <w:r w:rsidRPr="00BF44F2">
              <w:rPr>
                <w:sz w:val="16"/>
                <w:lang/>
              </w:rPr>
              <w:t xml:space="preserve"> </w:t>
            </w:r>
            <w:r w:rsidRPr="00BF44F2">
              <w:rPr>
                <w:b/>
                <w:sz w:val="16"/>
                <w:lang/>
              </w:rPr>
              <w:t>1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Очекивани резултати:</w:t>
            </w:r>
            <w:r w:rsidRPr="00BF44F2">
              <w:rPr>
                <w:sz w:val="16"/>
                <w:lang/>
              </w:rPr>
              <w:t xml:space="preserve"> Учесници у систему ће користити стечена знања и вештине у циљу делотворног и ефикасног ангажовања у превентивном и репресивном делу система за борбу против прања новца и финансирања тероризма.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4.1.1. Побољшати капацитете учесника у систему борбе против прања новца и финансирања тероризма доношењем стратегије обуке и стручног усавршавања;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4.1.2. Развити центар за обуку у циљу пружања обуке и координације обуке у области борбе против прања новца и финансирања тероризма;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4.1.3. Искуства и најбоље праксе у раду на предметима учинити доступним што ширем броју запослених у надлежним државним органима који су ангажовани на предметима спречавања, откривања и кажњавања за кривично дело прања новца и повезана кривична дела;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3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4.1.4. Обучавати запослене у надлежним државним органима о правним основима сарадње и размене информација и механизмима за њихову практичну примену;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4.1.5. Нарочито ширити знања у области финансирања тероризма и финансирања ширења оружја за масовно уништење.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3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4.1.1. </w:t>
            </w:r>
            <w:r w:rsidRPr="00BF44F2">
              <w:rPr>
                <w:bCs/>
                <w:sz w:val="16"/>
                <w:lang/>
              </w:rPr>
              <w:t>Побољшати капацитете учесника у систему борбе против прања новца и финансирања тероризма доношењем стратегије обуке и стручног усавршавања;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4.1.1.1. Образовати радну групу за израду стратегије обуке и стручног усавршавања;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 и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6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Учесници у систему имају сазнања о институцијама задуженим за обуку и стручно усавршавање у Републици Србији, дугорочно предвидљив и доследан план развоја и спровођења обуке у систему.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документ Стратегија обуке.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845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4.1.1.2. Направити објективну анализу потреба за обуком у свим надлежним државним органима (тужиоци, полиција, Управа, судови, надзорни органи ); 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 и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 учесници у систему имају разумевање стварних потреба свих учесника у систему за обуком у свим органима на средњи и краћи рок.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извештај о процени потреба за обуком.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4.1.1.3. </w:t>
            </w:r>
            <w:r w:rsidRPr="00BF44F2">
              <w:rPr>
                <w:bCs/>
                <w:sz w:val="16"/>
                <w:lang/>
              </w:rPr>
              <w:t>Анализирати систем обуке овлашћених лица и, по потреби, извршити неопходна унапређења имајући у виду процену ризика сваког појединачног сектора при чему највише пажње треба посветити секторима који су одређени као ризичнији;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капацитета и ресурса, неспровођење мера 1.1.1. и 1.2.1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Постоји разумевање потреба за обуком код овлашћених лица сходно утврђеним ризицима. Број и квалитет измена у интерним системима обуке. Број спроведених обука.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извештај о анализи. Извештаји о раду обвезника. Извештаји надзорног органа.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Надзорни органи, удружења обвезника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25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4.1.1.4. На основу анализе потреба за обуком (активност 4.1.1.2. и 4.1.1.3), донети програм обуке водећи рачуна о националној </w:t>
            </w:r>
            <w:r w:rsidRPr="00BF44F2">
              <w:rPr>
                <w:sz w:val="16"/>
                <w:lang/>
              </w:rPr>
              <w:lastRenderedPageBreak/>
              <w:t>процени ризика, последњим трендовима у области прања новца и финансирања тероризма и приоритетима државних органа;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Непостојање капацитета и ресурса, неспровођење мера 1.1.1. и 1.2.1; и </w:t>
            </w:r>
            <w:r w:rsidRPr="00BF44F2">
              <w:rPr>
                <w:sz w:val="16"/>
                <w:lang/>
              </w:rPr>
              <w:lastRenderedPageBreak/>
              <w:t>неспровођење активности 4.1.1.2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18 месеци,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 учесници у систему имају увид у предвидљив и доследан годишњи програм стручног усавршавања заснован на анализи потреба и водећи рачуна о резултатима стратешких анализа.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Анализа потреба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142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4.1.1.5. У годишње планове обуке Правосудне академије и Полицијске академије уврстити теме прања новца и финансирања тероризма и одузимања нелегално стечене имовине;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Без ризика.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спроведених обука у складу са програмом рада у који су увршћене теме прања новца и финансирања тероризма.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Програм обуке. Извештај о спроведеним обукама. Извештај о раду Правосудне академије и Полицијске академије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Правосудна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академија, Полицијска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академија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4.1.1.6. Пратити и активно користити програме техничке помоћи у домену обуке коју пружају међународне организације кроз коју ће се усавршавати службеници ангажовани на великим предметима прања новца.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Недовољна комуникација и координација између државних органа; недовољно кадровских ресурса.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1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Број службеника ангажованих на великим предметима и број службеника који су користили могућности обуке на високом нивоу.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 Управе (центра за обуку).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4.1.2. Развити центар за обуку у циљу пружања обуке и координације </w:t>
            </w:r>
            <w:r w:rsidRPr="00BF44F2">
              <w:rPr>
                <w:bCs/>
                <w:sz w:val="16"/>
                <w:lang/>
              </w:rPr>
              <w:t>обуке у области борбе против прања новца и финансирања тероризма;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4.1.2.1. Обезбедити капацитете и ресурсе за развијање центра за обуку у оквиру Управе за спречавање прања новца у чијим активностима ће учествовати судије, тужиоци, полицијски службеници, обвезници и запослени у надзорним органима и другим релевантним  државним органима, органима других држава и међународним организацијама, као предавачи и као полазници;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Непостојање воље и расположивих ресурса.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Постоје тачне, потпуне и доследне информације о свим обукама које се организују у систему борбе против прања новца и финансирања тероризма у Србији. Постоји координација и усаглашавање обука које организују различити учесници у систему и различити донатори. Обука се организује у складу са стратегијом и програмом обуке за конкретну годину. Постоје друге релевантне статистике битне за организацију и координацију обуке. Основан центар за обуку у оквиру Управе са одговарајућим бројем запослених (руководилац, координатор и административни помоћник) који ће проћи кроз одговарајућу обуку.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Правилник о унутрашњем уређењу и систематизацији радних места у Управи. Извештај о раду Управе.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Влада</w:t>
            </w:r>
          </w:p>
        </w:tc>
        <w:tc>
          <w:tcPr>
            <w:tcW w:w="1170" w:type="dxa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Према акту о ун</w:t>
            </w:r>
            <w:r>
              <w:rPr>
                <w:sz w:val="16"/>
                <w:lang/>
              </w:rPr>
              <w:t>у</w:t>
            </w:r>
            <w:r w:rsidRPr="00BF44F2">
              <w:rPr>
                <w:sz w:val="16"/>
                <w:lang/>
              </w:rPr>
              <w:t>трашњем уређењу и систематизацији радних места (бруто 80.000 динара  по запосленом)</w:t>
            </w:r>
          </w:p>
        </w:tc>
      </w:tr>
      <w:tr w:rsidR="00E62CF8" w:rsidRPr="00BF44F2" w:rsidTr="00BB7C97">
        <w:trPr>
          <w:trHeight w:val="36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4.1.2.2. Анализирати потребе за обуком у Управи, имајући у виду анализу капацитета Управе из активности 2.1.5.1 и донети план обуке водећи рачуна о националној процени </w:t>
            </w:r>
            <w:r w:rsidRPr="00BF44F2">
              <w:rPr>
                <w:sz w:val="16"/>
                <w:lang/>
              </w:rPr>
              <w:lastRenderedPageBreak/>
              <w:t>ризика, последњим трендовима у области прања новца и финансирања тероризма и приоритетима Управе;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Непостојање ресурса, неспровођење активности 2.1.5.1, мера 1.1.1 и 1.2.1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9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Руководиоци и запослени у Управу имају разумевање стварних потреба Управе за обуком на нивоу организације (Управе), функција (одељења) и појединаца (аналитичара и других запослених) на средњи и краћи рок. Обука се организује у складу са општим програмом и извршеном анализом потреба за обуком у Управи.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извештај о процени потреба за обуком. Извештаји о спроведеној обуци.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Нису потребна </w:t>
            </w:r>
          </w:p>
        </w:tc>
      </w:tr>
      <w:tr w:rsidR="00E62CF8" w:rsidRPr="00BF44F2" w:rsidTr="00BB7C97">
        <w:trPr>
          <w:trHeight w:val="621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4.1.2.3. Обезбедити информационотехнолошке алате центра за обуку помоћу којих ће се координирати и пратити обука, промовисати систем и објављивати едукативни материјали.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Неспровођење активности 4.1.2.1, непостојање капацитета и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 (Центар за обуку) има на располагању алат који олакшава координацију и организацију обуке и генерише друге информације битне за обуку (нпр. информације о учесницима, предавачима, темама, итд.)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Софтвер за праћење и координацију обуке наменски израђен или купљен. Извештај о раду Управе (центра).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1.000.000 динара</w:t>
            </w:r>
          </w:p>
        </w:tc>
      </w:tr>
      <w:tr w:rsidR="00E62CF8" w:rsidRPr="00BF44F2" w:rsidTr="00BB7C97">
        <w:trPr>
          <w:trHeight w:val="116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4.1.3. Искуства и најбоље праксе у раду на предметима учинити доступним што ширем броју запослених у надлежним државним органима који су ангажовани на предметима спречавања, откривања и кажњавања за кривично дело прања новца и повезана кривична дела;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4.1.3.1. Образовати радну групу за обуку при Сталној координационој групи, састављену од службеника ангажованих на конкретним предметима, која ће анализирати, са аспекта обуке, окончане предмете и предмете у раду и давати препоруке за измене и допуне програма и планова обуке;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Недоношење одлуке о јачању СКГ, непостојање капацитета и ресурса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извршених анализа, број препорука, повратна информација од што ширег броја запослених у надлежним државним органима у погледу корисности извршених анализа и датих препорука.  Број нових и измењених тема у програмима и плановима обуке за наредни циклус обуке.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раду СКГ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Нису потребна 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4.1.3.2. На основу анализа радне групе за обуку и на основу међународних искустава, саставити приручник о најбољим праксама у поступању по предметима; 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Неспровођење активности 4.1.3.1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>
              <w:rPr>
                <w:sz w:val="16"/>
                <w:lang/>
              </w:rPr>
              <w:t>Запослени ангажовани на конкре</w:t>
            </w:r>
            <w:r w:rsidRPr="00BF44F2">
              <w:rPr>
                <w:sz w:val="16"/>
                <w:lang/>
              </w:rPr>
              <w:t>т</w:t>
            </w:r>
            <w:r>
              <w:rPr>
                <w:sz w:val="16"/>
                <w:lang/>
              </w:rPr>
              <w:t>н</w:t>
            </w:r>
            <w:r w:rsidRPr="00BF44F2">
              <w:rPr>
                <w:sz w:val="16"/>
                <w:lang/>
              </w:rPr>
              <w:t xml:space="preserve">им предметима имају сазнања о најновијим и најбољим праксама у другим државама и коригују своју праксу у том погледу (број и квалитет измена у процедурама рада).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Израђен приручник и достављен свим запосленима ангажованим на конкретним предметима.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1.500.000 (информације о најбољој пракси, трошкови штампања)</w:t>
            </w:r>
          </w:p>
        </w:tc>
      </w:tr>
      <w:tr w:rsidR="00E62CF8" w:rsidRPr="00BF44F2" w:rsidTr="00BB7C97">
        <w:trPr>
          <w:trHeight w:val="521"/>
        </w:trPr>
        <w:tc>
          <w:tcPr>
            <w:tcW w:w="1710" w:type="dxa"/>
            <w:vMerge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4.1.3.3. Константно прикупљати и објављивати судску праксу у овој области која ће служити као материјал за обуку али и као полазна основа за дискусију на састанцима Сталне координационе групе и неформалних дискусионих група.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Запослени на предметима прања новца, а посебно судије и тужиоци, имају на располагању битне примере судске праксе као полазна основа за обуку. 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Збирка судске праксе у области. Извештаји СКГ и радних група СКГ.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РЈТ, судови, МУП, Управа, Правосудна академија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500.000 (трошкови штампања)</w:t>
            </w:r>
          </w:p>
        </w:tc>
      </w:tr>
      <w:tr w:rsidR="00E62CF8" w:rsidRPr="00BF44F2" w:rsidTr="00BB7C97">
        <w:trPr>
          <w:trHeight w:val="1340"/>
        </w:trPr>
        <w:tc>
          <w:tcPr>
            <w:tcW w:w="1710" w:type="dxa"/>
            <w:vMerge w:val="restart"/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4.1.4. </w:t>
            </w:r>
            <w:r w:rsidRPr="00BF44F2">
              <w:rPr>
                <w:bCs/>
                <w:sz w:val="16"/>
                <w:lang/>
              </w:rPr>
              <w:t>Обучавати запослене у надлежним државним органима о правним основима сарадње и размене информација и механизмима за њихову практичну примену</w:t>
            </w:r>
            <w:r w:rsidRPr="00BF44F2">
              <w:rPr>
                <w:sz w:val="16"/>
                <w:lang/>
              </w:rPr>
              <w:t>;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4.1.4.1. На основу анализа из овог Акционог плана  израдити практикум за међународну сарадњу и организовати редовне обуке о најбољим међународним праксама у размени информација;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18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Запослени у надлежним државним органима разумеју правне основе међународне сарадње и начине коришћења постојећих механизама за међународну сарадњу. Учесталост коришћења механизама међународне сарадње представљених на обукама.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обуци. Оцена задовољства у употреби представљених извора података.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Министарство надлежно за правосуђе, МУП,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500.000 (трошкови штампања) </w:t>
            </w:r>
          </w:p>
        </w:tc>
      </w:tr>
      <w:tr w:rsidR="00E62CF8" w:rsidRPr="00BF44F2" w:rsidTr="00BB7C97">
        <w:trPr>
          <w:trHeight w:val="134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4.1.4.2. Спроводити обуку о независним изворима информација, на основу приручника о јавно доступним и другим (независним) изворима информација из активности 3.1.1.7;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капацитета.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Запослени у релевантним органима имају сазнања и активно користе јавно доступне изворе информација. Број предмета у којима се користе извори представљени на обукама.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 о спроведеној обуци. Повратна информација од учесника на обуци о томе у којој мери примењују стечено знање.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МУП, РЈТ, Управа (тренинг центар)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both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300.000 по обуци</w:t>
            </w:r>
          </w:p>
        </w:tc>
      </w:tr>
      <w:tr w:rsidR="00E62CF8" w:rsidRPr="00BF44F2" w:rsidTr="00BB7C97">
        <w:trPr>
          <w:trHeight w:val="890"/>
        </w:trPr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 Нарочито ширити знања у области финансирања тероризма и финансирања ширења оружја за масовно уништење.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4.1.5.1. Саставити збирку најзначајнијих текстова у области финансирања тероризма (међународна и домаћа акта и стандарди);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Запослени на конкретним пословима имају брз приступ најбитнијим текстовима у области финансирања тероризма на домаћем и међународном нивоу.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Збирка текстова. Повратна информација од корисника.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620"/>
        </w:trPr>
        <w:tc>
          <w:tcPr>
            <w:tcW w:w="1710" w:type="dxa"/>
            <w:vMerge/>
            <w:tcBorders>
              <w:bottom w:val="nil"/>
            </w:tcBorders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4.1.5.2. Израдити програм обуке о финансирању тероризма;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 учесници у систему имају увид у предвидљив и доследан годишњи програм стручног усавршавања заснован на анализи потреба и водећи рачуна о резултатима стратешких анализа.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Програм обуке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890"/>
        </w:trPr>
        <w:tc>
          <w:tcPr>
            <w:tcW w:w="1710" w:type="dxa"/>
            <w:vMerge/>
            <w:tcBorders>
              <w:bottom w:val="nil"/>
            </w:tcBorders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4.1.5.3. Израдити програм обуке о примени закона о ограничавању располагања имовином у сврхе спречавања тероризма;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Свим учесницима у систему на је располагању методолошки организован метод обуке у области примене закона о ограничавању располагања имовином у сврхе спречавања тероризма.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Информација о примени разрађеног метода обуке.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273"/>
        </w:trPr>
        <w:tc>
          <w:tcPr>
            <w:tcW w:w="1710" w:type="dxa"/>
            <w:vMerge/>
            <w:tcBorders>
              <w:bottom w:val="nil"/>
            </w:tcBorders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4.1.5.4. Саставити збирку најзначајнијих текстова у области спречавања финансирања ширења оружја за масовно уништење (међународна и домаћа акта и стандарди).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Запослени на конкретним пословима имају брз приступ најбитнијим текстовима у области спречавања финансирања ширења оружја за масовно уништење на домаћем и међународном нивоу.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Збирка текстова.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232"/>
        </w:trPr>
        <w:tc>
          <w:tcPr>
            <w:tcW w:w="1710" w:type="dxa"/>
            <w:tcBorders>
              <w:top w:val="nil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62CF8" w:rsidRPr="00BF44F2" w:rsidRDefault="00E62CF8" w:rsidP="00BB7C97">
            <w:pPr>
              <w:contextualSpacing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4.1.5.5. Израдити упутство за пограничне полицајце и царинике о критеријумима за препознавање „ризичних“ путника са аспекта финансирања тероризма.</w:t>
            </w:r>
          </w:p>
        </w:tc>
        <w:tc>
          <w:tcPr>
            <w:tcW w:w="1618" w:type="dxa"/>
          </w:tcPr>
          <w:p w:rsidR="00E62CF8" w:rsidRPr="00BF44F2" w:rsidRDefault="00E62CF8" w:rsidP="00BB7C97">
            <w:pPr>
              <w:contextualSpacing/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2" w:type="dxa"/>
          </w:tcPr>
          <w:p w:rsidR="00E62CF8" w:rsidRPr="00BF44F2" w:rsidRDefault="00E62CF8" w:rsidP="00BB7C97">
            <w:pPr>
              <w:contextualSpacing/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Ефикасније контроле путника. Број препознатих „ризичних“ путника. 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Приручник, штампан и подељен пограничним полицајцима и цариницима. Радионица о приручнику. Извештаји пограничне полиције и царинских органа.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МУП, Управа царина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sz w:val="16"/>
          <w:lang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160"/>
        <w:gridCol w:w="1620"/>
        <w:gridCol w:w="990"/>
        <w:gridCol w:w="3418"/>
        <w:gridCol w:w="3330"/>
        <w:gridCol w:w="1262"/>
        <w:gridCol w:w="1170"/>
      </w:tblGrid>
      <w:tr w:rsidR="00E62CF8" w:rsidRPr="00BF44F2" w:rsidTr="00BB7C97">
        <w:trPr>
          <w:trHeight w:val="378"/>
        </w:trPr>
        <w:tc>
          <w:tcPr>
            <w:tcW w:w="14490" w:type="dxa"/>
            <w:gridSpan w:val="7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lastRenderedPageBreak/>
              <w:t>Циљ 4.2. Јачање свести код стручне и шире јавности о појавама прања новца и финансирања тероризма, мерама које држава предузима у борби против тих појава и улогама надлежних државних органа.</w:t>
            </w:r>
          </w:p>
        </w:tc>
        <w:tc>
          <w:tcPr>
            <w:tcW w:w="1170" w:type="dxa"/>
            <w:shd w:val="clear" w:color="auto" w:fill="D9D9D9"/>
          </w:tcPr>
          <w:p w:rsidR="00E62CF8" w:rsidRPr="00BF44F2" w:rsidRDefault="00E62CF8" w:rsidP="00BB7C97">
            <w:pPr>
              <w:jc w:val="both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378"/>
        </w:trPr>
        <w:tc>
          <w:tcPr>
            <w:tcW w:w="15660" w:type="dxa"/>
            <w:gridSpan w:val="8"/>
            <w:shd w:val="clear" w:color="auto" w:fill="D9D9D9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 xml:space="preserve">Очекивани резултати: </w:t>
            </w:r>
            <w:r w:rsidRPr="00BF44F2">
              <w:rPr>
                <w:sz w:val="16"/>
                <w:lang/>
              </w:rPr>
              <w:t>Већи интерес и стручнији  академски радови, медијски написи, компетентније истраживачко новинарство и свакодневно информисање грађана о темама прања новца и финансирања тероризма</w:t>
            </w:r>
          </w:p>
        </w:tc>
      </w:tr>
      <w:tr w:rsidR="00E62CF8" w:rsidRPr="00BF44F2" w:rsidTr="00BB7C97">
        <w:trPr>
          <w:trHeight w:val="440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eastAsia="Times New Roman" w:hAnsi="Calibri"/>
                <w:sz w:val="16"/>
                <w:szCs w:val="22"/>
                <w:lang/>
              </w:rPr>
              <w:t xml:space="preserve">Мера 4.2.1. </w:t>
            </w:r>
            <w:r w:rsidRPr="00BF44F2">
              <w:rPr>
                <w:rFonts w:ascii="Calibri" w:hAnsi="Calibri"/>
                <w:sz w:val="16"/>
                <w:szCs w:val="22"/>
                <w:lang/>
              </w:rPr>
              <w:t>Редовно на примерен начин информисати заинтересовану јавност о трендовима и типологијама прања новца и финансирања тероризма и раду надлежних државних органа на спречавању и откривању прања новца и финансирања тероризма;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2</w:t>
            </w:r>
          </w:p>
        </w:tc>
      </w:tr>
      <w:tr w:rsidR="00E62CF8" w:rsidRPr="00BF44F2" w:rsidTr="00BB7C97">
        <w:trPr>
          <w:trHeight w:val="260"/>
        </w:trPr>
        <w:tc>
          <w:tcPr>
            <w:tcW w:w="14490" w:type="dxa"/>
            <w:gridSpan w:val="7"/>
          </w:tcPr>
          <w:p w:rsidR="00E62CF8" w:rsidRPr="00BF44F2" w:rsidRDefault="00E62CF8" w:rsidP="00E62CF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eastAsia="Times New Roman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Мера 4.2.2. Редовно на примерен начин информисати све субјекте на које се односе одредбе прописа који имају утицај на област борбе против прања новца и финансирања тероризма о свим битним питањима.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pStyle w:val="ListParagraph"/>
              <w:ind w:left="0"/>
              <w:rPr>
                <w:rFonts w:ascii="Calibri" w:hAnsi="Calibri"/>
                <w:sz w:val="16"/>
                <w:szCs w:val="22"/>
                <w:lang/>
              </w:rPr>
            </w:pPr>
            <w:r w:rsidRPr="00BF44F2">
              <w:rPr>
                <w:rFonts w:ascii="Calibri" w:hAnsi="Calibri"/>
                <w:sz w:val="16"/>
                <w:szCs w:val="22"/>
                <w:lang/>
              </w:rPr>
              <w:t>Приоритет 1</w:t>
            </w:r>
          </w:p>
        </w:tc>
      </w:tr>
      <w:tr w:rsidR="00E62CF8" w:rsidRPr="00BF44F2" w:rsidTr="00BB7C97">
        <w:trPr>
          <w:trHeight w:val="1367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Мере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Активност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Ризици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Рок и приоритет активности (П)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Индикатор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Извор верификације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Одговорни орган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62CF8" w:rsidRPr="00BF44F2" w:rsidRDefault="00E62CF8" w:rsidP="00BB7C97">
            <w:pPr>
              <w:jc w:val="center"/>
              <w:rPr>
                <w:b/>
                <w:sz w:val="16"/>
                <w:lang/>
              </w:rPr>
            </w:pPr>
            <w:r w:rsidRPr="00BF44F2">
              <w:rPr>
                <w:b/>
                <w:sz w:val="16"/>
                <w:lang/>
              </w:rPr>
              <w:t>Неопходна средства</w:t>
            </w:r>
          </w:p>
        </w:tc>
      </w:tr>
      <w:tr w:rsidR="00E62CF8" w:rsidRPr="00BF44F2" w:rsidTr="00BB7C97">
        <w:trPr>
          <w:trHeight w:val="575"/>
        </w:trPr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E62CF8" w:rsidRPr="00BF44F2" w:rsidRDefault="00E62CF8" w:rsidP="00BB7C97">
            <w:pPr>
              <w:contextualSpacing/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4.2.1. </w:t>
            </w:r>
            <w:r w:rsidRPr="00BF44F2">
              <w:rPr>
                <w:bCs/>
                <w:sz w:val="16"/>
                <w:lang/>
              </w:rPr>
              <w:t>Редовно на примерен начин информисати заинтересовану јавност о трендовима и типологијама прања новца и финансирања тероризма и раду надлежних државних органа на спречавању и откривању прања новца и финансирања тероризма.</w:t>
            </w:r>
          </w:p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4.2.1.1. Трендове и типологије објављивати на вебсајту Управе;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12 месеци,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Свим заинтересованим лицима омогућен увид у последње трендове и уобичајене начине прања новца у Србији и шире.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Вебсајт Управе (центра за обуку)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75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4.2.1.2. Објављивати и упознавати јавност са успешним примерима у спречавању и откривању кривичних дела прања новца или финансирања тероризма, уз посебан осврт на домаћу и међународну сарадњу и размену података;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Свим заинтересованим лицима омогућен увид у примере успешне праксе у решавању пред</w:t>
            </w:r>
            <w:r>
              <w:rPr>
                <w:sz w:val="16"/>
                <w:lang/>
              </w:rPr>
              <w:t>м</w:t>
            </w:r>
            <w:r w:rsidRPr="00BF44F2">
              <w:rPr>
                <w:sz w:val="16"/>
                <w:lang/>
              </w:rPr>
              <w:t>ета прања новца и финансирања тероризма у земљи и иностранству.</w:t>
            </w:r>
          </w:p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Вебсајт Управе (центра за обуку)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521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4.2.1.3. Спроводити испитивање перцепције и разумевања система за борбу против прања новца и финансирања тероризма и мера које држава предузима у борби против прања новца и финансирања тероризма;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i/>
                <w:sz w:val="16"/>
                <w:lang/>
              </w:rPr>
            </w:pPr>
            <w:r w:rsidRPr="00BF44F2">
              <w:rPr>
                <w:sz w:val="16"/>
                <w:lang/>
              </w:rPr>
              <w:t>Трајно, П. 2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Стална координациона група има информацију о томе на који начин шира јавност види проблеме прања новца и финансирања тероризма у Србији, улоге свих учесника у систему и ефикасност државе у борби против прања новца и финансирања тероризма у Србији.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Анализа 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904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E62CF8" w:rsidRPr="00BF44F2" w:rsidRDefault="00E62CF8" w:rsidP="00BB7C97">
            <w:pPr>
              <w:rPr>
                <w:i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bCs/>
                <w:sz w:val="16"/>
                <w:lang/>
              </w:rPr>
            </w:pPr>
            <w:r w:rsidRPr="00BF44F2">
              <w:rPr>
                <w:sz w:val="16"/>
                <w:lang/>
              </w:rPr>
              <w:t>4.2.1.4. Израдити стратегију комуникације</w:t>
            </w:r>
            <w:r w:rsidRPr="00BF44F2">
              <w:rPr>
                <w:bCs/>
                <w:sz w:val="16"/>
                <w:lang/>
              </w:rPr>
              <w:t xml:space="preserve"> којом ће се предвидети облици и начини комуникације са заинтересованом јавношћу и</w:t>
            </w:r>
            <w:r w:rsidRPr="00BF44F2">
              <w:rPr>
                <w:sz w:val="16"/>
                <w:lang/>
              </w:rPr>
              <w:t xml:space="preserve"> која ће помоћи јавности да стекне исправну, целовиту и тачну представу о мерама које држава предузима у </w:t>
            </w:r>
            <w:r w:rsidRPr="00BF44F2">
              <w:rPr>
                <w:sz w:val="16"/>
                <w:lang/>
              </w:rPr>
              <w:lastRenderedPageBreak/>
              <w:t>борби против прања новац и финансирања тероризма</w:t>
            </w:r>
            <w:r w:rsidRPr="00BF44F2">
              <w:rPr>
                <w:bCs/>
                <w:sz w:val="16"/>
                <w:lang/>
              </w:rPr>
              <w:t>.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Надлежни државни органи и одговорна лица имају на располагању најбитније информације и поруке које преношењем путем различитих средстава информисања омогућују да јавност стекне исправну, целовиту и тачну представу о улогама различитих државних органа у систему и мерама које држава предузима у борби против прања новца и финансирања тероризма у Србији.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Стратегија комуникације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СКГ, Управа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412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lastRenderedPageBreak/>
              <w:t xml:space="preserve">4.2.2. </w:t>
            </w:r>
            <w:r w:rsidRPr="00BF44F2">
              <w:rPr>
                <w:bCs/>
                <w:sz w:val="16"/>
                <w:lang/>
              </w:rPr>
              <w:t>Редовно на примерен начин информисати све субјекте на које се односе одредбе прописа који имају утицај на област борбе против прања новца и финансирања тероризма о свим битним питањима</w:t>
            </w: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4.2.1.5. Израдити план едукативних и других активности у циљу уливања поверења у финансијски систем Републике Србије и значај коришћења законитих канала за пренос новца; 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Проценат корисника законитих канала за трансфер новца. Квалитативне и квантитативне промене у услугама које лица која пружају услуге преноса новца нуде грађанима а којима се стимулише коришћење тих токова. Број случајева откривања недозвољеног преноса новца и изречених казни.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Извештаји о раду релевантних институција.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  <w:tr w:rsidR="00E62CF8" w:rsidRPr="00BF44F2" w:rsidTr="00BB7C97">
        <w:trPr>
          <w:trHeight w:val="1268"/>
        </w:trPr>
        <w:tc>
          <w:tcPr>
            <w:tcW w:w="1710" w:type="dxa"/>
            <w:vMerge/>
            <w:vAlign w:val="center"/>
          </w:tcPr>
          <w:p w:rsidR="00E62CF8" w:rsidRPr="00BF44F2" w:rsidRDefault="00E62CF8" w:rsidP="00BB7C97">
            <w:pPr>
              <w:rPr>
                <w:b/>
                <w:sz w:val="16"/>
                <w:lang/>
              </w:rPr>
            </w:pPr>
          </w:p>
        </w:tc>
        <w:tc>
          <w:tcPr>
            <w:tcW w:w="216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 xml:space="preserve">4.2.2.1. Подизати свест свих лица која се баве преносом новца о могућностима злоупотребе система у сврхе финансирања тероризма, везано за меру 2.1.6. </w:t>
            </w:r>
          </w:p>
        </w:tc>
        <w:tc>
          <w:tcPr>
            <w:tcW w:w="162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Недостатак ресурса и капацитета</w:t>
            </w:r>
          </w:p>
        </w:tc>
        <w:tc>
          <w:tcPr>
            <w:tcW w:w="990" w:type="dxa"/>
          </w:tcPr>
          <w:p w:rsidR="00E62CF8" w:rsidRPr="00BF44F2" w:rsidRDefault="00E62CF8" w:rsidP="00BB7C97">
            <w:pPr>
              <w:jc w:val="center"/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24 месеца, П. 3</w:t>
            </w:r>
          </w:p>
        </w:tc>
        <w:tc>
          <w:tcPr>
            <w:tcW w:w="3418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Број семинара и лица која су прошла обуку. Број информација, дописа и други информативни материјал.</w:t>
            </w:r>
          </w:p>
        </w:tc>
        <w:tc>
          <w:tcPr>
            <w:tcW w:w="333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Информације, дописи и други информативни материјал. И</w:t>
            </w:r>
            <w:r>
              <w:rPr>
                <w:sz w:val="16"/>
                <w:lang/>
              </w:rPr>
              <w:t>з</w:t>
            </w:r>
            <w:r w:rsidRPr="00BF44F2">
              <w:rPr>
                <w:sz w:val="16"/>
                <w:lang/>
              </w:rPr>
              <w:t>вештај о раду.</w:t>
            </w:r>
          </w:p>
        </w:tc>
        <w:tc>
          <w:tcPr>
            <w:tcW w:w="1262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СКГ</w:t>
            </w:r>
          </w:p>
        </w:tc>
        <w:tc>
          <w:tcPr>
            <w:tcW w:w="1170" w:type="dxa"/>
          </w:tcPr>
          <w:p w:rsidR="00E62CF8" w:rsidRPr="00BF44F2" w:rsidRDefault="00E62CF8" w:rsidP="00BB7C97">
            <w:pPr>
              <w:rPr>
                <w:sz w:val="16"/>
                <w:lang/>
              </w:rPr>
            </w:pPr>
            <w:r w:rsidRPr="00BF44F2">
              <w:rPr>
                <w:sz w:val="16"/>
                <w:lang/>
              </w:rPr>
              <w:t>Нису потребна</w:t>
            </w:r>
          </w:p>
        </w:tc>
      </w:tr>
    </w:tbl>
    <w:p w:rsidR="00E62CF8" w:rsidRPr="00BF44F2" w:rsidRDefault="00E62CF8" w:rsidP="00E62CF8">
      <w:pPr>
        <w:rPr>
          <w:b/>
          <w:bCs/>
          <w:sz w:val="16"/>
          <w:lang/>
        </w:rPr>
      </w:pPr>
    </w:p>
    <w:p w:rsidR="00DA7097" w:rsidRPr="00803AC8" w:rsidRDefault="00DA7097" w:rsidP="00DA7097">
      <w:pPr>
        <w:autoSpaceDE w:val="0"/>
        <w:autoSpaceDN w:val="0"/>
        <w:adjustRightInd w:val="0"/>
        <w:ind w:left="7088"/>
        <w:jc w:val="center"/>
        <w:rPr>
          <w:color w:val="auto"/>
          <w:lang/>
        </w:rPr>
      </w:pPr>
    </w:p>
    <w:sectPr w:rsidR="00DA7097" w:rsidRPr="00803AC8" w:rsidSect="00B17873">
      <w:footerReference w:type="default" r:id="rId11"/>
      <w:pgSz w:w="16838" w:h="11906" w:orient="landscape"/>
      <w:pgMar w:top="810" w:right="278" w:bottom="1260" w:left="1440" w:header="708" w:footer="6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D8" w:rsidRDefault="00F40BD8" w:rsidP="00321B7F">
      <w:r>
        <w:separator/>
      </w:r>
    </w:p>
  </w:endnote>
  <w:endnote w:type="continuationSeparator" w:id="0">
    <w:p w:rsidR="00F40BD8" w:rsidRDefault="00F40BD8" w:rsidP="0032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0F" w:rsidRDefault="00A76D6E">
    <w:pPr>
      <w:pStyle w:val="Footer"/>
      <w:jc w:val="right"/>
    </w:pPr>
    <w:r>
      <w:fldChar w:fldCharType="begin"/>
    </w:r>
    <w:r w:rsidR="00F3400F">
      <w:instrText xml:space="preserve"> PAGE   \* MERGEFORMAT </w:instrText>
    </w:r>
    <w:r>
      <w:fldChar w:fldCharType="separate"/>
    </w:r>
    <w:r w:rsidR="00E62CF8">
      <w:rPr>
        <w:noProof/>
      </w:rPr>
      <w:t>2</w:t>
    </w:r>
    <w:r>
      <w:fldChar w:fldCharType="end"/>
    </w:r>
  </w:p>
  <w:p w:rsidR="00F3400F" w:rsidRDefault="00F3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7A" w:rsidRDefault="00F40B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CF8">
      <w:rPr>
        <w:noProof/>
      </w:rPr>
      <w:t>17</w:t>
    </w:r>
    <w:r>
      <w:fldChar w:fldCharType="end"/>
    </w:r>
  </w:p>
  <w:p w:rsidR="008A537A" w:rsidRDefault="00F40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D8" w:rsidRDefault="00F40BD8" w:rsidP="00321B7F">
      <w:r>
        <w:separator/>
      </w:r>
    </w:p>
  </w:footnote>
  <w:footnote w:type="continuationSeparator" w:id="0">
    <w:p w:rsidR="00F40BD8" w:rsidRDefault="00F40BD8" w:rsidP="00321B7F">
      <w:r>
        <w:continuationSeparator/>
      </w:r>
    </w:p>
  </w:footnote>
  <w:footnote w:id="1">
    <w:p w:rsidR="00F3400F" w:rsidRPr="0030428D" w:rsidRDefault="00F3400F" w:rsidP="00DD45BB">
      <w:pPr>
        <w:pStyle w:val="FootnoteText"/>
        <w:jc w:val="both"/>
        <w:rPr>
          <w:color w:val="auto"/>
          <w:lang/>
        </w:rPr>
      </w:pPr>
      <w:r w:rsidRPr="0030428D">
        <w:rPr>
          <w:rStyle w:val="FootnoteReference"/>
          <w:color w:val="auto"/>
        </w:rPr>
        <w:footnoteRef/>
      </w:r>
      <w:r w:rsidRPr="0030428D">
        <w:rPr>
          <w:color w:val="auto"/>
        </w:rPr>
        <w:t xml:space="preserve"> </w:t>
      </w:r>
      <w:r w:rsidRPr="0030428D">
        <w:rPr>
          <w:color w:val="auto"/>
          <w:lang/>
        </w:rPr>
        <w:t>П</w:t>
      </w:r>
      <w:r w:rsidRPr="0030428D">
        <w:rPr>
          <w:color w:val="auto"/>
          <w:kern w:val="0"/>
          <w:lang/>
        </w:rPr>
        <w:t>репоруке и методологија ФАТФ (</w:t>
      </w:r>
      <w:r w:rsidR="00F75F74">
        <w:rPr>
          <w:i/>
          <w:color w:val="auto"/>
          <w:kern w:val="0"/>
          <w:lang/>
        </w:rPr>
        <w:t>Financial Action Task Force -</w:t>
      </w:r>
      <w:r w:rsidRPr="0030428D">
        <w:rPr>
          <w:i/>
          <w:color w:val="auto"/>
          <w:kern w:val="0"/>
          <w:lang/>
        </w:rPr>
        <w:t xml:space="preserve"> FATF</w:t>
      </w:r>
      <w:r w:rsidRPr="0030428D">
        <w:rPr>
          <w:color w:val="auto"/>
          <w:kern w:val="0"/>
          <w:lang/>
        </w:rPr>
        <w:t>) и предложени текст Четврте директиве Европске уније о прању новца.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287"/>
    <w:multiLevelType w:val="hybridMultilevel"/>
    <w:tmpl w:val="7EA86734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4BBD"/>
    <w:multiLevelType w:val="hybridMultilevel"/>
    <w:tmpl w:val="9C807288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EAC"/>
    <w:multiLevelType w:val="hybridMultilevel"/>
    <w:tmpl w:val="64243F8E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6C4"/>
    <w:multiLevelType w:val="hybridMultilevel"/>
    <w:tmpl w:val="E16A5438"/>
    <w:lvl w:ilvl="0" w:tplc="5B0E9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E4412"/>
    <w:multiLevelType w:val="hybridMultilevel"/>
    <w:tmpl w:val="550C245A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F70"/>
    <w:multiLevelType w:val="hybridMultilevel"/>
    <w:tmpl w:val="AA6A1302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A3BDE"/>
    <w:multiLevelType w:val="hybridMultilevel"/>
    <w:tmpl w:val="E76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764C0"/>
    <w:multiLevelType w:val="hybridMultilevel"/>
    <w:tmpl w:val="7E8E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B5C76"/>
    <w:multiLevelType w:val="hybridMultilevel"/>
    <w:tmpl w:val="C2F4B626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C04FC"/>
    <w:multiLevelType w:val="hybridMultilevel"/>
    <w:tmpl w:val="053C34C8"/>
    <w:lvl w:ilvl="0" w:tplc="C80E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381D"/>
    <w:multiLevelType w:val="hybridMultilevel"/>
    <w:tmpl w:val="BA1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C5433"/>
    <w:multiLevelType w:val="hybridMultilevel"/>
    <w:tmpl w:val="BE8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2E7"/>
    <w:multiLevelType w:val="hybridMultilevel"/>
    <w:tmpl w:val="64EE7534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81D46"/>
    <w:multiLevelType w:val="hybridMultilevel"/>
    <w:tmpl w:val="9328DB74"/>
    <w:lvl w:ilvl="0" w:tplc="11765A34">
      <w:numFmt w:val="bullet"/>
      <w:lvlText w:val="-"/>
      <w:lvlJc w:val="left"/>
      <w:pPr>
        <w:ind w:left="31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4">
    <w:nsid w:val="2FCE2B00"/>
    <w:multiLevelType w:val="hybridMultilevel"/>
    <w:tmpl w:val="C1E0344A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51852"/>
    <w:multiLevelType w:val="hybridMultilevel"/>
    <w:tmpl w:val="F18E5416"/>
    <w:lvl w:ilvl="0" w:tplc="11765A34">
      <w:numFmt w:val="bullet"/>
      <w:lvlText w:val="-"/>
      <w:lvlJc w:val="left"/>
      <w:pPr>
        <w:ind w:left="77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A3EFF"/>
    <w:multiLevelType w:val="hybridMultilevel"/>
    <w:tmpl w:val="029C72EA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5189A"/>
    <w:multiLevelType w:val="hybridMultilevel"/>
    <w:tmpl w:val="1B7227A0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161AD"/>
    <w:multiLevelType w:val="hybridMultilevel"/>
    <w:tmpl w:val="8F82FD02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A610B"/>
    <w:multiLevelType w:val="hybridMultilevel"/>
    <w:tmpl w:val="542C9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8C20E9B"/>
    <w:multiLevelType w:val="hybridMultilevel"/>
    <w:tmpl w:val="EABA7AF4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00E96"/>
    <w:multiLevelType w:val="hybridMultilevel"/>
    <w:tmpl w:val="20F4B5FA"/>
    <w:lvl w:ilvl="0" w:tplc="1176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D137E"/>
    <w:multiLevelType w:val="hybridMultilevel"/>
    <w:tmpl w:val="1D14C962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83207"/>
    <w:multiLevelType w:val="hybridMultilevel"/>
    <w:tmpl w:val="EC9A783C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36398"/>
    <w:multiLevelType w:val="hybridMultilevel"/>
    <w:tmpl w:val="FDBC991A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E5C65"/>
    <w:multiLevelType w:val="hybridMultilevel"/>
    <w:tmpl w:val="AEBE5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402AC1"/>
    <w:multiLevelType w:val="hybridMultilevel"/>
    <w:tmpl w:val="DE4A5FF8"/>
    <w:lvl w:ilvl="0" w:tplc="F5E4F2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8494D"/>
    <w:multiLevelType w:val="hybridMultilevel"/>
    <w:tmpl w:val="BA2A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7"/>
  </w:num>
  <w:num w:numId="5">
    <w:abstractNumId w:val="19"/>
  </w:num>
  <w:num w:numId="6">
    <w:abstractNumId w:val="5"/>
  </w:num>
  <w:num w:numId="7">
    <w:abstractNumId w:val="15"/>
  </w:num>
  <w:num w:numId="8">
    <w:abstractNumId w:val="0"/>
  </w:num>
  <w:num w:numId="9">
    <w:abstractNumId w:val="18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11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23"/>
  </w:num>
  <w:num w:numId="21">
    <w:abstractNumId w:val="20"/>
  </w:num>
  <w:num w:numId="22">
    <w:abstractNumId w:val="26"/>
  </w:num>
  <w:num w:numId="23">
    <w:abstractNumId w:val="17"/>
  </w:num>
  <w:num w:numId="24">
    <w:abstractNumId w:val="2"/>
  </w:num>
  <w:num w:numId="25">
    <w:abstractNumId w:val="1"/>
  </w:num>
  <w:num w:numId="26">
    <w:abstractNumId w:val="24"/>
  </w:num>
  <w:num w:numId="27">
    <w:abstractNumId w:val="4"/>
  </w:num>
  <w:num w:numId="28">
    <w:abstractNumId w:val="16"/>
  </w:num>
  <w:num w:numId="29">
    <w:abstractNumId w:val="14"/>
  </w:num>
  <w:num w:numId="30">
    <w:abstractNumId w:val="2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95"/>
    <w:rsid w:val="00010D54"/>
    <w:rsid w:val="000134A5"/>
    <w:rsid w:val="000147A8"/>
    <w:rsid w:val="00037BF7"/>
    <w:rsid w:val="000403C3"/>
    <w:rsid w:val="00043183"/>
    <w:rsid w:val="00045003"/>
    <w:rsid w:val="00050E7F"/>
    <w:rsid w:val="00066457"/>
    <w:rsid w:val="0006732E"/>
    <w:rsid w:val="000742BB"/>
    <w:rsid w:val="00094D57"/>
    <w:rsid w:val="000A4C7D"/>
    <w:rsid w:val="000B4BDD"/>
    <w:rsid w:val="000C256B"/>
    <w:rsid w:val="000F60A6"/>
    <w:rsid w:val="00112AC8"/>
    <w:rsid w:val="00113EBA"/>
    <w:rsid w:val="00113FC6"/>
    <w:rsid w:val="00135471"/>
    <w:rsid w:val="0013548D"/>
    <w:rsid w:val="00142C73"/>
    <w:rsid w:val="00142EDC"/>
    <w:rsid w:val="00143005"/>
    <w:rsid w:val="001541C3"/>
    <w:rsid w:val="0015589F"/>
    <w:rsid w:val="00155F20"/>
    <w:rsid w:val="00164E99"/>
    <w:rsid w:val="00172553"/>
    <w:rsid w:val="0017310E"/>
    <w:rsid w:val="0017528E"/>
    <w:rsid w:val="001C03C4"/>
    <w:rsid w:val="001D257E"/>
    <w:rsid w:val="001D5D3A"/>
    <w:rsid w:val="001E129E"/>
    <w:rsid w:val="001E6982"/>
    <w:rsid w:val="0021462B"/>
    <w:rsid w:val="002152F6"/>
    <w:rsid w:val="00217AF2"/>
    <w:rsid w:val="0022058E"/>
    <w:rsid w:val="00225B49"/>
    <w:rsid w:val="00263A5E"/>
    <w:rsid w:val="00284D93"/>
    <w:rsid w:val="00292565"/>
    <w:rsid w:val="00295C95"/>
    <w:rsid w:val="002B00C7"/>
    <w:rsid w:val="002B5645"/>
    <w:rsid w:val="002C112E"/>
    <w:rsid w:val="002F22E7"/>
    <w:rsid w:val="002F264A"/>
    <w:rsid w:val="0030428D"/>
    <w:rsid w:val="00306998"/>
    <w:rsid w:val="00316311"/>
    <w:rsid w:val="00321B7F"/>
    <w:rsid w:val="003406E7"/>
    <w:rsid w:val="003462EE"/>
    <w:rsid w:val="00351794"/>
    <w:rsid w:val="00372BCD"/>
    <w:rsid w:val="00375E65"/>
    <w:rsid w:val="0038093D"/>
    <w:rsid w:val="00392348"/>
    <w:rsid w:val="0039778F"/>
    <w:rsid w:val="00397A9D"/>
    <w:rsid w:val="003C3737"/>
    <w:rsid w:val="003E2C4C"/>
    <w:rsid w:val="003F1202"/>
    <w:rsid w:val="00401A9C"/>
    <w:rsid w:val="00414F85"/>
    <w:rsid w:val="00420E13"/>
    <w:rsid w:val="00426A0C"/>
    <w:rsid w:val="004271E7"/>
    <w:rsid w:val="004350FA"/>
    <w:rsid w:val="00435756"/>
    <w:rsid w:val="00436024"/>
    <w:rsid w:val="00451158"/>
    <w:rsid w:val="00452266"/>
    <w:rsid w:val="004564A0"/>
    <w:rsid w:val="00460464"/>
    <w:rsid w:val="00470A95"/>
    <w:rsid w:val="00472404"/>
    <w:rsid w:val="004861B7"/>
    <w:rsid w:val="0049251A"/>
    <w:rsid w:val="00492DDE"/>
    <w:rsid w:val="004A51B0"/>
    <w:rsid w:val="004B4172"/>
    <w:rsid w:val="004C68AF"/>
    <w:rsid w:val="004D503E"/>
    <w:rsid w:val="004D609F"/>
    <w:rsid w:val="004D73DA"/>
    <w:rsid w:val="004E562E"/>
    <w:rsid w:val="00512D36"/>
    <w:rsid w:val="0052200D"/>
    <w:rsid w:val="005260E3"/>
    <w:rsid w:val="00530661"/>
    <w:rsid w:val="00532E14"/>
    <w:rsid w:val="00545855"/>
    <w:rsid w:val="00547AB3"/>
    <w:rsid w:val="00556457"/>
    <w:rsid w:val="00571DD9"/>
    <w:rsid w:val="005819F0"/>
    <w:rsid w:val="005877A4"/>
    <w:rsid w:val="00593418"/>
    <w:rsid w:val="005B3CD5"/>
    <w:rsid w:val="005D58F1"/>
    <w:rsid w:val="005E41BB"/>
    <w:rsid w:val="005E46F3"/>
    <w:rsid w:val="005E71D8"/>
    <w:rsid w:val="005F5A18"/>
    <w:rsid w:val="0060276A"/>
    <w:rsid w:val="00604FB5"/>
    <w:rsid w:val="00624CFF"/>
    <w:rsid w:val="00677245"/>
    <w:rsid w:val="006922AB"/>
    <w:rsid w:val="006A6F42"/>
    <w:rsid w:val="006B25BA"/>
    <w:rsid w:val="006B6E0B"/>
    <w:rsid w:val="006C72BC"/>
    <w:rsid w:val="006D62B1"/>
    <w:rsid w:val="006E7121"/>
    <w:rsid w:val="006F3102"/>
    <w:rsid w:val="00706478"/>
    <w:rsid w:val="00711876"/>
    <w:rsid w:val="00714274"/>
    <w:rsid w:val="00742C43"/>
    <w:rsid w:val="0074514E"/>
    <w:rsid w:val="00751F00"/>
    <w:rsid w:val="0075798C"/>
    <w:rsid w:val="007762D4"/>
    <w:rsid w:val="0078615D"/>
    <w:rsid w:val="00790E53"/>
    <w:rsid w:val="00791675"/>
    <w:rsid w:val="00793FA6"/>
    <w:rsid w:val="007A66EF"/>
    <w:rsid w:val="007B66DE"/>
    <w:rsid w:val="007C4B7E"/>
    <w:rsid w:val="007D101B"/>
    <w:rsid w:val="007E0A5A"/>
    <w:rsid w:val="007E4FFA"/>
    <w:rsid w:val="007F28BA"/>
    <w:rsid w:val="00803AC8"/>
    <w:rsid w:val="00832AA1"/>
    <w:rsid w:val="00840455"/>
    <w:rsid w:val="008407F0"/>
    <w:rsid w:val="0085199E"/>
    <w:rsid w:val="008649D9"/>
    <w:rsid w:val="00871C7C"/>
    <w:rsid w:val="008774AB"/>
    <w:rsid w:val="00880C64"/>
    <w:rsid w:val="008834D6"/>
    <w:rsid w:val="00890376"/>
    <w:rsid w:val="00892780"/>
    <w:rsid w:val="008C724F"/>
    <w:rsid w:val="008E5266"/>
    <w:rsid w:val="008E5E7C"/>
    <w:rsid w:val="008E7A92"/>
    <w:rsid w:val="00917330"/>
    <w:rsid w:val="0094436D"/>
    <w:rsid w:val="0095082F"/>
    <w:rsid w:val="00955934"/>
    <w:rsid w:val="00961756"/>
    <w:rsid w:val="009711CA"/>
    <w:rsid w:val="009849C4"/>
    <w:rsid w:val="00994AAE"/>
    <w:rsid w:val="009A23C2"/>
    <w:rsid w:val="009B424F"/>
    <w:rsid w:val="009B44C5"/>
    <w:rsid w:val="009C494D"/>
    <w:rsid w:val="009F3E68"/>
    <w:rsid w:val="00A150CC"/>
    <w:rsid w:val="00A24341"/>
    <w:rsid w:val="00A27A1D"/>
    <w:rsid w:val="00A3078F"/>
    <w:rsid w:val="00A40626"/>
    <w:rsid w:val="00A47BD0"/>
    <w:rsid w:val="00A64F3C"/>
    <w:rsid w:val="00A76D6E"/>
    <w:rsid w:val="00AA23AE"/>
    <w:rsid w:val="00AA6AAF"/>
    <w:rsid w:val="00AB2A50"/>
    <w:rsid w:val="00AB5466"/>
    <w:rsid w:val="00AC572E"/>
    <w:rsid w:val="00AD0842"/>
    <w:rsid w:val="00AF29C6"/>
    <w:rsid w:val="00B25B44"/>
    <w:rsid w:val="00B4366C"/>
    <w:rsid w:val="00B44723"/>
    <w:rsid w:val="00B5623E"/>
    <w:rsid w:val="00B562D9"/>
    <w:rsid w:val="00B57822"/>
    <w:rsid w:val="00B60359"/>
    <w:rsid w:val="00B66AA3"/>
    <w:rsid w:val="00B77C32"/>
    <w:rsid w:val="00B92395"/>
    <w:rsid w:val="00BA0B29"/>
    <w:rsid w:val="00BA34E7"/>
    <w:rsid w:val="00BB6891"/>
    <w:rsid w:val="00BC4342"/>
    <w:rsid w:val="00BE2B29"/>
    <w:rsid w:val="00BF6A96"/>
    <w:rsid w:val="00C00E8D"/>
    <w:rsid w:val="00C045E1"/>
    <w:rsid w:val="00C11DC8"/>
    <w:rsid w:val="00C12FF8"/>
    <w:rsid w:val="00C14B4F"/>
    <w:rsid w:val="00C33962"/>
    <w:rsid w:val="00C35D30"/>
    <w:rsid w:val="00C429F2"/>
    <w:rsid w:val="00C45F36"/>
    <w:rsid w:val="00C6782D"/>
    <w:rsid w:val="00C82AC7"/>
    <w:rsid w:val="00C86A4D"/>
    <w:rsid w:val="00C922F6"/>
    <w:rsid w:val="00C939DF"/>
    <w:rsid w:val="00C946F7"/>
    <w:rsid w:val="00C97053"/>
    <w:rsid w:val="00CB3258"/>
    <w:rsid w:val="00CC461F"/>
    <w:rsid w:val="00CC5C25"/>
    <w:rsid w:val="00CD241F"/>
    <w:rsid w:val="00D0536D"/>
    <w:rsid w:val="00D15782"/>
    <w:rsid w:val="00D20612"/>
    <w:rsid w:val="00D2083E"/>
    <w:rsid w:val="00D244C2"/>
    <w:rsid w:val="00D33BB4"/>
    <w:rsid w:val="00D36152"/>
    <w:rsid w:val="00D64202"/>
    <w:rsid w:val="00D71665"/>
    <w:rsid w:val="00D71741"/>
    <w:rsid w:val="00D74B3D"/>
    <w:rsid w:val="00D764C1"/>
    <w:rsid w:val="00D8029A"/>
    <w:rsid w:val="00D90DD0"/>
    <w:rsid w:val="00DA096A"/>
    <w:rsid w:val="00DA7097"/>
    <w:rsid w:val="00DB3453"/>
    <w:rsid w:val="00DC2690"/>
    <w:rsid w:val="00DC4D20"/>
    <w:rsid w:val="00DC5109"/>
    <w:rsid w:val="00DD2A75"/>
    <w:rsid w:val="00DD3141"/>
    <w:rsid w:val="00DD45BB"/>
    <w:rsid w:val="00DF445D"/>
    <w:rsid w:val="00E01E46"/>
    <w:rsid w:val="00E23BDC"/>
    <w:rsid w:val="00E27C37"/>
    <w:rsid w:val="00E30E5D"/>
    <w:rsid w:val="00E33449"/>
    <w:rsid w:val="00E42755"/>
    <w:rsid w:val="00E43EAD"/>
    <w:rsid w:val="00E5154D"/>
    <w:rsid w:val="00E52F93"/>
    <w:rsid w:val="00E53C98"/>
    <w:rsid w:val="00E5527A"/>
    <w:rsid w:val="00E62090"/>
    <w:rsid w:val="00E62CF8"/>
    <w:rsid w:val="00E73129"/>
    <w:rsid w:val="00E75F4A"/>
    <w:rsid w:val="00E8357A"/>
    <w:rsid w:val="00E84E83"/>
    <w:rsid w:val="00EA0157"/>
    <w:rsid w:val="00EA30AE"/>
    <w:rsid w:val="00EA7D5F"/>
    <w:rsid w:val="00EB6A0A"/>
    <w:rsid w:val="00EC20DF"/>
    <w:rsid w:val="00ED21A0"/>
    <w:rsid w:val="00ED616A"/>
    <w:rsid w:val="00EE03C1"/>
    <w:rsid w:val="00EF3576"/>
    <w:rsid w:val="00EF3B78"/>
    <w:rsid w:val="00F05D11"/>
    <w:rsid w:val="00F138F9"/>
    <w:rsid w:val="00F1460D"/>
    <w:rsid w:val="00F17453"/>
    <w:rsid w:val="00F259DD"/>
    <w:rsid w:val="00F31C8F"/>
    <w:rsid w:val="00F3400F"/>
    <w:rsid w:val="00F40BD8"/>
    <w:rsid w:val="00F42890"/>
    <w:rsid w:val="00F7178E"/>
    <w:rsid w:val="00F75F74"/>
    <w:rsid w:val="00F85FB2"/>
    <w:rsid w:val="00F8667B"/>
    <w:rsid w:val="00F87382"/>
    <w:rsid w:val="00F91300"/>
    <w:rsid w:val="00F96F47"/>
    <w:rsid w:val="00FA20EC"/>
    <w:rsid w:val="00FA67DA"/>
    <w:rsid w:val="00FC30DE"/>
    <w:rsid w:val="00FE5032"/>
    <w:rsid w:val="00FE7235"/>
    <w:rsid w:val="00FF1893"/>
    <w:rsid w:val="00FF3F3C"/>
    <w:rsid w:val="00FF4C4A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91"/>
    <w:pPr>
      <w:ind w:left="216"/>
    </w:pPr>
    <w:rPr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62CF8"/>
    <w:pPr>
      <w:keepNext/>
      <w:spacing w:after="120"/>
      <w:ind w:left="0"/>
      <w:jc w:val="both"/>
      <w:outlineLvl w:val="0"/>
    </w:pPr>
    <w:rPr>
      <w:rFonts w:eastAsia="Times New Roman"/>
      <w:b/>
      <w:color w:val="auto"/>
      <w:kern w:val="0"/>
      <w:sz w:val="36"/>
      <w:lang w:val="en-GB"/>
    </w:rPr>
  </w:style>
  <w:style w:type="paragraph" w:styleId="Heading2">
    <w:name w:val="heading 2"/>
    <w:basedOn w:val="Normal"/>
    <w:link w:val="Heading2Char"/>
    <w:uiPriority w:val="9"/>
    <w:qFormat/>
    <w:rsid w:val="00492DDE"/>
    <w:pPr>
      <w:spacing w:before="100" w:beforeAutospacing="1" w:after="100" w:afterAutospacing="1"/>
      <w:ind w:left="0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B7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1B7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1B7F"/>
    <w:rPr>
      <w:vertAlign w:val="superscript"/>
    </w:rPr>
  </w:style>
  <w:style w:type="paragraph" w:styleId="ListParagraph">
    <w:name w:val="List Paragraph"/>
    <w:basedOn w:val="Normal"/>
    <w:qFormat/>
    <w:rsid w:val="00DD45BB"/>
    <w:pPr>
      <w:ind w:left="720"/>
      <w:contextualSpacing/>
    </w:pPr>
  </w:style>
  <w:style w:type="table" w:styleId="TableGrid">
    <w:name w:val="Table Grid"/>
    <w:basedOn w:val="TableNormal"/>
    <w:uiPriority w:val="59"/>
    <w:rsid w:val="00F91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92DDE"/>
    <w:rPr>
      <w:rFonts w:eastAsia="Times New Roman"/>
      <w:b/>
      <w:bCs/>
      <w:sz w:val="36"/>
      <w:szCs w:val="36"/>
    </w:rPr>
  </w:style>
  <w:style w:type="character" w:customStyle="1" w:styleId="FontStyle11">
    <w:name w:val="Font Style11"/>
    <w:rsid w:val="00E53C98"/>
    <w:rPr>
      <w:rFonts w:ascii="Times New Roman" w:hAnsi="Times New Roman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FB2"/>
    <w:pPr>
      <w:ind w:left="0"/>
    </w:pPr>
    <w:rPr>
      <w:rFonts w:ascii="Consolas" w:hAnsi="Consolas"/>
      <w:color w:val="auto"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85FB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64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457"/>
    <w:rPr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457"/>
    <w:rPr>
      <w:color w:val="000000"/>
      <w:kern w:val="28"/>
      <w:sz w:val="24"/>
      <w:szCs w:val="24"/>
    </w:rPr>
  </w:style>
  <w:style w:type="paragraph" w:styleId="NoSpacing">
    <w:name w:val="No Spacing"/>
    <w:link w:val="NoSpacingChar"/>
    <w:uiPriority w:val="1"/>
    <w:qFormat/>
    <w:rsid w:val="00961756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1756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756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2CF8"/>
    <w:rPr>
      <w:rFonts w:eastAsia="Times New Roman"/>
      <w:b/>
      <w:sz w:val="36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62CF8"/>
    <w:rPr>
      <w:rFonts w:ascii="Calibri" w:eastAsia="Times New Roman" w:hAnsi="Calibri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CF8"/>
    <w:pPr>
      <w:spacing w:after="200"/>
      <w:ind w:left="0"/>
    </w:pPr>
    <w:rPr>
      <w:rFonts w:ascii="Calibri" w:hAnsi="Calibri"/>
      <w:color w:val="auto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CF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F8"/>
    <w:rPr>
      <w:rFonts w:eastAsia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F8"/>
    <w:rPr>
      <w:rFonts w:eastAsia="Times New Roman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62CF8"/>
    <w:pPr>
      <w:spacing w:before="100" w:beforeAutospacing="1" w:after="100" w:afterAutospacing="1"/>
      <w:ind w:left="0"/>
    </w:pPr>
    <w:rPr>
      <w:rFonts w:eastAsia="Times New Roman"/>
      <w:color w:val="auto"/>
      <w:kern w:val="0"/>
    </w:rPr>
  </w:style>
  <w:style w:type="paragraph" w:customStyle="1" w:styleId="Default">
    <w:name w:val="Default"/>
    <w:rsid w:val="00E62C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91"/>
    <w:pPr>
      <w:ind w:left="216"/>
    </w:pPr>
    <w:rPr>
      <w:color w:val="000000"/>
      <w:kern w:val="28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2DDE"/>
    <w:pPr>
      <w:spacing w:before="100" w:beforeAutospacing="1" w:after="100" w:afterAutospacing="1"/>
      <w:ind w:left="0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B7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1B7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1B7F"/>
    <w:rPr>
      <w:vertAlign w:val="superscript"/>
    </w:rPr>
  </w:style>
  <w:style w:type="paragraph" w:styleId="ListParagraph">
    <w:name w:val="List Paragraph"/>
    <w:basedOn w:val="Normal"/>
    <w:qFormat/>
    <w:rsid w:val="00DD45BB"/>
    <w:pPr>
      <w:ind w:left="720"/>
      <w:contextualSpacing/>
    </w:pPr>
  </w:style>
  <w:style w:type="table" w:styleId="TableGrid">
    <w:name w:val="Table Grid"/>
    <w:basedOn w:val="TableNormal"/>
    <w:uiPriority w:val="59"/>
    <w:rsid w:val="00F91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92DDE"/>
    <w:rPr>
      <w:rFonts w:eastAsia="Times New Roman"/>
      <w:b/>
      <w:bCs/>
      <w:sz w:val="36"/>
      <w:szCs w:val="36"/>
    </w:rPr>
  </w:style>
  <w:style w:type="character" w:customStyle="1" w:styleId="FontStyle11">
    <w:name w:val="Font Style11"/>
    <w:rsid w:val="00E53C98"/>
    <w:rPr>
      <w:rFonts w:ascii="Times New Roman" w:hAnsi="Times New Roman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FB2"/>
    <w:pPr>
      <w:ind w:left="0"/>
    </w:pPr>
    <w:rPr>
      <w:rFonts w:ascii="Consolas" w:hAnsi="Consolas"/>
      <w:color w:val="auto"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85FB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64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457"/>
    <w:rPr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457"/>
    <w:rPr>
      <w:color w:val="000000"/>
      <w:kern w:val="28"/>
      <w:sz w:val="24"/>
      <w:szCs w:val="24"/>
    </w:rPr>
  </w:style>
  <w:style w:type="paragraph" w:styleId="NoSpacing">
    <w:name w:val="No Spacing"/>
    <w:link w:val="NoSpacingChar"/>
    <w:uiPriority w:val="1"/>
    <w:qFormat/>
    <w:rsid w:val="00961756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1756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75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66C88-6316-43BF-9F01-CDD36588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17093</Words>
  <Characters>97434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стратегија за борбу против прања новца и финансирања тероризма</vt:lpstr>
    </vt:vector>
  </TitlesOfParts>
  <Company>министарство финансија - Управа за спречавање прања новца</Company>
  <LinksUpToDate>false</LinksUpToDate>
  <CharactersWithSpaces>114299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стратегија за борбу против прања новца и финансирања тероризма</dc:title>
  <dc:subject>и пратећи Акциони план</dc:subject>
  <dc:creator>Београд</dc:creator>
  <cp:lastModifiedBy>jovan</cp:lastModifiedBy>
  <cp:revision>2</cp:revision>
  <cp:lastPrinted>2015-01-08T12:03:00Z</cp:lastPrinted>
  <dcterms:created xsi:type="dcterms:W3CDTF">2015-01-08T13:50:00Z</dcterms:created>
  <dcterms:modified xsi:type="dcterms:W3CDTF">2015-01-08T13:50:00Z</dcterms:modified>
</cp:coreProperties>
</file>