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C7" w:rsidRPr="00387859" w:rsidRDefault="00387859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27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glasnik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 54/09, 73/10, 101/10, 101/11, 93/12, 62/13, 63/13-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108/13, 142/14, 68/15-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103/15),</w:t>
      </w:r>
    </w:p>
    <w:p w:rsidR="00BE17C7" w:rsidRPr="00387859" w:rsidRDefault="00387859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</w:t>
      </w:r>
    </w:p>
    <w:p w:rsidR="00BE17C7" w:rsidRPr="00387859" w:rsidRDefault="00BE17C7">
      <w:pPr>
        <w:spacing w:after="0" w:line="240" w:lineRule="auto"/>
        <w:rPr>
          <w:rFonts w:ascii="Arial" w:eastAsia="Arial" w:hAnsi="Arial" w:cs="Arial"/>
          <w:noProof/>
          <w:lang w:val="sr-Latn-CS"/>
        </w:rPr>
      </w:pPr>
    </w:p>
    <w:p w:rsidR="00BE17C7" w:rsidRPr="00387859" w:rsidRDefault="00387859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</w:p>
    <w:p w:rsidR="00BE17C7" w:rsidRPr="00387859" w:rsidRDefault="00BE17C7">
      <w:pPr>
        <w:spacing w:after="0" w:line="240" w:lineRule="auto"/>
        <w:jc w:val="center"/>
        <w:rPr>
          <w:rFonts w:ascii="Arial" w:eastAsia="Arial" w:hAnsi="Arial" w:cs="Arial"/>
          <w:noProof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I.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1.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Opšti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smernice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punopravnog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verifikovan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pregovaračka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dijalog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otvorenim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pridruživanju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SSP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2016–2018.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2016–2020.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ispuni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zacrtane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acquis communautaire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evrointegracija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demokratiju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izazovima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pridruživanje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aprilu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pozdravio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istakao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predostrožnosti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aktuelnih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čvrste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odmerene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celokupne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kompleksni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sveobuhvatni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otklonile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barijere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inicijativa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afirmiše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tehnološkom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osposobljavanja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Rebalansiranje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ambiciozno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pametnog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inkluzivnog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participaciju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siromaštva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koheziju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2.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divergentnih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geopolitičkih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usmeravajući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utočištima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normalizacija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spremnost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dezinflatornim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rebalansiranje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geopolitičkih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izazvane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Ujedinjenog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Kraljevstva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prolongiranjem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Sjedinjenim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protekcionizma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otvorena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popravljanjem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fundamenata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ojačala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monetarnog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fonda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okarakterisalo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volatilnost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odvijala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stagnirala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Brazilu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Slabljenje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pogodilo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geopolitičke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Ukrajini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preliminarnoj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2,9%.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orijentisanim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heterogen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Brazilu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Latinske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pokazatelji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595"/>
        <w:gridCol w:w="953"/>
        <w:gridCol w:w="1043"/>
        <w:gridCol w:w="1043"/>
        <w:gridCol w:w="1043"/>
      </w:tblGrid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bruto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domaćeg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proizvoda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vertAlign w:val="superscript"/>
                <w:lang w:val="sr-Latn-CS"/>
              </w:rPr>
              <w:t>1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Svet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zona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SAD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2,1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Rusija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Zemlje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usponu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svetske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trgovine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4,2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nezaposlenosti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zona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9,3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SAD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Potrošačke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prosek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perioda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zona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Razvijene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ekonomije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Zemlje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usponu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4,2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Devizni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kurs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kraj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perioda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/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žitarica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godišnje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promene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vertAlign w:val="superscript"/>
                <w:lang w:val="sr-Latn-CS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-17,3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-8,5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6.2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6.3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metala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godišnje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promene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vertAlign w:val="superscript"/>
                <w:lang w:val="sr-Latn-CS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-23,1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rude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gvožđa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vertAlign w:val="superscript"/>
                <w:lang w:val="sr-Latn-C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55,2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53,9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48,4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42,8</w:t>
            </w:r>
          </w:p>
        </w:tc>
      </w:tr>
      <w:tr w:rsidR="00BE17C7" w:rsidRPr="00387859">
        <w:trPr>
          <w:trHeight w:val="25"/>
          <w:jc w:val="center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nafte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godišnje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promene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-15,4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</w:tr>
    </w:tbl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vertAlign w:val="superscript"/>
          <w:lang w:val="sr-Latn-CS"/>
        </w:rPr>
        <w:t>1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Svetski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BDP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izračunat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prema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paritetu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kupovne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moći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vertAlign w:val="superscript"/>
          <w:lang w:val="sr-Latn-CS"/>
        </w:rPr>
        <w:t>2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žitarica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dobijena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ponderisani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prosek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pšenice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kukuruza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soje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pirinča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ječma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vertAlign w:val="superscript"/>
          <w:lang w:val="sr-Latn-CS"/>
        </w:rPr>
        <w:t>3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metala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dobijena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ponderisani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prosek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bakra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aluminijuma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rude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gvožđa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kalaja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nikla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cinka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olova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uranijuma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vertAlign w:val="superscript"/>
          <w:lang w:val="sr-Latn-CS"/>
        </w:rPr>
        <w:t>4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rude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gvožđa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(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sadržaj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gvožđa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62%)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uvoz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Kini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luka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Tian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Jan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dolarima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metričkoj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toni</w:t>
      </w: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843F0B" w:rsidRPr="00387859">
        <w:rPr>
          <w:rFonts w:ascii="Times New Roman" w:eastAsia="Times New Roman" w:hAnsi="Times New Roman" w:cs="Times New Roman"/>
          <w:i/>
          <w:noProof/>
          <w:sz w:val="18"/>
          <w:lang w:val="sr-Latn-CS"/>
        </w:rPr>
        <w:t>World Economic Outlook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oktobar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2016.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akomodirajuća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suprotnom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oslabljeno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referenduma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Španiji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Nemačkoj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Italiju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slabljenja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sankcija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ekonomijama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intenzitetom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”,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Dubai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Fateks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Zapadni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43,0 $/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50,6 $/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kumulativni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7,5%)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učestvuje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gvožđa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53,9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48,4 $/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metrička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žitarica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Dezinflatorni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guvernera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0,00%.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ohrabrivanja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zajmodavaca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Opseg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kupovinom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korporativnih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najnovijim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izjavama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sastanku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0,25%-0,50%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-0,4%,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šestomesečne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preporukama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akomodirajućom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mnogim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fleksibilnosti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migracijske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demografske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ofšor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komisije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područje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unije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majsku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prolongiranog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 xml:space="preserve">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akomodirajuća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migranata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privremenog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podupiru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prilagodljiv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jeftinijim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Posredan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neujednačena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pretkrizni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obeležila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volatilne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predznak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četvorogodišnjem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razdoblju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1,7%.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skroman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iscrpljivanja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85,1%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podupiru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najznačajnijih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Srbije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porudžbina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redukovane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neoporezivog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dečjeg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suprotnom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migrante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slabljenja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iscrpljeni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noProof/>
          <w:lang w:val="sr-Latn-CS"/>
        </w:rPr>
        <w:object w:dxaOrig="2874" w:dyaOrig="287">
          <v:rect id="rectole0000000000" o:spid="_x0000_i1025" style="width:2in;height:14.55pt" o:ole="" o:preferrelative="t" stroked="f">
            <v:imagedata r:id="rId7" o:title=""/>
          </v:rect>
          <o:OLEObject Type="Embed" ProgID="StaticMetafile" ShapeID="rectole0000000000" DrawAspect="Content" ObjectID="_1542545555" r:id="rId8"/>
        </w:object>
      </w:r>
    </w:p>
    <w:p w:rsidR="00BE17C7" w:rsidRPr="00387859" w:rsidRDefault="00843F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</w:t>
      </w:r>
    </w:p>
    <w:p w:rsidR="00BE17C7" w:rsidRPr="00387859" w:rsidRDefault="00843F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</w:t>
      </w:r>
    </w:p>
    <w:p w:rsidR="00BE17C7" w:rsidRPr="00387859" w:rsidRDefault="00843F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italijanske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nenaplativih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suprotan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legislative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skroman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kompenzovano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stagnirati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133,1%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ujednačen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konvergencija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združeno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geopolitičke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averziju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3.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Tekuća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Učvršćivanje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manifestuje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listama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rejtinga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aktivnost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sektor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statistiku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RZS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suša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letnjim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5,6%.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Poželjnu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telekomunikacije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%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94"/>
        <w:gridCol w:w="1863"/>
        <w:gridCol w:w="1273"/>
        <w:gridCol w:w="1273"/>
        <w:gridCol w:w="1329"/>
      </w:tblGrid>
      <w:tr w:rsidR="00BE17C7" w:rsidRPr="00387859">
        <w:trPr>
          <w:trHeight w:val="137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Q1 2016*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Q2 2016*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Bruto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domaći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proizvod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</w:tr>
      <w:tr w:rsidR="00BE17C7" w:rsidRPr="00387859">
        <w:trPr>
          <w:trHeight w:val="186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pristup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Privatna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potrošnja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potrošnja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Investicije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Izvoz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9,2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Uvoz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6,2</w:t>
            </w:r>
          </w:p>
        </w:tc>
      </w:tr>
      <w:tr w:rsidR="00BE17C7" w:rsidRPr="00387859">
        <w:trPr>
          <w:trHeight w:val="24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Proizvodni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pristup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Poljoprivreda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8,4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Industrija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Građevinarstvo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8,9</w:t>
            </w:r>
          </w:p>
        </w:tc>
      </w:tr>
      <w:tr w:rsidR="00BE17C7" w:rsidRPr="00387859">
        <w:trPr>
          <w:trHeight w:val="262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</w:tr>
    </w:tbl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Prema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redovnom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kalendaru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RZS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30.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novembra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očekuju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manje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korekcije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navedenih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podataka</w:t>
      </w: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RZS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fleš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RZS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zaliha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novoodobrenih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rapidnim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Diversifikacija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razmenljiva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disperzivnost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1,4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remonta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rekordnu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nadomeste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izazvani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rekordnih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IPAS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koincidirajućih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kompozitnih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(Ch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w-Lin)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regresionog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temporalnu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dezagregaciju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frekventnijoj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fluktuacije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prikrivene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pravovremeni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konzistentno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statističkim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umerenijeg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neujednačene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remonta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avgustu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3,0%,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obustave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aktuelne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frekventnih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Fizički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generatori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disperzovani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činjenica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orijentisanim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prehrambena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hemijska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plastike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(10,7%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aparata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intermedijarnih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(9,9%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hemijske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plastike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Netrajnih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proizvedeno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prehrambene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motornih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vozila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legislativnog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pojednostavljenje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16,8%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pesimističnim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promet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neprehrambenim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motornim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gorivima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kukuruza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36,6%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prošlogodišnji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pšenice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18,8%.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žitarica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suncokreta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43,6%,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29,2%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šećerne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17,2%.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Prerađivačka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performanse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potencijali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upošljava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agregiranosti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prehrambena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ilustruje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najatraktivnijim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prehrambene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petnaest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skromna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diversifikacija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otkloniti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afirmisati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specijalizaciju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kompleksnih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Automobilska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karakteristika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koncentracije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dominantna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sobom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autsorsovanih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sinergijski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Mašinsko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metalska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plastike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pozicionirale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kvalifikovane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tradicije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smatrati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afirmativnog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uklanjanje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barijera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repromaterijala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konkretan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reindustrijalizacije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kompleksan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sinhronizovano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pravosuđa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ekoloških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2015-2020.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neiskorišćenim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5-7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popravili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(9,2%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(6,4%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ugostiteljstva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determinisaće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8,4%.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multiplikativni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aktuelnih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sklopljen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predostrožnosti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 –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stabilizacija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09"/>
        <w:gridCol w:w="1282"/>
        <w:gridCol w:w="1401"/>
        <w:gridCol w:w="1405"/>
        <w:gridCol w:w="1407"/>
      </w:tblGrid>
      <w:tr w:rsidR="00BE17C7" w:rsidRPr="00387859">
        <w:trPr>
          <w:trHeight w:val="237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  <w:p w:rsidR="00BE17C7" w:rsidRPr="00387859" w:rsidRDefault="00BE17C7">
            <w:pPr>
              <w:spacing w:after="0" w:line="240" w:lineRule="auto"/>
              <w:jc w:val="both"/>
              <w:rPr>
                <w:noProof/>
                <w:lang w:val="sr-Latn-C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</w:p>
        </w:tc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Projekcija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2019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4.203,5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4.396,7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4.678,1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4.987,5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Deflator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</w:tr>
      <w:tr w:rsidR="00BE17C7" w:rsidRPr="00387859">
        <w:trPr>
          <w:trHeight w:val="237"/>
        </w:trPr>
        <w:tc>
          <w:tcPr>
            <w:tcW w:w="8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pojedinih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komponenti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Lična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potrošnja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2,9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Državna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potrošnja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2,3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Bruto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investicije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osnovne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fondove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Izvoz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7,6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Uvoz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</w:tr>
      <w:tr w:rsidR="00BE17C7" w:rsidRPr="00387859">
        <w:trPr>
          <w:trHeight w:val="29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Saldo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-6,4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Saldo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tekućeg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računa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-3,9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Inflacija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prosek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perioda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</w:tr>
      <w:tr w:rsidR="00BE17C7" w:rsidRPr="00387859">
        <w:trPr>
          <w:trHeight w:val="2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Investicioni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racio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19,3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19,4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Korigovana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3,0%).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afirmativnog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repromaterijalom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efektuiranje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kumulativna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know-how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3,3%.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poželjna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aspekta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birokratije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nepotrebnih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prekvalifikacije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najugroženijih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2017 - 2019.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disperziju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solventnost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cikličnog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BDP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duboke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izazvane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automobilskoj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tendencije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razornih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tačnije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devastiranja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oštećenih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pretkriznog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afirmativni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neodrživu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poremećaje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nasleđene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neiskorišćenih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iznalaženje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narušavanja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fizički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resurse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64" w:lineRule="auto"/>
        <w:jc w:val="both"/>
        <w:rPr>
          <w:rFonts w:ascii="Cambria" w:eastAsia="Cambria" w:hAnsi="Cambria" w:cs="Cambria"/>
          <w:b/>
          <w:noProof/>
          <w:shd w:val="clear" w:color="auto" w:fill="FBD9D2"/>
          <w:lang w:val="sr-Latn-CS"/>
        </w:rPr>
      </w:pPr>
    </w:p>
    <w:p w:rsidR="00BE17C7" w:rsidRPr="00387859" w:rsidRDefault="00BE17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pretkriznom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izbijanja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višefaktorske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skromne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participacije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višefaktorske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zatvoren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Zaposlenost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zarade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prekvalifikacije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Ankete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15,2%.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neformalne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angažovanje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inspekcijskih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neformalne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angažovanja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neaktivnih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motivisanost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(2,6%).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rudarstvu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(3,9%).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prestanka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dosadašnja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otklonjene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fleksibilnost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tehnološkog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veština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kvalifikovane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času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Inflacija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inflatorni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(4%±1,5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čvrste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inflatornih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aktuelne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prehrambenih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cigareta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relaksirala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4,25%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4,00%.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novoodobrene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stagnacije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novoodobrenih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četvrtinu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plasmana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oslobađanjem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19,5%.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karakterisalo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polugodišta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ublažavala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kupovinom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međubankarskom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MDT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1,1%,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prekomerne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oscilacije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intervenisala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MDT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870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kupovinom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660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9,71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671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snizila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4%±1,5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3%±1,5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odmerene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uporediv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konzistentan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iscrpljivanje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ovogodišnjih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dezinflatorno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Eksterni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sektor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izvezeno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uvezeno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mašina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aparata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hemijskih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gvožđa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Hestil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31,6%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mašina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đubriva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77,9%.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66,4%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63,4%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Italija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Rumunija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Federacija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(47,3%).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Italije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Federacije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Mađarske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44,1%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Makedonijom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Rumunijom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Italijom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Bugarskom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Slovačkom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Hrvatskom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upućuju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Platnobilansna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880,9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1.132,6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efemeran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prerađivačkoj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(314,1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(223,6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(94,1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674,5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81,7%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683,7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27,6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nepoznanica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rezidenti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razdužili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602,5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razdužila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56,7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(14,7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razdužuju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(153,2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369,4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4,2%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potpuno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pokriće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Široka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disperzija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različite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prerađivačke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rezultirala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bržim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poboljšane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platnobilansni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poslovne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klime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očuvanja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obezbedi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sektore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razmenljivih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srednji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poboljšati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potencijal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osigurati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održivi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dominirati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salda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drastičnog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veoma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(7,7%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6,1%,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intermedijarne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saldo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salda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dominiraće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(4,4%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diversifikacija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solventnosti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solventnosti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474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slabljenja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208,9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265,1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silazni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80%.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solventnosti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ostvarivanja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determinisani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volatilnošću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geopolitičke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gvožđa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rebalansiranje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kineske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demografskim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prolongira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Normalizacija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nepoznanice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finansisjke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kompleks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simetričan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međusobne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bregzita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režimu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izlaska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pregovaranja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rejtinga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posredno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rejting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pluralizma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odlučivanja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napusti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sfere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Eventualno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zaustavljanja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II.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signal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ozbiljan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ozbiljan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sklapanjem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predostrožnosti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Ocenjeno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zaustavljanje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prevazišlo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preokret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Kombinovano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nastupiće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talas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automatskog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jeftinije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zamenili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najskuplje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popravili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zaokružen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sklapanjem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signali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kredibilitet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rezistentnost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potpomogao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sklopila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kvote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(935,4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SDR).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otpočela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višegodišnjih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neuspešnih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pokušaja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neravnoteža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149,1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258,1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85%)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stekla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privremenih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činilaca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evazije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linearnog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entitete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svrstavaju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progresivno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5:1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suspenzija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Otpočeo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katalogizacija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ad valorem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cigarete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litru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kilogramu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evazije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51,2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premije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činjenici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heterogene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veoma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teško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prebačaja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markiranja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nelegalne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prerađevina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cigareta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količinski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respektivno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unazad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ujednačen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2–4%,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konzumiranja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nezahvalno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proizvođača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inostranstva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evazije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zaustavljeno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dosadašnji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zaključke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evazije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compliancy gap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izdašnosti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policy gap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analitički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konstantan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bežanja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distorziju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pomakom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obračunu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korišćene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procenjene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efektivne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dobijene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prijava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odgovarajući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carinski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obračun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standardizovao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dobijenim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rezultatima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kompenzuje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priveden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SSP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pridruživanju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poreklu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uvezene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područja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Recesija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računovodstvenih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slab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13,9%.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Podbačaj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(10,4%),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(0,2%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34,9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1,9%,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manjkavosti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površine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hektara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12,8%.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prebačaja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podbačaj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18,5%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(3,1%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inicirala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kompenzovane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kompenzovana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neplaniranim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izmirenja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896"/>
        <w:gridCol w:w="1574"/>
        <w:gridCol w:w="1575"/>
        <w:gridCol w:w="1575"/>
      </w:tblGrid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Ostvarenje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Plan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Ostvarenje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2015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39,5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41,9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39,3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41,7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36,2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dohodak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građana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pravnih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lica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dodatu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vrednost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10,3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Carine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Doprinosi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5,5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Donacije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48,1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45,6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42,0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zaposlene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10,4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Kupovina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Socijalna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pomoć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17,6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čega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penzije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12,1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Kapitalni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pozajmice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osnovu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garancija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</w:tr>
      <w:tr w:rsidR="00BE17C7" w:rsidRPr="00387859">
        <w:trPr>
          <w:trHeight w:val="202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OOSO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857"/>
        <w:gridCol w:w="1904"/>
        <w:gridCol w:w="1904"/>
      </w:tblGrid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31.12.2014.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31.12.2015.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korisnici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ˮ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OOSO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</w:tr>
    </w:tbl>
    <w:p w:rsidR="00BE17C7" w:rsidRPr="00387859" w:rsidRDefault="00BE17C7">
      <w:pPr>
        <w:keepNext/>
        <w:keepLines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veoma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najnovijim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kompenzatorne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dubljih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redukovani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parametarske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825"/>
        <w:gridCol w:w="1585"/>
      </w:tblGrid>
      <w:tr w:rsidR="00BE17C7" w:rsidRPr="00387859">
        <w:trPr>
          <w:trHeight w:val="250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derivate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nafte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povećanje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potrošnje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0,28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duvan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0,10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električnu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energiju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dodatni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efekti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odnosu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2015.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0,27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Dividende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Telekom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ˮ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0,21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Poljoprivredne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uštede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osnovu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nove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regulative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0,24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Racionalizacija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2015.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preneti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efekat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aproksimacija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0,12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Usporavanje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broja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penzionera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aproksimacija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0,15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Povećanje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zarada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efekti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-0,29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efikasnost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naplate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smanjenje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sive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ekonomije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0,24</w:t>
            </w:r>
          </w:p>
        </w:tc>
      </w:tr>
      <w:tr w:rsidR="00BE17C7" w:rsidRPr="00387859">
        <w:trPr>
          <w:trHeight w:val="246"/>
          <w:jc w:val="center"/>
        </w:trPr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strukturno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prilagođavanje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1,32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hd w:val="clear" w:color="auto" w:fill="FF0000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najnovijim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verovatnoća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najnovija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preduslov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redukovana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apsolutnog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Zaustavljanje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preokrenuta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naspram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opadajuću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materijalizovali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privremenog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zadovoljavajući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poseduje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108,2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podjednak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inicijalno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šestoj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851"/>
        <w:gridCol w:w="1152"/>
        <w:gridCol w:w="1164"/>
        <w:gridCol w:w="1152"/>
        <w:gridCol w:w="1186"/>
        <w:gridCol w:w="1164"/>
      </w:tblGrid>
      <w:tr w:rsidR="00BE17C7" w:rsidRPr="00387859">
        <w:trPr>
          <w:trHeight w:val="676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Budžet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Nova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Razlika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Promena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, 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Nova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BDP</w:t>
            </w:r>
          </w:p>
        </w:tc>
      </w:tr>
      <w:tr w:rsidR="00BE17C7" w:rsidRPr="00387859">
        <w:trPr>
          <w:trHeight w:val="233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1.711,5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1.819,7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108,2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43,3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1.697,2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1.809,3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112,1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43,0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1.513,0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1.572,8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59,8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37,4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dohodak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građana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149,5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155,1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pravnih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lica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78,5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21,7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dodatu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vrednost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427,0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447,6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10,6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254,3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265,2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Carine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Doprinosi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517,4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525,9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184,2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236,6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Donacije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-27,3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1.875,0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1.908,9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45,4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1.719,9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1.736,2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41,3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zaposlene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422,60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-9,4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10,1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Kupovina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271,3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286,86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144,9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138,60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111,6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120,40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2,9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Socijalna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pomoć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transferi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715,7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716,30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17,0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čega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penzije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507,9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496,30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-11,6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11,8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51,40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Kapitalni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120,8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130,20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pozajmice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59,1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osnovu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garancija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39,00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21,9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-163,5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-89,1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</w:tr>
      <w:tr w:rsidR="00BE17C7" w:rsidRPr="00387859">
        <w:trPr>
          <w:trHeight w:val="22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lastRenderedPageBreak/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obostrano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Konstatovano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razgraničiti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privremeni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diskreciona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efektuiranju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efektuirana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manifestuju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determinante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(C-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efficiency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odvojeno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prevazilazi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(C-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efficiency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uočava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objašnjava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usporenijeg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narušen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objašnjena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pretežni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nabavki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sirovina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primaoca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Smederevo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precizniji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objasniti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različite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agregate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aproksimaciju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koeficijenta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podeliti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kafa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oscilacije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Drastičan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materijalizovao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11,4%).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podložno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nestabilna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implicitno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iskrivljeno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remonta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rafinerijama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teško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razgraničiti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elastičnost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uobičajeno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smenjivali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uporediv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ponašanju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zaliha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proizvođači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zaliha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koncentrisana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sugeriše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duplo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najvolatilnija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najpouzdaniji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poznati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svrhe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ukazivala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preliminarni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ukazivali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467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14,6%.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prošlogodišnje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apsolutnom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procentualnom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52,4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odustalo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predstavnicima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licence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mobilnu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poznato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Telekom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ˮ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menjana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236,6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216,6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licence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predškolskih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Integrisanog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tarifnog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gradskom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prevozu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ispravniji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drugačijih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33,9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5,3%,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nagomilanih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neplaćenog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isporučeni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(12,9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(8,6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43,5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1,1%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0,64%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praktično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neznatni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parlamentarnih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1)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2)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nadležnih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25.000–30.000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četvrtog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odlazak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destimuliše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opravdanost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eventualno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16,5%.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suštini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dosadašnje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iskazanim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 K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posredno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skoro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Zadovoljavajuća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rezervisan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linerano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desetogodišnjeg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3.200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invalidskih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porodičnih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sprečavanju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zloupotreba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starosnih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parametarskih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starosne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prevremenog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odlaska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primaocu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potrošiće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dosadašnjem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pomenutog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poravnanja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namiruju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prinudne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površine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hektara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medijskim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klasifikuje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pomenute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klasifikacije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prevremenu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Galenika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otplaćuje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poveriocima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parlamentarnih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prinudne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uporedive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952"/>
        <w:gridCol w:w="1584"/>
        <w:gridCol w:w="1584"/>
        <w:gridCol w:w="1584"/>
      </w:tblGrid>
      <w:tr w:rsidR="00BE17C7" w:rsidRPr="00387859">
        <w:trPr>
          <w:trHeight w:val="399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keepLines/>
              <w:spacing w:after="0" w:line="240" w:lineRule="auto"/>
              <w:ind w:left="113" w:right="113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I - IX 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>2015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I - IX 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>2016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∆</w:t>
            </w:r>
          </w:p>
        </w:tc>
      </w:tr>
      <w:tr w:rsidR="00BE17C7" w:rsidRPr="00387859">
        <w:trPr>
          <w:trHeight w:val="23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Republike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</w:tr>
      <w:tr w:rsidR="00BE17C7" w:rsidRPr="00387859">
        <w:trPr>
          <w:trHeight w:val="222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Projektni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zajmovi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5,9</w:t>
            </w:r>
          </w:p>
        </w:tc>
      </w:tr>
      <w:tr w:rsidR="00BE17C7" w:rsidRPr="00387859">
        <w:trPr>
          <w:trHeight w:val="222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Lokalne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samouprave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Vojvodina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5,5</w:t>
            </w:r>
          </w:p>
        </w:tc>
      </w:tr>
      <w:tr w:rsidR="00BE17C7" w:rsidRPr="00387859">
        <w:trPr>
          <w:trHeight w:val="231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ˮ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Koridori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ˮ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23,4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7,5</w:t>
            </w:r>
          </w:p>
        </w:tc>
      </w:tr>
      <w:tr w:rsidR="00BE17C7" w:rsidRPr="00387859">
        <w:trPr>
          <w:trHeight w:val="222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Fondovi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OOSO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64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UKUPNO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86,3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E17C7" w:rsidRPr="00387859" w:rsidRDefault="00843F0B">
            <w:pPr>
              <w:keepLines/>
              <w:spacing w:after="0" w:line="240" w:lineRule="auto"/>
              <w:ind w:left="113" w:right="113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22,3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nesumnjivo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revitalizaciji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karakterisalo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tradicionalno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slabije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solidan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nesumnjivo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tendencija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990"/>
        <w:gridCol w:w="1391"/>
        <w:gridCol w:w="1232"/>
        <w:gridCol w:w="1507"/>
        <w:gridCol w:w="1566"/>
      </w:tblGrid>
      <w:tr w:rsidR="00BE17C7" w:rsidRPr="00387859">
        <w:trPr>
          <w:trHeight w:val="50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I - IX 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>2015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I - IX 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>2016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I-IX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 xml:space="preserve">% 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rasta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2016/2015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  <w:t xml:space="preserve"> % 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rasta</w:t>
            </w:r>
          </w:p>
        </w:tc>
      </w:tr>
      <w:tr w:rsidR="00BE17C7" w:rsidRPr="00387859">
        <w:trPr>
          <w:trHeight w:val="26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1.237,7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1.352,4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7,4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1.232,8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1.344,6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7,2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1.066,9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1.163,6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7,5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dohodak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građana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105,7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112,7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pravnih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lica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50,4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24,1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25,3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dodatu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vrednost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304,5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331,5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7,6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167,3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198,1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Carine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24,1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26,6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8,9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46,7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48,2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Doprinosi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368,2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383,9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4,0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166,0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181,0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Donacije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59,8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44,1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1.288,8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1.356,9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1.200,3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1.239,7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2,3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zaposlene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306,2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308,1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Kupovina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174,7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193,0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11,4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105,7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109,6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6,7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-7,8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-10,6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Socijalna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pomoć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transferi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515,4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526,5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čega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penzije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365,9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369,1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30,5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31,1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13,4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Kapitalni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86,3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13,7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pozajmice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30,9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28,3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osnovu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garancija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22,6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28,1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24,7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29,5</w:t>
            </w:r>
          </w:p>
        </w:tc>
      </w:tr>
      <w:tr w:rsidR="00BE17C7" w:rsidRPr="00387859">
        <w:trPr>
          <w:trHeight w:val="2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-51,1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OOSO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857"/>
        <w:gridCol w:w="1904"/>
        <w:gridCol w:w="1904"/>
      </w:tblGrid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3" w:right="113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31.12.2015.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30.9.2016.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korisnici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3,8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OOSO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</w:tr>
      <w:tr w:rsidR="00BE17C7" w:rsidRPr="00387859">
        <w:trPr>
          <w:trHeight w:val="29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5,2</w:t>
            </w:r>
          </w:p>
        </w:tc>
      </w:tr>
    </w:tbl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svrstani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prevashodno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svrhe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poslužila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0,36%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2,7%)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konceptu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osetljivosti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izračunat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originalne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konstantna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podbačaj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odgovarajućim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prevashodno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Kreatorima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raspodele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raspolaganju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prevremenu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neraspoređeni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3–6%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dizajnirani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podignu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stimulišu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p w:rsidR="00BE17C7" w:rsidRPr="00387859" w:rsidRDefault="00BE17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963"/>
        <w:gridCol w:w="1122"/>
        <w:gridCol w:w="948"/>
        <w:gridCol w:w="888"/>
        <w:gridCol w:w="888"/>
        <w:gridCol w:w="889"/>
      </w:tblGrid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opis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izvršenje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projekcija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2019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41,1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42,1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čega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prostor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Konsolidovani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Primarni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konsolidovani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keepNext/>
              <w:spacing w:after="0" w:line="240" w:lineRule="auto"/>
              <w:ind w:left="115" w:right="115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ind w:left="115" w:right="115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opšte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države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73,9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70,7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67,0</w:t>
            </w:r>
          </w:p>
        </w:tc>
      </w:tr>
      <w:tr w:rsidR="00BE17C7" w:rsidRPr="00387859">
        <w:trPr>
          <w:trHeight w:val="3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ind w:left="115" w:right="115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3,5%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ind w:left="115" w:right="115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3,5%</w:t>
            </w:r>
          </w:p>
        </w:tc>
      </w:tr>
    </w:tbl>
    <w:p w:rsidR="00BE17C7" w:rsidRPr="00387859" w:rsidRDefault="003878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preokrenuta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skupog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jeftinijim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hiljada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nekadašnjih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preraspodeljen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podstaknu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prikupljanje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nadležnosti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tempo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dinamičnijem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evazije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060"/>
        <w:gridCol w:w="1255"/>
        <w:gridCol w:w="1189"/>
        <w:gridCol w:w="794"/>
        <w:gridCol w:w="794"/>
        <w:gridCol w:w="793"/>
      </w:tblGrid>
      <w:tr w:rsidR="00BE17C7" w:rsidRPr="00387859">
        <w:trPr>
          <w:trHeight w:val="18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opis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izvršenje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projekcija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2019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41,1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40,9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36,5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dohodak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građana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dodatu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vrednost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10,3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Akcize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Carine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Doprinosi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12,7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Neporeski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4,4</w:t>
            </w:r>
          </w:p>
        </w:tc>
      </w:tr>
      <w:tr w:rsidR="00BE17C7" w:rsidRPr="00387859">
        <w:trPr>
          <w:trHeight w:val="1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Lines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Donacije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Lines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</w:tbl>
    <w:p w:rsidR="00BE17C7" w:rsidRPr="00387859" w:rsidRDefault="00387859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</w:p>
    <w:p w:rsidR="00BE17C7" w:rsidRPr="00387859" w:rsidRDefault="00387859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konkretno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bivših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intenzitetom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subjekti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ponašanje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odslikava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Preovlađujući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neprijavljenih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sankcije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angažmanom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najizraženija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nedisciplina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10,3%),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predstojećem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konzervativna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činjenica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prelaznog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determinanta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determinanta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paralelno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rebalansiranja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eksplicitno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smislu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nezavisnih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antievazionih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doslednim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Prognozira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četvorogodišnjem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sačinjena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prerađevine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kafa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cigareta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pažljivo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dizajnirane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izbegle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suprotne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legalnog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duvanskih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volatilna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markiranja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nelegalnih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opreznosti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kafu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alkoholna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kafu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ad valorem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determinante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tarifa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pridruživanju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predstojećem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inflatorna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ugrađena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izražene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heterogena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smatraju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koriguju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ustaljenom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sezonske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Vanredni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neizvesni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preovlađujući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Restriktivna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kombinaciji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dobrim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makroekonomskim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performansama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dovela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stvaranja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prostora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ostalog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iskoristiti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element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korekcija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odnosio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stavke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Dobri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ogledaju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zaduživanjem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neefikasnih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stabilizacija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Svakako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raspoloživih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iskoristi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bitne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izgledi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dozvoljavaju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proistekle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targetiranjem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prosvete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smislu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pravedniju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preraspodelu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pritiska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36"/>
        <w:gridCol w:w="1450"/>
        <w:gridCol w:w="1134"/>
        <w:gridCol w:w="821"/>
        <w:gridCol w:w="1016"/>
        <w:gridCol w:w="1020"/>
      </w:tblGrid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opis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izvršenje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procena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projekcija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2019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42,1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37,4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zaposlene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9,2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Kupovina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robe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usluga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Socijalna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pomoć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transferi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15,4</w:t>
            </w:r>
          </w:p>
        </w:tc>
      </w:tr>
      <w:tr w:rsidR="00BE17C7" w:rsidRPr="00387859">
        <w:trPr>
          <w:trHeight w:val="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čega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penzije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10,8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1,2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Kapitalni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budžetske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pozajmice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Otplata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osnovu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garancija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</w:tr>
      <w:tr w:rsidR="00BE17C7" w:rsidRPr="00387859">
        <w:trPr>
          <w:trHeight w:val="4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keepNext/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Fiskalni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prostor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skoro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targetiran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9–9,5%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uzrokovali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čitavu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zaključno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opsežnih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25.000–30.000.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5.000.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sveobuhvatna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3–6%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prosveti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pravosuđu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najbržim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vrhunac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smislu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površine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hektara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,,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sastavu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,,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Resavica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zatvaranja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pronalaska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subvencionisanja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nekadašnjih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nevladinim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sportskim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katastrofalnim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Kapitalne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poželjno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potpisanih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Najznačajniji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Iskorišćenjem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pozajmice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dokapitalizaciju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RTB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0,05%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komercijalnim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”,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Smederevo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Galeniku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klasifikuju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pozajmica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suočila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okolnostima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prouzrokovati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verovatnoćom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pretpostavke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osetljivost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agregata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osetljivosti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kumulativno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determinanta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modifikacije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neminovnog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dohotka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targetiranih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relevantnih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potrošačkih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deflatora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imenioca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nepredvidivost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otvorenu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garancije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učestvovale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zabeleženo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5700"/>
        <w:gridCol w:w="1520"/>
        <w:gridCol w:w="1457"/>
      </w:tblGrid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lastRenderedPageBreak/>
              <w:t>Korisnik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31.12.2015.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30.09.2016.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Srbijagas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644,8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480,5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456,8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433,9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Železnice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346,0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311,3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Air Serbia a.d. Beograd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27,0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Galenika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57,5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44,8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EMS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42,1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EPS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172,7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179,0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Građevinska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direkcija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RTB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Bor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140,6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122,8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Agencija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kontrolu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letenja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Crne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Gore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25,9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18,7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Jugoimport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SDPR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38,0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33,5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FIAT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127,3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111,7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Aerodrom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Nikola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Tesla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ˮ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Tehnika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Emisiona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tehnika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veze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16,6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Jedinice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lokalne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gradovi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opštine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243,5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244,1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Fond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razvoj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Republike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21,3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5,9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AOFI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19,6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7,8</w:t>
            </w:r>
          </w:p>
        </w:tc>
      </w:tr>
      <w:tr w:rsidR="00BE17C7" w:rsidRPr="00387859">
        <w:trPr>
          <w:trHeight w:val="20"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2.397,1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2.091,2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Računovodstvena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Nezavisno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računovodstvenog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76"/>
        <w:gridCol w:w="1053"/>
        <w:gridCol w:w="896"/>
        <w:gridCol w:w="896"/>
        <w:gridCol w:w="1053"/>
        <w:gridCol w:w="896"/>
        <w:gridCol w:w="896"/>
      </w:tblGrid>
      <w:tr w:rsidR="00BE17C7" w:rsidRPr="00387859">
        <w:trPr>
          <w:trHeight w:val="175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 (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do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30.9.)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Korisnik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Glavnica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Glavnica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Srbijagas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21,3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20,3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5,6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Železnice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Galenika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Lokalna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samouprava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Smederevo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RTB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Drugi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korisnici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  <w:tr w:rsidR="00BE17C7" w:rsidRPr="00387859">
        <w:trPr>
          <w:trHeight w:val="20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39,8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47,2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37,4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proizilaze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zabranjeno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onemogućeno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kontragarancija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gasovoda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Aleksandrovac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Tutin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02"/>
        <w:gridCol w:w="3342"/>
        <w:gridCol w:w="1565"/>
        <w:gridCol w:w="1443"/>
        <w:gridCol w:w="1542"/>
      </w:tblGrid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Red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.</w:t>
            </w:r>
          </w:p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broj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</w:pPr>
          </w:p>
          <w:p w:rsidR="00BE17C7" w:rsidRPr="00387859" w:rsidRDefault="00BE17C7">
            <w:pPr>
              <w:spacing w:after="0" w:line="240" w:lineRule="auto"/>
              <w:rPr>
                <w:noProof/>
                <w:lang w:val="sr-Latn-C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Iznos</w:t>
            </w:r>
          </w:p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dinarima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Originalna</w:t>
            </w:r>
          </w:p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valuta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Iznos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originalnoj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valuti</w:t>
            </w:r>
          </w:p>
        </w:tc>
      </w:tr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Nemačkoj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razvojnoj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banci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(KfW)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Elektroprivreda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Izmena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sistema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transport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pepela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šljake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TENT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5.512.500.000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            45.000.000</w:t>
            </w:r>
          </w:p>
        </w:tc>
      </w:tr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2.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Elektroprivreda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Program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obnovljivu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energiju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Vetropark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Kostolac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9.800.000.000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80.000.000</w:t>
            </w:r>
          </w:p>
        </w:tc>
      </w:tr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Elektromreža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. – </w:t>
            </w:r>
          </w:p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Energetska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efikasnost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prenosnim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sistemima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Faza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I-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Transbalkanski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koridor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1.837.500.000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15.000.000</w:t>
            </w:r>
          </w:p>
        </w:tc>
      </w:tr>
      <w:tr w:rsidR="00BE17C7" w:rsidRPr="00387859">
        <w:trPr>
          <w:trHeight w:val="1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UKUPNO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17.150.000.000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evro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140.000.000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306"/>
        <w:gridCol w:w="4306"/>
      </w:tblGrid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Korisnik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iznos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Fond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razvoj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Smederevo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Galenika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2,1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Železnice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7,0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Srbijagas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17,8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Drugi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korisnici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</w:tr>
      <w:tr w:rsidR="00BE17C7" w:rsidRPr="00387859">
        <w:trPr>
          <w:trHeight w:val="19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32,3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lastRenderedPageBreak/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prevremenu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Galenika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otplaćuje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poveriocima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materijalizovati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opadajućim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snižene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Galenika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osposobljavanje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utakmicu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Srbije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dolazilo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prouzrokovalo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77"/>
        <w:gridCol w:w="1380"/>
      </w:tblGrid>
      <w:tr w:rsidR="00BE17C7" w:rsidRPr="00387859">
        <w:trPr>
          <w:trHeight w:val="19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opis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</w:tr>
      <w:tr w:rsidR="00BE17C7" w:rsidRPr="00387859">
        <w:trPr>
          <w:trHeight w:val="19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Srbijagas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23,4</w:t>
            </w:r>
          </w:p>
        </w:tc>
      </w:tr>
      <w:tr w:rsidR="00BE17C7" w:rsidRPr="00387859">
        <w:trPr>
          <w:trHeight w:val="19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Vojni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penzioneri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10,0</w:t>
            </w:r>
          </w:p>
        </w:tc>
      </w:tr>
      <w:tr w:rsidR="00BE17C7" w:rsidRPr="00387859">
        <w:trPr>
          <w:trHeight w:val="19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poljoprivredu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10,1</w:t>
            </w:r>
          </w:p>
        </w:tc>
      </w:tr>
      <w:tr w:rsidR="00BE17C7" w:rsidRPr="00387859">
        <w:trPr>
          <w:trHeight w:val="198"/>
          <w:jc w:val="center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43,5</w:t>
            </w:r>
          </w:p>
        </w:tc>
      </w:tr>
    </w:tbl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Preuzimanjem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eliminišu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preduzeća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suočavaju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izmirivanje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poveriocima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utočište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kanala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materijalizovati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instanci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hiljada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podsektorskim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područja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proisteći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pokazatelji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preduzeća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godini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1.530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*,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204"/>
        <w:gridCol w:w="1206"/>
        <w:gridCol w:w="1159"/>
      </w:tblGrid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opis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imovina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2.400,0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2.487,1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Sopstveni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kapital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1.557,0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1.530,2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465,9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498,8 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gubitak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-65,3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-3,6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Subvencije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26,4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23,6 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bez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ˮ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19,0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16,7 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Prinos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sopstveni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kapital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(ROE),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-4,2%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-0,2%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Prinos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sredstva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(ROA),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-2,7%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-0,1%</w:t>
            </w:r>
          </w:p>
        </w:tc>
      </w:tr>
      <w:tr w:rsidR="00BE17C7" w:rsidRPr="00387859">
        <w:trPr>
          <w:trHeight w:val="78"/>
          <w:jc w:val="center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5,7%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4,7%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Zvanični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izveštaji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objavljeni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sajtu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APR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*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zbirni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podaci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odnose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navedena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tabeli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65,3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Primljene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</w:p>
    <w:p w:rsidR="00BE17C7" w:rsidRPr="00387859" w:rsidRDefault="00BE17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830"/>
        <w:gridCol w:w="1329"/>
        <w:gridCol w:w="1600"/>
        <w:gridCol w:w="1647"/>
        <w:gridCol w:w="879"/>
        <w:gridCol w:w="869"/>
      </w:tblGrid>
      <w:tr w:rsidR="00BE17C7" w:rsidRPr="00387859">
        <w:trPr>
          <w:trHeight w:val="46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Javno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preduzeće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rezultat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,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hiljade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dinara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Ukupna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imovina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,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hiljade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dinara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Kapital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,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hiljade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dinara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RoA, %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RoE, %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EPS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grupa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6.986.344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1.091.126.511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781.376.116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Srbijagas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2.963.854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128.958.465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-68.559.132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Kargo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63.223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26.570.817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18.882.612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Voz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-876.158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32.575.413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27.518.264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-3,2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Infrastruktura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-1.975.962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241.383.339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216.471.307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-0,9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Železnica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.*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-8.483.272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24.673.946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-55.672.075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Putevi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-9.597.720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528.624.223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404.150.235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-2,3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Koridori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90.943.731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Elektromreža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2.846.912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92.927.409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58.912.336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4,8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PEU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Resavica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-1.435.652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8.368.833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-5.353.310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-17,8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Pošta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3.128.267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34.115.664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25.825.335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12,2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Jugoimport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SDPR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2.008.291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32.447.664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7.986.711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Transnafta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125.528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4.714.235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4.483.276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Srbijašume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384.596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64.618.535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60.595.448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Srbijavode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14.368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18.703.079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5.229.832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Skijališta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54.329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10.281.839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2.578.563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lutrija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40.116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2.130.965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1.106.092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DIPOS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168.427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895.315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721.352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24,6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Službeni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glasnik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11.623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3.043.958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2.507.104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Zavod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udžbenike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2.533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3.221.962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3.021.313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Emisiona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tehnika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veze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2.222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5.169.717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1.867.336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Tehnika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18.411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2.507.750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937.483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za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skloništa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-180.452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14.505.322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13.390.228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planina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26.989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4.587.861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3.195.548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Nuklearni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objekti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374.862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201.202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Tara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14.854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8.158.041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8.031.044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Fruška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Gora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3.159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2.381.181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2.190.497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Đerdap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6.444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4.784.235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4.691.254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Kopaonik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7.955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3.655.518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3.615.207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Park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prirode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Mokra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191.879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9.962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5,8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Rezervat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Uvac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41.871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12.404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2,3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Prosvetni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pregled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19.050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61.693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52.135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35,9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43,1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Mreža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most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8.344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29.959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13.334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29,0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78,8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Park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Palić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2.110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152.516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2.781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104,9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NIJP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Panorama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Priština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1.248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1.9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Tvrđava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Golubački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grad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4.648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550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</w:tr>
      <w:tr w:rsidR="00BE17C7" w:rsidRPr="00387859">
        <w:trPr>
          <w:trHeight w:val="24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Metohija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1.491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14.486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5.486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31,5</w:t>
            </w:r>
          </w:p>
        </w:tc>
      </w:tr>
      <w:tr w:rsidR="00BE17C7" w:rsidRPr="00387859">
        <w:trPr>
          <w:trHeight w:val="2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Tanjug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34.119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179.975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158.252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19.1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25.9</w:t>
            </w:r>
          </w:p>
        </w:tc>
      </w:tr>
      <w:tr w:rsidR="00BE17C7" w:rsidRPr="00387859">
        <w:trPr>
          <w:trHeight w:val="21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-3.604.648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2.487.128.665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1.530.156..632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</w:tr>
    </w:tbl>
    <w:p w:rsidR="00BE17C7" w:rsidRPr="00387859" w:rsidRDefault="00843F0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Neto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rezultat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sadrži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sebi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neto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rezultat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zajedničkog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10.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avgusta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neto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rezultat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izdvojenog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četvrtog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10.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avgusta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31.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decembra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godine</w:t>
      </w:r>
    </w:p>
    <w:p w:rsidR="00BE17C7" w:rsidRPr="00387859" w:rsidRDefault="0038785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Zvanični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izveštaji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objavljeni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sajtu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APR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godini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zbirno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preliminarni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Preliminarni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*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12"/>
        <w:gridCol w:w="1700"/>
      </w:tblGrid>
      <w:tr w:rsidR="00BE17C7" w:rsidRPr="00387859">
        <w:trPr>
          <w:trHeight w:val="443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Pokazatelji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poslovanja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30.09.2016 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realizacija</w:t>
            </w:r>
          </w:p>
        </w:tc>
      </w:tr>
      <w:tr w:rsidR="00BE17C7" w:rsidRPr="00387859">
        <w:trPr>
          <w:trHeight w:val="138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Poslovni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317,9 </w:t>
            </w:r>
          </w:p>
        </w:tc>
      </w:tr>
      <w:tr w:rsidR="00BE17C7" w:rsidRPr="00387859">
        <w:trPr>
          <w:trHeight w:val="22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Operativni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troškovi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229,3 </w:t>
            </w:r>
          </w:p>
        </w:tc>
      </w:tr>
      <w:tr w:rsidR="00BE17C7" w:rsidRPr="00387859">
        <w:trPr>
          <w:trHeight w:val="22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EBITDA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88,6 </w:t>
            </w:r>
          </w:p>
        </w:tc>
      </w:tr>
      <w:tr w:rsidR="00BE17C7" w:rsidRPr="00387859">
        <w:trPr>
          <w:trHeight w:val="22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Amortizacija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40,8 </w:t>
            </w:r>
          </w:p>
        </w:tc>
      </w:tr>
      <w:tr w:rsidR="00BE17C7" w:rsidRPr="00387859">
        <w:trPr>
          <w:trHeight w:val="226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Poslovni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(EBIT)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47,8 </w:t>
            </w:r>
          </w:p>
        </w:tc>
      </w:tr>
      <w:tr w:rsidR="00BE17C7" w:rsidRPr="00387859">
        <w:trPr>
          <w:trHeight w:val="22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poreza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31,1 </w:t>
            </w:r>
          </w:p>
        </w:tc>
      </w:tr>
      <w:tr w:rsidR="00BE17C7" w:rsidRPr="00387859">
        <w:trPr>
          <w:trHeight w:val="22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22,5 </w:t>
            </w:r>
          </w:p>
        </w:tc>
      </w:tr>
      <w:tr w:rsidR="00BE17C7" w:rsidRPr="00387859">
        <w:trPr>
          <w:trHeight w:val="86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Primljene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subvencije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18,7 </w:t>
            </w:r>
          </w:p>
        </w:tc>
      </w:tr>
    </w:tbl>
    <w:p w:rsidR="00BE17C7" w:rsidRPr="00387859" w:rsidRDefault="00843F0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*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zbirni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podaci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odnose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navedena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tabeli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parametrima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Republike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dividendi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neraspoređene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Prihodi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neraspoređene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neraspoređene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0"/>
        <w:gridCol w:w="1440"/>
        <w:gridCol w:w="1321"/>
      </w:tblGrid>
      <w:tr w:rsidR="00BE17C7" w:rsidRPr="00387859">
        <w:trPr>
          <w:trHeight w:val="143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</w:tr>
      <w:tr w:rsidR="00BE17C7" w:rsidRPr="00387859">
        <w:trPr>
          <w:trHeight w:val="18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tekuće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4,1</w:t>
            </w:r>
          </w:p>
        </w:tc>
      </w:tr>
      <w:tr w:rsidR="00BE17C7" w:rsidRPr="00387859">
        <w:trPr>
          <w:trHeight w:val="18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Uplata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neraspoređene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dobiti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6,5</w:t>
            </w:r>
          </w:p>
        </w:tc>
      </w:tr>
      <w:tr w:rsidR="00BE17C7" w:rsidRPr="00387859">
        <w:trPr>
          <w:trHeight w:val="18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10,6</w:t>
            </w:r>
          </w:p>
        </w:tc>
      </w:tr>
      <w:tr w:rsidR="00BE17C7" w:rsidRPr="00387859">
        <w:trPr>
          <w:trHeight w:val="18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%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ukupnih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prihoda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budžeta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</w:tr>
      <w:tr w:rsidR="00BE17C7" w:rsidRPr="00387859">
        <w:trPr>
          <w:trHeight w:val="18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%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od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0,3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Prvobitni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zaključno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uplaćeno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ojačati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Bankarski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depozita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mehanizam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deponenata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zaštićenom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deponentu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ultimativni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svrhu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naplaćuje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nedostajućih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nedostajuća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Univerzal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Nadzor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obazrivost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stubovi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karakteristika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nadležnosti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Bank Recovery and Resolution Directive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BRRD)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četvrtog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četvrtog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20,89%,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(12%),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Bazelskim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(8%).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20,4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oporezivanja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ograničavajućih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avgustu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tromesečja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404,3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19,0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ustupaju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izmeštanje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šemom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Ostali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rizici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sistematizovani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bližoj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prošlosti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pomaže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2009–2015.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penzionerima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računovodstveno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raspoređen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Nezavisno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proisteći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Strazburu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tužbi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nekadašnjih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neisplaćene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Hercegovine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nepogoda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katastrofa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suočila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katastrofalnim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poplava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obezbeđivala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poklona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bespovratna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220,7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nepogoda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preventivne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nepogoda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70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izolovani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843F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B = CB + CAB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(B)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automatski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fluktuacijama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naziva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(CAB),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(CB)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nuli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OECD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dezagregirani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elastičnosti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kategorija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osetljivih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korekcijom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tumačenje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ekonometrijskoj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elastičnosti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koriste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raznovrsni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teorijski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Cobb-Douglas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ekonometrijski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filteri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Hodrick-Prescott, Band-Pass,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alman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drugačije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predznaka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izračunati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nezamenljiv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upotrebom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Hodrick-Prescott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filtera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primenjivanih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drugačije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nosiocima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pravovremenu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neproduktivnog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kontraciklično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istiskivanja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predznak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označava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predznak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restriktivan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grafikonu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2006–2019.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uočiti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restriktivne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multiplikatora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komponente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*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592"/>
        <w:gridCol w:w="1141"/>
        <w:gridCol w:w="948"/>
        <w:gridCol w:w="978"/>
        <w:gridCol w:w="1259"/>
        <w:gridCol w:w="1203"/>
        <w:gridCol w:w="1200"/>
        <w:gridCol w:w="1096"/>
        <w:gridCol w:w="958"/>
      </w:tblGrid>
      <w:tr w:rsidR="00BE17C7" w:rsidRPr="0038785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Proizvodni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jaz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Primarni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Ciklična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komponentna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Ciklično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prilagođeni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Ciklično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prilagođeni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primarni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Strukturni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primarni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bilans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**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Karakter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politike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impuls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tabs>
                <w:tab w:val="left" w:pos="700"/>
              </w:tabs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2,0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2007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1,8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2009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2012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1,0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-5,5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-6,2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-3,3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-1,4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</w:tr>
      <w:tr w:rsidR="00BE17C7" w:rsidRPr="00387859">
        <w:trPr>
          <w:trHeight w:val="27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</w:tbl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2016 - 2019.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prikazane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projektovane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</w:p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Strukturni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primarni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bilans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dobijen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isključivanjem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procenjenih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jednokratnih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prihoda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rashoda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Rezultati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prikazuju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promenu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strukturnog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primarnog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deficita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isključuju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eksplicitno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efekte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povećanja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naplate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prihoda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ocena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strukturnog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prilagođavanja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delimično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razlikuje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prethodno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prikazanih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efekata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2007, 2008.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najizraženije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ciklusa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popravile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izolovati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beznačajni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konačnu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2017 - 2019.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prikazane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projektovane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period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2017 - 2019.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prikazane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projektovane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Kontraciklična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logika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ponašanje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automatskih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ukloniti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dubinski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produbljuju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ciklično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ekspanzije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multiplikatora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penzija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relaksaciju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onemogućio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1)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2)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neutralisali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3)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spoljnotrgovinskih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4)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akomodirajuća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5)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multiplikatora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praktično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neutralan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minimalan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stepen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restriktivnosti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potiče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centralnom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Približavanje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ostvarenih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potencijalnom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znatnoj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restriktivnom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politikom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kontekstu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stabilizacije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dovode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njegove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stagnacije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blagog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ozbiljnije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postignutih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potencijalnog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dužem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omogućio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olakšan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9"/>
        </w:num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zadovoljavajućom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brzinom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prekoračena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eksplozivnu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udvostručen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71,8%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ublažile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2012–2014.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talasa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naročito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jednokratni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spustile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preokrenuta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naspram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presudan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zaključivanja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odobreni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skupog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simulacija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nužan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implikacije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nepromenjen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2020–2027.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Simulacija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16"/>
        <w:gridCol w:w="55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E17C7" w:rsidRPr="00387859">
        <w:trPr>
          <w:trHeight w:val="305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Osnovni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scenario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2027</w:t>
            </w:r>
          </w:p>
        </w:tc>
      </w:tr>
      <w:tr w:rsidR="00BE17C7" w:rsidRPr="00387859">
        <w:trPr>
          <w:trHeight w:val="2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Prihodi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43,3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40,3</w:t>
            </w:r>
          </w:p>
        </w:tc>
      </w:tr>
      <w:tr w:rsidR="00BE17C7" w:rsidRPr="00387859">
        <w:trPr>
          <w:trHeight w:val="2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Rashodi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44,1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42,1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41,1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40,8</w:t>
            </w:r>
          </w:p>
        </w:tc>
      </w:tr>
      <w:tr w:rsidR="00BE17C7" w:rsidRPr="00387859">
        <w:trPr>
          <w:trHeight w:val="2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pad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učešća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rashoda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</w:tr>
      <w:tr w:rsidR="00BE17C7" w:rsidRPr="00387859">
        <w:trPr>
          <w:trHeight w:val="2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Fiskalni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rezultat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</w:tr>
      <w:tr w:rsidR="00BE17C7" w:rsidRPr="00387859">
        <w:trPr>
          <w:trHeight w:val="28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76,0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73,9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70,7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60,8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57,8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52,2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49,7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47,2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45,1</w:t>
            </w:r>
          </w:p>
        </w:tc>
      </w:tr>
      <w:tr w:rsidR="00BE17C7" w:rsidRPr="00387859">
        <w:trPr>
          <w:trHeight w:val="296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843F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BE17C7" w:rsidRPr="00387859" w:rsidRDefault="00BE17C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grafikonu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simulacije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mnogobrojne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kombinacije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akomodacija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54,9%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automatskih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spiralu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popuštanje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spušta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njegova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opadajuća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napuštanje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strožijih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kombinuje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najnepovoljniju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skoro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III.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domaćoj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neizmirenog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Odredbama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naznačeno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bezuslovnu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neopozivu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formulisanje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svrhu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predvidivim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permanentan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Medium Term Debt Strategy Model – MTDS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aspekta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iskoristiti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tendencijom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monetarnog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preduslov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rejtinga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12"/>
        </w:num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3.022,8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2.718,2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257,8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,,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765"/>
        <w:gridCol w:w="1237"/>
        <w:gridCol w:w="1237"/>
        <w:gridCol w:w="1237"/>
        <w:gridCol w:w="1237"/>
      </w:tblGrid>
      <w:tr w:rsidR="00BE17C7" w:rsidRPr="00387859">
        <w:trPr>
          <w:trHeight w:val="1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2016/IX</w:t>
            </w:r>
          </w:p>
        </w:tc>
      </w:tr>
      <w:tr w:rsidR="00BE17C7" w:rsidRPr="00387859">
        <w:trPr>
          <w:trHeight w:val="1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2.369,0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2.808,2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3.072,3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3.022,8</w:t>
            </w:r>
          </w:p>
        </w:tc>
      </w:tr>
      <w:tr w:rsidR="00BE17C7" w:rsidRPr="00387859">
        <w:trPr>
          <w:trHeight w:val="1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mil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evra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20.664,5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23.216,0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25.260,1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24.517,6</w:t>
            </w:r>
          </w:p>
        </w:tc>
      </w:tr>
      <w:tr w:rsidR="00BE17C7" w:rsidRPr="00387859">
        <w:trPr>
          <w:trHeight w:val="14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mil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dolara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28.498,4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28.233,0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27.616,9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27.506,3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originalno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38,9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33,5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originalnim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milionima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38"/>
        <w:gridCol w:w="1450"/>
        <w:gridCol w:w="1192"/>
        <w:gridCol w:w="1450"/>
        <w:gridCol w:w="1466"/>
      </w:tblGrid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2016/IX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Specijalna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prava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vučenja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832,9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801,2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760,2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721,2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EUR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9.226,2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9.493,4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9.885,4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9.846,5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USD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7.675,6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8.717,8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8.934,6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8.933,7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CHF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225,7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199,1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173,2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146,4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RSD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466.366,6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588.570,0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668.939,4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635.473,8</w:t>
            </w:r>
          </w:p>
        </w:tc>
      </w:tr>
      <w:tr w:rsidR="00BE17C7" w:rsidRPr="00387859">
        <w:trPr>
          <w:trHeight w:val="170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Druge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valute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RSD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13.142,8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13.776,4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16.613,5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17.335,1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težnjom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2013–2016.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469,1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635,5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41,3%.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zastupljeni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32,5%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21,4%.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specijalnim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vučenja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1,1%.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fiksnom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78,1%,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21,9%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zastupljeni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EURIBOR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LIBOR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68,4%,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LIBOR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13,6%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vučenja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kvartalu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667"/>
        <w:gridCol w:w="1001"/>
        <w:gridCol w:w="1001"/>
        <w:gridCol w:w="1003"/>
        <w:gridCol w:w="1005"/>
      </w:tblGrid>
      <w:tr w:rsidR="00BE17C7" w:rsidRPr="00387859">
        <w:trPr>
          <w:trHeight w:val="17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</w:tr>
      <w:tr w:rsidR="00BE17C7" w:rsidRPr="00387859">
        <w:trPr>
          <w:trHeight w:val="17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Glavnica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537,5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686,4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608,0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580,4</w:t>
            </w:r>
          </w:p>
        </w:tc>
      </w:tr>
      <w:tr w:rsidR="00BE17C7" w:rsidRPr="00387859">
        <w:trPr>
          <w:trHeight w:val="17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129,0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134,0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127,7</w:t>
            </w:r>
          </w:p>
        </w:tc>
      </w:tr>
      <w:tr w:rsidR="00BE17C7" w:rsidRPr="00387859">
        <w:trPr>
          <w:trHeight w:val="17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666,5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820,3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740,4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708,1</w:t>
            </w:r>
          </w:p>
        </w:tc>
      </w:tr>
      <w:tr w:rsidR="00BE17C7" w:rsidRPr="00387859">
        <w:trPr>
          <w:trHeight w:val="170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odnosu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dan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30.09.2016.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godine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, 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22,4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27,6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24,9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23,8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654"/>
        <w:gridCol w:w="1255"/>
        <w:gridCol w:w="1255"/>
        <w:gridCol w:w="1255"/>
        <w:gridCol w:w="1258"/>
      </w:tblGrid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</w:tr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tabs>
                <w:tab w:val="left" w:pos="3942"/>
              </w:tabs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ab/>
            </w:r>
          </w:p>
        </w:tc>
      </w:tr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4.203,5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4.396,7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4.678,1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4.987,5</w:t>
            </w:r>
          </w:p>
        </w:tc>
      </w:tr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Glavnica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11,6</w:t>
            </w:r>
          </w:p>
        </w:tc>
      </w:tr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</w:tr>
      <w:tr w:rsidR="00BE17C7" w:rsidRPr="00387859">
        <w:trPr>
          <w:trHeight w:val="17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15,8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14,2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2016 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2019.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65,9%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990"/>
        <w:gridCol w:w="922"/>
        <w:gridCol w:w="922"/>
        <w:gridCol w:w="922"/>
        <w:gridCol w:w="921"/>
      </w:tblGrid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lastRenderedPageBreak/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4.203,5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4.396,7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4.678,1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4.987,5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Primarni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suficit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centralni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nivo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54,6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64,9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83,1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91,9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centralni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nivo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129,0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134,0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132,5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127,7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centralni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nivo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mlrd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dinara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3.089,2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3.201,8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3.256,4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3.287,2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centralne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73,5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72,8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69,6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65,9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Negarantovani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lokalne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1,1</w:t>
            </w:r>
          </w:p>
        </w:tc>
      </w:tr>
      <w:tr w:rsidR="00BE17C7" w:rsidRPr="00387859">
        <w:trPr>
          <w:trHeight w:val="20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opšte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73,9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70,7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67,0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74,6%,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73,9%,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67%.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kriterijumima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Mastrihta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priključenje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preduslov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metodologije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Mastrihta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sistematizovane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neplaćenu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obračunsku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Mastriht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451"/>
        <w:gridCol w:w="904"/>
        <w:gridCol w:w="904"/>
        <w:gridCol w:w="905"/>
        <w:gridCol w:w="904"/>
        <w:gridCol w:w="904"/>
        <w:gridCol w:w="905"/>
      </w:tblGrid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IX 2016.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direktne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obaveze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2.626,5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2.615,0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2.707,5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2.828,4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2.869,0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2.898,9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Garantovani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187,1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161,4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149,0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116,2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91,2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73,0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sektora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0,4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lokalne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vlasti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81,9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75,9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77,1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81,7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institucija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socijalnog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osiguranja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0,0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Republike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2.896,9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2.853,2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2.934,3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3.023,5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3.040,7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3.054,0</w:t>
            </w:r>
          </w:p>
        </w:tc>
      </w:tr>
      <w:tr w:rsidR="00BE17C7" w:rsidRPr="00387859">
        <w:trPr>
          <w:trHeight w:val="227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Javni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Republike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Srbije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,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71,6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69,8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61,2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lastRenderedPageBreak/>
        <w:t>Principi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dugom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1)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osigurati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redovno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servisiranje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2)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definisati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određen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ciljane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portfolija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smislu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valutne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instrumentima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3)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razvijati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emituju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razvijeno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pomoglo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4)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predvidivost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konzistentna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baziraće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pretežno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nužnost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fleksibilnosti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Fleksibilnost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ogledati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kurseve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upućuje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uprkos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čvrstoj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Pozajmljivanje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sobom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povlači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razmotriti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hedžinga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pozajmljivanje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perspektivu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donositi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agregata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distribuciju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koncentracija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nastojanje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uvažavanje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referentnih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nastojanje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pretežno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jeftinije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nastojanje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nastojanje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permanentno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nesmetano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apsorpciju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eventualnih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gotovinskim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asset-liability management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rejting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odobravanje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stepenu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verovatnoće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odobriti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distribuciju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izbegao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koncentracije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3"/>
        </w:numPr>
        <w:spacing w:after="0" w:line="240" w:lineRule="auto"/>
        <w:ind w:left="180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izbegavanje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koncentracije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amortizovan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novčanim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korišćene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izrade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dugom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formulisanje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izvodljive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svrhu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opisani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</w:p>
    <w:p w:rsidR="00BE17C7" w:rsidRPr="00387859" w:rsidRDefault="00387859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fiksnom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iskazan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zapisi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Eurobond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zapise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nedelje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sedmogodišnje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Buduće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tržišne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analiza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verovatnim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zadržan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testirani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testiranja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odabrane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33%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deprecirao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bilansa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istorijski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oporavka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verovatno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dozvoljenog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volatilnost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testova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Alternativne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2017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2019.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MTDS,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1):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ročnošću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2):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fiksnom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eksternih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3):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1.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4):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pretežno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Poređenje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alternativnih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strategija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Kvantitativna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vertikalnoj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horizontalnoj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grafikona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uočavaju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sobom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kombinovanja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proporcijama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oscilacijama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izloženosti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posmatrane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fiksnog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američkim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dolarima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najrizičniji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preferenciju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ukažu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koncesionalnim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preferenciji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diskontnih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marginalni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aspekta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najoptimalnije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2.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816"/>
        <w:gridCol w:w="1036"/>
        <w:gridCol w:w="1036"/>
        <w:gridCol w:w="1036"/>
        <w:gridCol w:w="1036"/>
      </w:tblGrid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Scenariji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C4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Osnovni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62,0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deviznog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kursa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(15%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sve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valute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67,9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62,8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63,5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Kombinovani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(15% USD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65,8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Maksimalni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rizik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5,9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816"/>
        <w:gridCol w:w="1036"/>
        <w:gridCol w:w="1036"/>
        <w:gridCol w:w="1036"/>
        <w:gridCol w:w="1036"/>
      </w:tblGrid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Scenariji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C4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Osnovni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deviznog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kursa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(15%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sve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valute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1)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scenario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3,8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Kombinovani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(15% USD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kamatni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šok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1)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3,5</w:t>
            </w:r>
          </w:p>
        </w:tc>
      </w:tr>
      <w:tr w:rsidR="00BE17C7" w:rsidRPr="00387859">
        <w:trPr>
          <w:trHeight w:val="22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Maksimalni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rizik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1,0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parametara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četiri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oslikava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pomenute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karakteristike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838"/>
        <w:gridCol w:w="3249"/>
        <w:gridCol w:w="724"/>
        <w:gridCol w:w="710"/>
        <w:gridCol w:w="710"/>
        <w:gridCol w:w="599"/>
      </w:tblGrid>
      <w:tr w:rsidR="00BE17C7" w:rsidRPr="00387859">
        <w:trPr>
          <w:trHeight w:val="380"/>
        </w:trPr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Indikatori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rizika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na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kraju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2019. 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godine</w:t>
            </w: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 xml:space="preserve"> 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3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4 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Nominalni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61,7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62,0</w:t>
            </w:r>
          </w:p>
        </w:tc>
      </w:tr>
      <w:tr w:rsidR="00BE17C7" w:rsidRPr="00387859">
        <w:trPr>
          <w:trHeight w:val="24"/>
        </w:trPr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Neto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sadašnja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vrednost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)*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59,2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59,4</w:t>
            </w:r>
          </w:p>
        </w:tc>
      </w:tr>
      <w:tr w:rsidR="00BE17C7" w:rsidRPr="00387859">
        <w:trPr>
          <w:trHeight w:val="24"/>
        </w:trPr>
        <w:tc>
          <w:tcPr>
            <w:tcW w:w="6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Primenjena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4,7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Rizik</w:t>
            </w:r>
          </w:p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refinansiranja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ATM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spoljni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portfolio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godinama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6,5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ATM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domaći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portfolio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godinama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3,8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ATM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ukupan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portfolio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 w:rsid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godinama</w:t>
            </w: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Rizik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kamatnih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AT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R (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godinama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5,4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4,1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Refiksiranje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29,3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28,2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29,3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31,3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fiksnim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stopama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84,6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84,6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83,7</w:t>
            </w:r>
          </w:p>
        </w:tc>
      </w:tr>
      <w:tr w:rsidR="00BE17C7" w:rsidRPr="00387859">
        <w:trPr>
          <w:trHeight w:val="2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Rizik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deviznog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kursa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Ino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valutni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(%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ukupnog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68,5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45,2</w:t>
            </w:r>
          </w:p>
        </w:tc>
      </w:tr>
    </w:tbl>
    <w:p w:rsidR="00BE17C7" w:rsidRPr="00387859" w:rsidRDefault="00843F0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*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Primenjena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diskontna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stopa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odražava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granični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trošak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zaduživanja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Republike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finansijskom</w:t>
      </w:r>
      <w:r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18"/>
          <w:lang w:val="sr-Latn-CS"/>
        </w:rPr>
        <w:t>tržištu</w:t>
      </w: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Stres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test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analiza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vraćanje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72% 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73,5%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74,6%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(78,4%),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determinisati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ponašanje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uslovljavati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izostanka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negarantovanog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65,9%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umanjen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Tabela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%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543"/>
        <w:gridCol w:w="855"/>
        <w:gridCol w:w="856"/>
        <w:gridCol w:w="856"/>
        <w:gridCol w:w="857"/>
        <w:gridCol w:w="856"/>
        <w:gridCol w:w="854"/>
      </w:tblGrid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2016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2017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2018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2019</w:t>
            </w:r>
            <w:r w:rsidR="00387859">
              <w:rPr>
                <w:rFonts w:ascii="Times New Roman" w:eastAsia="Times New Roman" w:hAnsi="Times New Roman" w:cs="Times New Roman"/>
                <w:noProof/>
                <w:sz w:val="20"/>
                <w:lang w:val="sr-Latn-CS"/>
              </w:rPr>
              <w:t>p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BE17C7">
            <w:pPr>
              <w:spacing w:after="0" w:line="240" w:lineRule="auto"/>
              <w:jc w:val="right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Dug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centralne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države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74,7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73,5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72,8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69,6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65,9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Promena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odnosu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prethodnu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god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10,8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-3,7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Uticaj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primarnog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deficita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-1,8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Kamata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2,6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Rast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nominalnog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BDP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-3,2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-4,3</w:t>
            </w:r>
          </w:p>
        </w:tc>
      </w:tr>
      <w:tr w:rsidR="00BE17C7" w:rsidRPr="00387859">
        <w:trPr>
          <w:trHeight w:val="227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38785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Ostali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faktori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koji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utiču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na</w:t>
            </w:r>
            <w:r w:rsidR="00843F0B"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Latn-CS"/>
              </w:rPr>
              <w:t>racio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4,9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3,8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1,0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0,1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E17C7" w:rsidRPr="00387859" w:rsidRDefault="00843F0B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387859">
              <w:rPr>
                <w:rFonts w:ascii="Times New Roman" w:eastAsia="Times New Roman" w:hAnsi="Times New Roman" w:cs="Times New Roman"/>
                <w:noProof/>
                <w:lang w:val="sr-Latn-CS"/>
              </w:rPr>
              <w:t>-0,1</w:t>
            </w:r>
          </w:p>
        </w:tc>
      </w:tr>
    </w:tbl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lang w:val="sr-Latn-CS"/>
        </w:rPr>
      </w:pPr>
      <w:r>
        <w:rPr>
          <w:rFonts w:ascii="Times New Roman" w:eastAsia="Times New Roman" w:hAnsi="Times New Roman" w:cs="Times New Roman"/>
          <w:noProof/>
          <w:sz w:val="18"/>
          <w:lang w:val="sr-Latn-CS"/>
        </w:rPr>
        <w:t>Izvor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MFIN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1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lang w:val="sr-Latn-CS"/>
        </w:rPr>
        <w:t>dug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grafikonu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alternativnim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zavisnosti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deprecijacije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76,2%,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scenario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65,9%.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kvantifikovani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regulisali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napomenuti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multilateralnih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bilateralnih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prekinuto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Dugoročni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strateški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dugom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težiti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minimizirali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servisiranja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20–25%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60 %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intervalu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R)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varijabilnim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ponderisana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(WAIR)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15 %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ATM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ATM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 ± 0,5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horizontu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2016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2019.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ispunjavanje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zacrtanih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diversifikovane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Zahvaljujući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Prelaskom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konstantno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originalnoj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67%.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informisanost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zainteresovanost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nerezidenata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obveznice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zaokružio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benčmark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sedam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benčmark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benčmark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sedmogodišnja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reotvaranjima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pomenutih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berzi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843F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donosi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primarnog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koncept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dilera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mehanizma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direktno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dužem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refinansiranja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dilera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pruža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dobru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Razvojem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vremenom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uspostaviti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koncept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Uvođenjem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benčmark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ostvario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efekat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kontinuitet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trgovanja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postupku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prodaje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primarnom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reflektuju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272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(0,75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2012.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394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469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(1,3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645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(1,8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749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789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(2,2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potpomognut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denominovanih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valuti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Local Currency Government Bond Emerging Market Index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pospešilo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zaduživanja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težiće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uklanjanju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eventualnih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Razmotriće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kliring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saldiranje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hartijama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kliring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dilera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fizičkih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edukacije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razmotriće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emitovanje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retail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modifikaciju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aukcijske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prihvatljiv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interesi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IV.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zacrtanih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trogodišnjom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Memorandumom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Kredibilan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rebalansiranju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ubrzanju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(2)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trajnija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akumuliranja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spajanjem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promociju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integrisanjem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nudi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spektar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promociji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jasniju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stuba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još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učestvovalo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sedam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hiljada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startapova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potpisale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sporazum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„COSME”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internacionalizaciji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stranim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odabranim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lizing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nabavku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prateće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sadržaje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dostupnost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zaključenim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učestvuje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PDV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parafiskalnog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motivacija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poštovanje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poslodavcima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mehanizam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dijalog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tehnološkog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delotvornog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istraživačkog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integrisanog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istraživački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napretku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Usvojena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posredan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urbanih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ruralnih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područja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pojednostavile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nepokretnosti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pušten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pojednostavile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nepokretnosti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digitalizovano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2006/123/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Aneksom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ukidanje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nepotrebnih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prekograničnog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Uslužne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celovit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izjednačavaju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investitori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nerazvijenim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ravnomernom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međuopštinske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međuregionalne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prekogranične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dodeljena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oslobađanje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carinskih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dažbina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17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Sistemsko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odrazilo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listama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Indeksu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globalne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napredovala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dospela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138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svrstala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Doing business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sačinjena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lakoće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napretkom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116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18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rigidnosti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posvetiće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unapređuju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poslovno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okruženje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sveobuhvatan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Konkretne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uspeha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srpsku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nedepozitnih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Apeks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Apeks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kriterijumima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EIB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alokaciju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suzbijanje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proglašene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ˮ;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nezavisni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konsultant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dijagnostičku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predlozima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novoosnovani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inicijativa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inovacionu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zameniti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podzakonske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dopune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nadgledanje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podzakonskih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korporativnog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nepristrasnosti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korporativnom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ponašanju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19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subjektima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unapređuju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rada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2011–2020.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sledećih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obrazovnog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kvalifikacija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redukcija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dualnosti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20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inicijative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shodno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situaciji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Finansijska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stabilnost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1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potpomogla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spremno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eventualne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okruženja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posredovanja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1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opredeljenost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složenog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nadležnosti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bankarskog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pojačavaju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tretman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supervizora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reč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smernica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objavljivanje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dijagnostičkih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ECB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potvrdila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kapitalizovanost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ispitivanjem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nepokretnosti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predmet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hipoteke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hipotekom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mesečnom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Paralelno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proceniteljima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nepokretnosti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19,5%,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međugodišnjem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1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III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uvedeni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nedavno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1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zasniva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objediniti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međusobno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stuba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1)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stub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; 2)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promovisanje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deviznih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nebankarskom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vidljivi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depozita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beleže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relativno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stabilnog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kamatnih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numPr>
          <w:ilvl w:val="0"/>
          <w:numId w:val="21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saobraćajne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infrastrukture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2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master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bezbednije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nerazvijenije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trgovinu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potencijalima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2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logističkih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multimodalnim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čvorištima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gravitacionim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zonama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autoputu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-80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Bugarskom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obilaznici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autoputu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-75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Makedonijom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tzv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autoputu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-763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Južni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Jadran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autoput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Priština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Jadranom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Idejni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saobraćajnicu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Fruškogorski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finalizovan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tehnička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Intermodalni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terminal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logistički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Batajnica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terminal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logističkih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stizati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ekonomičnije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2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železničkom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Orijentalno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mediteranskom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</w:t>
      </w:r>
      <w:r w:rsidR="00843F0B" w:rsidRPr="00387859">
        <w:rPr>
          <w:rFonts w:ascii="Times New Roman" w:eastAsia="Times New Roman" w:hAnsi="Times New Roman" w:cs="Times New Roman"/>
          <w:noProof/>
          <w:color w:val="595959"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Budimpešta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Žeželjevog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rehabilitacije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Preševo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Dimitrovgrad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</w:t>
      </w:r>
      <w:r w:rsidR="00843F0B" w:rsidRPr="00387859">
        <w:rPr>
          <w:rFonts w:ascii="Times New Roman" w:eastAsia="Times New Roman" w:hAnsi="Times New Roman" w:cs="Times New Roman"/>
          <w:noProof/>
          <w:color w:val="595959"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železnički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čvor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transevropskih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prstena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Jugoistočnoj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Intenziviraće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interkonektora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Dimitrovgrad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Bugarske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snabdevanja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interkonekcije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Rumunije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transbalkanskog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22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širokopojasnom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zakonodavnog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širokopojasnog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2014/61/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širokopojasne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širokopojasne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komunikacione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naseljima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širokopojasnog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ujednačen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međusektorske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građevinskim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komunikacionih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numPr>
          <w:ilvl w:val="0"/>
          <w:numId w:val="22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energetske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infrastrukture</w:t>
      </w:r>
    </w:p>
    <w:p w:rsidR="00BE17C7" w:rsidRPr="00387859" w:rsidRDefault="00BE17C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konstatovano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kompletnog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prikazano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instalisanog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hidro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elektranama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revitalizacija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elektroenergetskih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snabdevanja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kupaca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revitalizacija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prenosnih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uravnotežen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blagovremen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prenosnog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priključivanja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konvencionalnih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obnovljivih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distributivne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nedostajućih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rekonstrukciju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transformatorskih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nižih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trenutno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gubitaka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distributivnim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snabdevanja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kupaca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zadovolji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Kostolac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Kostolac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350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megavata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3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zamenski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starih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1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snabdevanju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toplotnom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ekološkim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”.</w:t>
      </w: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sigurnosti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snabdevanja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bezbedan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gasovoda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podzemnih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komprimovanog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magistralni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gasovod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Niš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–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Dimitrovgrad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robnim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preuzetim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otvaranje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Poglavlju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skladišnih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skladištenja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derivata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2030.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saglasno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glasnik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145/14)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</w:t>
      </w:r>
      <w:r w:rsidR="00843F0B" w:rsidRPr="00387859">
        <w:rPr>
          <w:rFonts w:ascii="Times New Roman" w:eastAsia="Times New Roman" w:hAnsi="Times New Roman" w:cs="Times New Roman"/>
          <w:noProof/>
          <w:color w:val="595959"/>
          <w:sz w:val="24"/>
          <w:lang w:val="sr-Latn-CS"/>
        </w:rPr>
        <w:t>–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2023.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toplotna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obnovljivi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ugalj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nafta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prirodni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numPr>
          <w:ilvl w:val="0"/>
          <w:numId w:val="23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poljoprivrede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4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karakteriše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tehničko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zastarelost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nepovoljna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ograničavajući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povoljne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Liberalizacijom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izgubila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nastojati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inputa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udruživanje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24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Pravilnika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olakšan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pomaže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fizička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preduzetnike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5.000.000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zemljoradničke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15.000.000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4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</w:t>
      </w:r>
      <w:r w:rsidR="00843F0B" w:rsidRPr="00387859">
        <w:rPr>
          <w:rFonts w:ascii="Times New Roman" w:eastAsia="Times New Roman" w:hAnsi="Times New Roman" w:cs="Times New Roman"/>
          <w:noProof/>
          <w:color w:val="595959"/>
          <w:sz w:val="24"/>
          <w:lang w:val="sr-Latn-CS"/>
        </w:rPr>
        <w:t>–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2020,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ispunjava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pretpristupnih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IPARD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akreditacije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agrarna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novembru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životne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direktorat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dogovorili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detalje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akreditacionom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IPARD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fondova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otklanjanje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nedostataka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okončanje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akreditacije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položaj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poljoprivrednih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gazdinstava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4"/>
        </w:numPr>
        <w:spacing w:after="0" w:line="240" w:lineRule="auto"/>
        <w:ind w:left="576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ruralnog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agrarnog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fokusom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numPr>
          <w:ilvl w:val="0"/>
          <w:numId w:val="24"/>
        </w:num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Paket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mera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unapređenje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prihoda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turizma</w:t>
      </w:r>
    </w:p>
    <w:p w:rsidR="00BE17C7" w:rsidRPr="00387859" w:rsidRDefault="00BE17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5"/>
        </w:numPr>
        <w:spacing w:after="0" w:line="240" w:lineRule="auto"/>
        <w:ind w:left="630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destinacijama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promocije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edukacije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treninga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turističke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ponude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vaučera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subvencionisano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smeštaja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podsticajnih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specijalnih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impuls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turizma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BE17C7">
      <w:pPr>
        <w:numPr>
          <w:ilvl w:val="0"/>
          <w:numId w:val="25"/>
        </w:numPr>
        <w:spacing w:after="0" w:line="240" w:lineRule="auto"/>
        <w:ind w:left="630"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keepLines/>
        <w:numPr>
          <w:ilvl w:val="0"/>
          <w:numId w:val="2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</w:p>
    <w:p w:rsidR="00BE17C7" w:rsidRPr="00387859" w:rsidRDefault="00BE17C7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proteklom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ozbiljno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ugrozili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ozbiljan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zaokret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prilagođavanje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predostrožnosti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postignuti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stabilnih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redefinisala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Osnovni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izazovi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održivu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poziciju</w:t>
      </w:r>
    </w:p>
    <w:p w:rsidR="00BE17C7" w:rsidRPr="00387859" w:rsidRDefault="00BE17C7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revidirati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prilagoditi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najniži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9-9,5%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inicijalno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pretpostavljalo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drastičnim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Umesto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linearnih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otpuštanja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narušava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dubinsku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očuvanje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kadrova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počevši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zamrzavanje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isplaćenih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11,7%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10,1%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dinamiku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zamrzavanju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septembra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22.000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najnovijom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aranžmana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MMF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Resavica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garantovanim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prelaze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0,4%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BDP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uspešno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revizije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zadatak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podržavaju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ozbiljno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posvećena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pažnja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opravdane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podizanju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neodgovarajuće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poteškoća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eksproprijaciji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zemljišta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izvođača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dovodila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probijanja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regulatorni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kapaciteta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ažuriranje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oje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pozitivne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penale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nepovlačenja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odobrenih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naknadne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27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kratkoročnih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nominalnog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nužno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početak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srednjoročnom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akcenat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doprinelo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kretanju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izabranih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imenovanih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postavljenih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angažovanih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stvorena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precizno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NBS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većinskom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preciznog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koraku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utvrdio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optimalan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nedoumice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pojavile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užem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slobodno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izjašnjavanje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proaktivne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Odlukom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međuresorna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CROSO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verifikaciju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500.038.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pokazatelj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(28) 7,2%.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govorimo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isključivo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predimenzionirana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6,5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parametar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članica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viši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8,5.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problematično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našu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34,2%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45,2.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godišnjeg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pojedinačnim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očekivanim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produktivnosti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subjekte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maksimalnog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obnavljanje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privremenim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povremenim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dozvoljeno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ukoliko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10%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stalno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slučajevima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Zabrana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izuzetke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limite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konkretne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principi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JLS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radnopravnom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statusu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nameštenika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usklađivanje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ujednačavanje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koeficijenata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pojednostavljenje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masom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instanci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jednaku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obzira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kontekst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smešta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jeste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delotvornosti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šifarniku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februaru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omogućila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uporedivost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šifarnik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(11.000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počeli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unošenjem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šifarnikom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šifarnikom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verzijom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kataloga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popis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klasifikaciju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najvažnijih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naziva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sadrži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tipičan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opis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sertifikate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zahtevano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iskustvo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Podsistemi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koncipirani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katalozi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prosveta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socijalna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kultura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Generička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pojavljuju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izdvojena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uporedivosti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pokrenulo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pitanja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akademije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odredaba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uređuju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evidencija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sprovedenim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navedeno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kontinuitet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matičara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matičara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celovitog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uvažavanjem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specifičnih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uneće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značajne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karijernog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napredovanja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pokrajinama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jedinicama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formira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usavršavanje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mandatnom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paket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dopunama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dopunama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dopunama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komunalnoj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decentralizacije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dekoncentracije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raspodelu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nadležnosti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pojedinih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polaznih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decentralizacije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delotvornost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ekonomičnost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unutrašnjem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predlaže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urediće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registara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klasifikaciju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teritorijalne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autonomije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Elektronska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najbolji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identifikuje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sistematskim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statistika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otkrili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nedostaci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inspekcijskog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nadzora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ključnih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ambijenta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nelojalne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minimiziranje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korupcije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novousvojenim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inspekcijskom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nadzoru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stručnu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građana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Ulaganja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informatičku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logistiku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inspekcija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privrede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predvidivosti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nelojalne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konkurencije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korupcije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urađena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analiza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ab/>
      </w:r>
    </w:p>
    <w:p w:rsidR="00BE17C7" w:rsidRPr="00387859" w:rsidRDefault="00BE17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numPr>
          <w:ilvl w:val="0"/>
          <w:numId w:val="28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indirektnih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striktno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kredite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odgovornosti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transparentnosti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spadaju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bivše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status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pronađeno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330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24.474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172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zapošljavaju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45.000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PKB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RTB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Resavica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očekuje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redovne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postupke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stečaja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svrstati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pronalaženje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partnera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Komercijalnu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veličini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izabran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savetnik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Železare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Smederevo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završena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sprečeno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akumuliranje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angažovane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konsultantske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razmotrile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Aerodrom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Nikola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Tesla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Koridora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11.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treću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spadaju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energetike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železničkog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saobraćaja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”,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”:</w:t>
      </w:r>
    </w:p>
    <w:p w:rsidR="00BE17C7" w:rsidRPr="00387859" w:rsidRDefault="00387859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Elektroprivreda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prethodnom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usaglašen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EBRD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Osnovni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elementi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nabavke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tržištu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regionu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vezi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j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edan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električne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energije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kupce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12%,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avgusta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4,5%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7,5%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akcizu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3,8%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poskupljenja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oktobra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1900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dobrovoljno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prijavilo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otpremnine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napravljen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akcionarsko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društvo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performansi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profesionalnog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menadžmenta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avgusta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ogranizaciona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transportom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distribucijom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prodaja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imovine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delatnosti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nastavljaju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napori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rešavanju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problema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dužnika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Azotara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HIP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Petrohemija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MSK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Kikinda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martu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došlo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izbegle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konverzije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potraživanja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izvršila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postojećih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investiocionih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zaustavljanje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pogoršanja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položaja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Srbijagas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eliminisanje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dodatnom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843F0B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korporativne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reorganizacije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otpočeo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organizacione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statusne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jedinstvenog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avgusta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izdvojene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iskustvima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zemalja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-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voz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Infrastruktura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Kargo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Promene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praćene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reorganizacijom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menadžmenta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obuhvata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izmene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raspolaganja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imovinom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saobraćajne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racionalizacije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Sektor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teretnog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saobraćaja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avgusta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subvencije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posluje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tržišnim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principima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preporukama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januaru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uvedena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naknada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železničke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sklopu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otvaranja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tržišta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železnički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transport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prvi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privatni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železnički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operater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dobio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odobrenje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trase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javne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železničke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nastavljena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reorganizacija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poslovnih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planova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voz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Infrastruktura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ˮ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striktnog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ograničavanja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pomoći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srednjem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roku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nezavisnim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konsultantima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pomoć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Svetske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banke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EBRD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sveukupnog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korporativnog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završen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popis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imovine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njihova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alokacija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novoosnovane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Planovi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definišu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racionalizaciju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2020.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usvojeni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železničkih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septembru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podrazumevaju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3.000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zaposlenih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prirodni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odliv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oktobru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doneta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odluka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obustavi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saobraćaja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prugama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van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eksploatacije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ili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označene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nerentabilne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bitno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uticati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performanse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Novoformirana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preduzeća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preuzela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punu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odgovornost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plaćanje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svojih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podrazumeva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povećavaju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docnje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plaćanjima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EPS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Nastavlja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procesom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izbora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menadžmenta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novoformirane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kompanije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sastavu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Železnice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29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JP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”.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infrastrukture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putarina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poskupeti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deset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putarine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odvijati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fazno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adekvatnih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stopa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ugovora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uklanjanju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prepreka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ostvariti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subvencijama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Razmatraće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izgradnju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koncesija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korporativn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razvijati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Svetskom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bankom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uštede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proističu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korporativnog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restrukturiranja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/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istovremeno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segmentu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preduzećima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discipline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prošireno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dejstvo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rokovima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izmirenja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novčanih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komercijalnim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transakcije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između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institucija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Izmenjene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odredbe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primenjuju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uticaj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plaćanja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januara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strogo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smislu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likvidnosti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kompaniju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portfolija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bivše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Agencije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garancija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ostavljena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samo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slučaju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kapitalnih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zajmova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poštovanje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granice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određena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30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donetim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odgovarajućih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podzakonskih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strateškog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2017–2021.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politika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donošenje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osiguranju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odgovarajućih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podzakonskih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tercijarne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prevencije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otkrivanja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hroničnih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nezaraznih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najvećoj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opterećuju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sekundarne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tercijarne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naglasak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visokorazvijenih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nabavku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aparata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neophodnih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lečenje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obolelih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malignih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bolesti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 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uvođenje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NZS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obezbeđuje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pouzdane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izdvojenim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njihovog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uvida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tokove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izdvajanja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račun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instrument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protoka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zemlje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ravnopravne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raspodele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raspoloživih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sredstava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Nastavak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informatizacije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povezivanju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jedinstveni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započet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kadrova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mreže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sagledavanja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kadrovske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normativima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standardima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3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uloge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privatnog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stanovništvu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konsolidacije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racionalizacija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prvenstveno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nemedicinskog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osoblja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mehanizama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odabir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pogledu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nabavki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bolju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medicinske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efikasnost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ustanova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vrednovanje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njihovih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stvarnih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učinaka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kvalitet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zdravstvene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31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različitih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UJF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obuhvaćene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2016–2020.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RUJF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).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RUJF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je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buhv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integrisani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rdin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đ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drživih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ktivn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msk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biln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,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zb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 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svrsish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điv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korišćenje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ja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realizaciju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oje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publici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j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nsp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ntn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ukupn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 ja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ja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ispunj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Takođe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pripremljen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finansijske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2017–2019.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Nacrt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protiv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prevara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(</w:t>
      </w:r>
      <w:r w:rsidR="00843F0B" w:rsidRPr="00387859">
        <w:rPr>
          <w:rFonts w:ascii="Times New Roman" w:eastAsia="Times New Roman" w:hAnsi="Times New Roman" w:cs="Times New Roman"/>
          <w:i/>
          <w:noProof/>
          <w:sz w:val="24"/>
          <w:lang w:val="sr-Latn-CS"/>
        </w:rPr>
        <w:t>Anti-Fraud Strategy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).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Visok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utiče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budžetski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deficit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investiranja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znatnoj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posledica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neefikasnog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mehanizma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utvrđivanja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naplate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prihoda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Neadekvatna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neodgovarajućim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obimom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ljudskih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resursa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nepostojanjem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odgovarajućeg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onemogućivali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ograničeni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resursi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najviše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skloni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nepoštovanju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dosadašnji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često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negativne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efekte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obveznike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potpunosti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vreme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izvršavaju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obaveze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kroz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neujednačenu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praksu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tumačenja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komplikovane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što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zajedno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dovodi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rasta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troškova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Poreske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2015–2020.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usvojen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daljem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pojednostavljenje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organizacione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centrali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filijalama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ekspoziturama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smanjenje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filijala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implementacija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pristupa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rizicima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jačanje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upravljanja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docnjama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procedure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otpisa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modernizacija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informacionih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tehnologija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poslovnih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procesa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koordinacije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razmene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informacija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lastRenderedPageBreak/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fili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ja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e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oj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znicim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RJF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Programom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transformacije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predviđeno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rmir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posebni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delovi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usluga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znicim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dil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komunikacija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interakcija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znicim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uključujući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pruž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 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žurnih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inf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ja o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e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o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pisima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numPr>
          <w:ilvl w:val="0"/>
          <w:numId w:val="32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javnog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sektora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obuhvataju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mere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tiču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dokumentima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planiranja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sistemskim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zakonima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nastaviće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treba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delotvornije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efikasnije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sprovoditi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odnose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uspostavljanje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primenu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novog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strategijskog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oblasti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bezbednosti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odbrambenih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delimično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funkcionalnih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izvršenje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misija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zadataka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optimizaciju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organizacije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projektovanog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nivoa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popunjenosti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ratnim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materijalnim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rezervama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međunarodne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tehničke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saradnje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borbenoj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grupi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Evropske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;</w:t>
      </w:r>
    </w:p>
    <w:p w:rsidR="00BE17C7" w:rsidRPr="00387859" w:rsidRDefault="00387859">
      <w:pPr>
        <w:numPr>
          <w:ilvl w:val="0"/>
          <w:numId w:val="3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industrijske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tehnološke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baze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interesa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operativnih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Prioritet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strukturnih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reformi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imati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administrativne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linije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AP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Kosovo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Metohija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obezbeđenju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neprekidne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kontrole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zaštite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vazdušnog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prostora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unapređenje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sposobnosti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snaga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reagovanje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podršci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civilnim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vlastima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suprotstavljanju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nevojnim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pretnjama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bezbednosti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pripremama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učešće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multinacionalnim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operacijama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drugim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aktivnostima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zadacima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utvrđeni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uputstvom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poverljivo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3878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skladu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rezultatima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a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izradi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nacrta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Dugoročnog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plana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sistema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održiv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razvoj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funkcionisanje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Ministarstva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Vojske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obezbediti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približno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1,5%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Nakon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poboljšanja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mogućnosti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postepeno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povećavati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izdavanje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za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potrebe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odbrane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tako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narednom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periodu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dostigne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iznos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2%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bruto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domaćeg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proizvoda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.</w:t>
      </w:r>
    </w:p>
    <w:p w:rsidR="00BE17C7" w:rsidRPr="00387859" w:rsidRDefault="00BE17C7">
      <w:pPr>
        <w:spacing w:after="12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keepNext/>
        <w:keepLines/>
        <w:numPr>
          <w:ilvl w:val="0"/>
          <w:numId w:val="34"/>
        </w:num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noProof/>
          <w:color w:val="4B4B4B"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V.</w:t>
      </w:r>
      <w:r w:rsidRPr="00387859">
        <w:rPr>
          <w:rFonts w:ascii="Times New Roman" w:eastAsia="Times New Roman" w:hAnsi="Times New Roman" w:cs="Times New Roman"/>
          <w:i/>
          <w:noProof/>
          <w:sz w:val="21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ZAVRŠNE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ODREDBE</w:t>
      </w:r>
    </w:p>
    <w:p w:rsidR="00BE17C7" w:rsidRPr="00387859" w:rsidRDefault="00BE17C7">
      <w:pPr>
        <w:keepNext/>
        <w:keepLines/>
        <w:spacing w:after="0" w:line="264" w:lineRule="auto"/>
        <w:ind w:left="502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Sastavni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deo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čine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1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Projekcija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osnovnih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makroekonomskih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indikatora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Prilog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 –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okvir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opšte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države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2017.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koji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odštampani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uz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. </w:t>
      </w:r>
    </w:p>
    <w:p w:rsidR="00BE17C7" w:rsidRPr="00387859" w:rsidRDefault="00387859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Ovu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fiskalnu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strategiju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objaviti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Službenom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glasniku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Republike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Srbije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”.</w:t>
      </w:r>
    </w:p>
    <w:p w:rsidR="00BE17C7" w:rsidRPr="00387859" w:rsidRDefault="00BE17C7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05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Broj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>:400-11440/2016-1</w:t>
      </w:r>
    </w:p>
    <w:p w:rsidR="00BE17C7" w:rsidRPr="00387859" w:rsidRDefault="00387859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Beogradu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, 1.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decembra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2016.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godine</w:t>
      </w:r>
    </w:p>
    <w:p w:rsidR="00BE17C7" w:rsidRPr="00387859" w:rsidRDefault="00BE17C7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387859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lang w:val="sr-Latn-CS"/>
        </w:rPr>
        <w:t>V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L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D</w:t>
      </w:r>
      <w:r w:rsidR="00843F0B"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lang w:val="sr-Latn-CS"/>
        </w:rPr>
        <w:t>A</w:t>
      </w:r>
    </w:p>
    <w:p w:rsidR="00BE17C7" w:rsidRPr="00387859" w:rsidRDefault="00BE17C7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                                                   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PREDSEDNIK</w:t>
      </w:r>
    </w:p>
    <w:p w:rsidR="00BE17C7" w:rsidRPr="00387859" w:rsidRDefault="00BE17C7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843F0B">
      <w:pPr>
        <w:spacing w:after="0" w:line="264" w:lineRule="auto"/>
        <w:jc w:val="center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                                                  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Aleksandar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387859">
        <w:rPr>
          <w:rFonts w:ascii="Times New Roman" w:eastAsia="Times New Roman" w:hAnsi="Times New Roman" w:cs="Times New Roman"/>
          <w:noProof/>
          <w:sz w:val="24"/>
          <w:lang w:val="sr-Latn-CS"/>
        </w:rPr>
        <w:t>Vučić</w:t>
      </w: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</w:t>
      </w:r>
    </w:p>
    <w:p w:rsidR="00BE17C7" w:rsidRPr="00387859" w:rsidRDefault="00BE17C7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BE17C7" w:rsidRPr="00387859" w:rsidRDefault="00BE17C7">
      <w:pPr>
        <w:spacing w:after="0" w:line="264" w:lineRule="auto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3038"/>
      </w:tblGrid>
      <w:tr w:rsidR="00BE17C7" w:rsidRPr="00387859">
        <w:trPr>
          <w:trHeight w:val="1"/>
          <w:jc w:val="right"/>
        </w:trPr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17C7" w:rsidRPr="00387859" w:rsidRDefault="00BE17C7">
            <w:pPr>
              <w:spacing w:after="0" w:line="264" w:lineRule="auto"/>
              <w:jc w:val="center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  <w:tr w:rsidR="00BE17C7" w:rsidRPr="00387859">
        <w:trPr>
          <w:trHeight w:val="1"/>
          <w:jc w:val="right"/>
        </w:trPr>
        <w:tc>
          <w:tcPr>
            <w:tcW w:w="3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E17C7" w:rsidRPr="00387859" w:rsidRDefault="00BE17C7">
            <w:pPr>
              <w:spacing w:after="0" w:line="264" w:lineRule="auto"/>
              <w:rPr>
                <w:rFonts w:ascii="Calibri" w:eastAsia="Calibri" w:hAnsi="Calibri" w:cs="Calibri"/>
                <w:noProof/>
                <w:lang w:val="sr-Latn-CS"/>
              </w:rPr>
            </w:pPr>
          </w:p>
        </w:tc>
      </w:tr>
    </w:tbl>
    <w:p w:rsidR="00316662" w:rsidRPr="00387859" w:rsidRDefault="0031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316662" w:rsidRPr="00387859" w:rsidRDefault="00316662">
      <w:pPr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387859">
        <w:rPr>
          <w:rFonts w:ascii="Times New Roman" w:eastAsia="Times New Roman" w:hAnsi="Times New Roman" w:cs="Times New Roman"/>
          <w:noProof/>
          <w:sz w:val="24"/>
          <w:lang w:val="sr-Latn-CS"/>
        </w:rPr>
        <w:br w:type="page"/>
      </w:r>
    </w:p>
    <w:p w:rsidR="00316662" w:rsidRPr="00387859" w:rsidRDefault="00387859" w:rsidP="00316662">
      <w:pPr>
        <w:spacing w:after="0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lastRenderedPageBreak/>
        <w:t>Prilog</w:t>
      </w:r>
      <w:r w:rsidR="00316662" w:rsidRPr="00387859">
        <w:rPr>
          <w:rFonts w:ascii="Times New Roman" w:hAnsi="Times New Roman" w:cs="Times New Roman"/>
          <w:noProof/>
          <w:sz w:val="24"/>
          <w:lang w:val="sr-Latn-CS"/>
        </w:rPr>
        <w:t xml:space="preserve"> 1 - </w:t>
      </w:r>
      <w:r>
        <w:rPr>
          <w:rFonts w:ascii="Times New Roman" w:hAnsi="Times New Roman" w:cs="Times New Roman"/>
          <w:noProof/>
          <w:sz w:val="24"/>
          <w:lang w:val="sr-Latn-CS"/>
        </w:rPr>
        <w:t>Projekcija</w:t>
      </w:r>
      <w:r w:rsidR="00316662" w:rsidRPr="00387859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osnovnih</w:t>
      </w:r>
      <w:r w:rsidR="00316662" w:rsidRPr="00387859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makroekonomskih</w:t>
      </w:r>
      <w:r w:rsidR="00316662" w:rsidRPr="00387859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lang w:val="sr-Latn-CS"/>
        </w:rPr>
        <w:t>indikatora</w:t>
      </w:r>
    </w:p>
    <w:tbl>
      <w:tblPr>
        <w:tblStyle w:val="TableGrid1"/>
        <w:tblW w:w="0" w:type="auto"/>
        <w:tblLook w:val="04A0"/>
      </w:tblPr>
      <w:tblGrid>
        <w:gridCol w:w="4140"/>
        <w:gridCol w:w="1236"/>
        <w:gridCol w:w="1236"/>
        <w:gridCol w:w="1236"/>
        <w:gridCol w:w="1236"/>
      </w:tblGrid>
      <w:tr w:rsidR="00316662" w:rsidRPr="00387859" w:rsidTr="000143AD">
        <w:trPr>
          <w:trHeight w:val="551"/>
        </w:trPr>
        <w:tc>
          <w:tcPr>
            <w:tcW w:w="4140" w:type="dxa"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  <w:bookmarkStart w:id="0" w:name="RANGE!A1:I56"/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Iskazano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u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procentima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osim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ako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nije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drugačije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naznačen</w:t>
            </w:r>
            <w:bookmarkEnd w:id="0"/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center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2016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center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2017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center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2018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center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2019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Stopa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realnog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rasta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hAnsi="Times New Roman"/>
                <w:bCs/>
                <w:noProof/>
                <w:sz w:val="20"/>
                <w:lang w:val="sr-Latn-CS"/>
              </w:rPr>
            </w:pPr>
            <w:r w:rsidRPr="00387859">
              <w:rPr>
                <w:rFonts w:ascii="Times New Roman" w:hAnsi="Times New Roman"/>
                <w:noProof/>
                <w:sz w:val="20"/>
                <w:lang w:val="sr-Latn-CS"/>
              </w:rPr>
              <w:t>2,7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hAnsi="Times New Roman"/>
                <w:noProof/>
                <w:sz w:val="20"/>
                <w:lang w:val="sr-Latn-CS"/>
              </w:rPr>
            </w:pPr>
            <w:r w:rsidRPr="00387859">
              <w:rPr>
                <w:rFonts w:ascii="Times New Roman" w:hAnsi="Times New Roman"/>
                <w:noProof/>
                <w:sz w:val="20"/>
                <w:lang w:val="sr-Latn-CS"/>
              </w:rPr>
              <w:t>3,0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hAnsi="Times New Roman"/>
                <w:noProof/>
                <w:sz w:val="20"/>
                <w:lang w:val="sr-Latn-CS"/>
              </w:rPr>
            </w:pPr>
            <w:r w:rsidRPr="00387859">
              <w:rPr>
                <w:rFonts w:ascii="Times New Roman" w:hAnsi="Times New Roman"/>
                <w:noProof/>
                <w:sz w:val="20"/>
                <w:lang w:val="sr-Latn-CS"/>
              </w:rPr>
              <w:t>3,5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hAnsi="Times New Roman"/>
                <w:noProof/>
                <w:sz w:val="20"/>
                <w:lang w:val="sr-Latn-CS"/>
              </w:rPr>
            </w:pPr>
            <w:r w:rsidRPr="00387859">
              <w:rPr>
                <w:rFonts w:ascii="Times New Roman" w:hAnsi="Times New Roman"/>
                <w:noProof/>
                <w:sz w:val="20"/>
                <w:lang w:val="sr-Latn-CS"/>
              </w:rPr>
              <w:t>3,5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tekućim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tržišnim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cenama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316662" w:rsidRPr="00387859" w:rsidRDefault="00316662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(</w:t>
            </w:r>
            <w:r w:rsid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</w:t>
            </w: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mlrd</w:t>
            </w: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dinara</w:t>
            </w: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4.203,5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4.396,7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4.678,1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4.987,5</w:t>
            </w:r>
          </w:p>
        </w:tc>
      </w:tr>
      <w:tr w:rsidR="00316662" w:rsidRPr="00387859" w:rsidTr="000143AD">
        <w:trPr>
          <w:trHeight w:val="281"/>
        </w:trPr>
        <w:tc>
          <w:tcPr>
            <w:tcW w:w="9084" w:type="dxa"/>
            <w:gridSpan w:val="5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Izvori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rasta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procentne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promene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u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konstantnim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cenama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Lična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2,9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Državna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2,3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Investicije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fiksni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kapital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6,4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4,9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Promena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zaliha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kao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-0,4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Izvoz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9,2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7,6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Uvoz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6,2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5,8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6,3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Doprinos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rastu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Finalna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domaća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tražnja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2,0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2,5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3,2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3,5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Investiciona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Lična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Državna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0,4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Promena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zalihama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-0,4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Spoljno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trgovinski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bilans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0,5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0,0</w:t>
            </w:r>
          </w:p>
        </w:tc>
      </w:tr>
      <w:tr w:rsidR="00316662" w:rsidRPr="00387859" w:rsidTr="000143AD">
        <w:trPr>
          <w:trHeight w:val="281"/>
        </w:trPr>
        <w:tc>
          <w:tcPr>
            <w:tcW w:w="9084" w:type="dxa"/>
            <w:gridSpan w:val="5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Rast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bruto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dodate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vrednosti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delatnosti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Poljoprivreda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8,4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-2,0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2,6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Industrija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5,4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Građevinarstvo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8,9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6,1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Usluge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3,7</w:t>
            </w:r>
          </w:p>
        </w:tc>
      </w:tr>
      <w:tr w:rsidR="00316662" w:rsidRPr="00387859" w:rsidTr="000143AD">
        <w:trPr>
          <w:trHeight w:val="281"/>
        </w:trPr>
        <w:tc>
          <w:tcPr>
            <w:tcW w:w="9084" w:type="dxa"/>
            <w:gridSpan w:val="5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Doprinos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rastu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bruto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dodate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vrednosti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po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delatnostima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Rast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bruto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dodate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vrednosti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2,7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3,0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3,5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3,5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Poljoprivreda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-0,2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Industrija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Građevinarstvo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0,2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Usluge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0,9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1,9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Kretanje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deflator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1,3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2,8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Potrošačke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cene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godišnji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prosek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1,1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2,4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3,0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Kretanja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u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spoljnom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sektoru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Izvoz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e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35,9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37,9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39,1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40,1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Uvoz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e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46,5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48,5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49,4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50,1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bookmarkStart w:id="1" w:name="RANGE!A41"/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Saldo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robne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razmene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  <w:bookmarkEnd w:id="1"/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-10,6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-10,7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-10,3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-9,9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Saldo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tekućeg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računa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-4,2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-3,9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-3,9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-3,9</w:t>
            </w:r>
          </w:p>
        </w:tc>
      </w:tr>
      <w:tr w:rsidR="00316662" w:rsidRPr="00387859" w:rsidTr="000143AD">
        <w:trPr>
          <w:trHeight w:val="220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i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Fiskalni</w:t>
            </w:r>
            <w:r w:rsidR="00316662" w:rsidRPr="00387859"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  <w:t>indikatori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i/>
                <w:i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Deficit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sektora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opšte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države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-2,1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-1,7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-1,3</w:t>
            </w:r>
          </w:p>
        </w:tc>
        <w:tc>
          <w:tcPr>
            <w:tcW w:w="1236" w:type="dxa"/>
            <w:noWrap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-1,0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Konsolidovani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prihodi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vAlign w:val="center"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43,3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42,4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41,6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41,1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Konsolidovani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rashodi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bookmarkStart w:id="2" w:name="_GoBack"/>
            <w:bookmarkEnd w:id="2"/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45,4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44,1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42,9</w:t>
            </w:r>
          </w:p>
        </w:tc>
        <w:tc>
          <w:tcPr>
            <w:tcW w:w="1236" w:type="dxa"/>
            <w:noWrap/>
            <w:vAlign w:val="center"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42,1</w:t>
            </w:r>
          </w:p>
        </w:tc>
      </w:tr>
      <w:tr w:rsidR="00316662" w:rsidRPr="00387859" w:rsidTr="000143AD">
        <w:trPr>
          <w:trHeight w:val="281"/>
        </w:trPr>
        <w:tc>
          <w:tcPr>
            <w:tcW w:w="4140" w:type="dxa"/>
            <w:noWrap/>
            <w:hideMark/>
          </w:tcPr>
          <w:p w:rsidR="00316662" w:rsidRPr="00387859" w:rsidRDefault="00387859" w:rsidP="000143AD">
            <w:pPr>
              <w:rPr>
                <w:rFonts w:ascii="Times New Roman" w:eastAsia="Calibri" w:hAnsi="Times New Roman"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Bruto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dug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sektora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opšte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države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BDP</w:t>
            </w:r>
            <w:r w:rsidR="00316662"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74,6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73,9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70,7</w:t>
            </w:r>
          </w:p>
        </w:tc>
        <w:tc>
          <w:tcPr>
            <w:tcW w:w="1236" w:type="dxa"/>
            <w:noWrap/>
            <w:hideMark/>
          </w:tcPr>
          <w:p w:rsidR="00316662" w:rsidRPr="00387859" w:rsidRDefault="00316662" w:rsidP="000143AD">
            <w:pPr>
              <w:jc w:val="right"/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</w:pPr>
            <w:r w:rsidRPr="00387859">
              <w:rPr>
                <w:rFonts w:ascii="Times New Roman" w:eastAsia="Calibri" w:hAnsi="Times New Roman"/>
                <w:noProof/>
                <w:sz w:val="20"/>
                <w:szCs w:val="20"/>
                <w:lang w:val="sr-Latn-CS"/>
              </w:rPr>
              <w:t>67,0</w:t>
            </w:r>
          </w:p>
        </w:tc>
      </w:tr>
    </w:tbl>
    <w:p w:rsidR="00316662" w:rsidRPr="00387859" w:rsidRDefault="00316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  <w:sectPr w:rsidR="00316662" w:rsidRPr="003878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6662" w:rsidRPr="00387859" w:rsidRDefault="00316662" w:rsidP="00316662">
      <w:pPr>
        <w:rPr>
          <w:noProof/>
          <w:lang w:val="sr-Latn-CS"/>
        </w:rPr>
      </w:pPr>
      <w:r w:rsidRPr="00387859">
        <w:rPr>
          <w:noProof/>
          <w:lang w:val="sr-Latn-CS"/>
        </w:rPr>
        <w:lastRenderedPageBreak/>
        <w:drawing>
          <wp:inline distT="0" distB="0" distL="0" distR="0">
            <wp:extent cx="9884341" cy="555541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854" cy="556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C7" w:rsidRPr="00387859" w:rsidRDefault="00BE1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sectPr w:rsidR="00BE17C7" w:rsidRPr="00387859" w:rsidSect="001C28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0A" w:rsidRDefault="00D2090A" w:rsidP="00771B7D">
      <w:pPr>
        <w:spacing w:after="0" w:line="240" w:lineRule="auto"/>
      </w:pPr>
      <w:r>
        <w:separator/>
      </w:r>
    </w:p>
  </w:endnote>
  <w:endnote w:type="continuationSeparator" w:id="0">
    <w:p w:rsidR="00D2090A" w:rsidRDefault="00D2090A" w:rsidP="0077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62" w:rsidRDefault="00D2090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3C" w:rsidRPr="00387859" w:rsidRDefault="00387859" w:rsidP="0033233C">
    <w:pPr>
      <w:spacing w:after="0" w:line="240" w:lineRule="auto"/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U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tabeli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je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prikazan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okvirni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iznos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prihoda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rashoda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u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2017.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godini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koji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je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u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većoj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meri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zasnovan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na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statističkoj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metodologiji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računa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javnih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finansija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nego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na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računovodstvenoj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.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Budući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da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tokom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budžetskog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procesa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može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doći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do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izmena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u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visini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strukturi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pojedinih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kategorija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,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ovi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iznosi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nisu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zakonski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obavezujući</w:t>
    </w:r>
    <w:r w:rsidR="00843F0B"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. </w:t>
    </w:r>
  </w:p>
  <w:p w:rsidR="00771B7D" w:rsidRPr="00387859" w:rsidRDefault="00843F0B" w:rsidP="00771B7D">
    <w:pPr>
      <w:spacing w:after="0" w:line="240" w:lineRule="auto"/>
      <w:rPr>
        <w:noProof/>
        <w:lang w:val="sr-Latn-CS"/>
      </w:rPr>
    </w:pP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*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budžet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je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prikazan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bez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indirektnih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 xml:space="preserve"> </w:t>
    </w:r>
    <w:r w:rsid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korisnika</w:t>
    </w:r>
    <w:r w:rsidRPr="00387859">
      <w:rPr>
        <w:rFonts w:ascii="Times New Roman" w:eastAsia="Times New Roman" w:hAnsi="Times New Roman" w:cs="Times New Roman"/>
        <w:noProof/>
        <w:color w:val="000000"/>
        <w:sz w:val="18"/>
        <w:szCs w:val="18"/>
        <w:lang w:val="sr-Latn-CS"/>
      </w:rPr>
      <w:t>.</w:t>
    </w:r>
  </w:p>
  <w:p w:rsidR="0033233C" w:rsidRPr="00387859" w:rsidRDefault="00D2090A">
    <w:pPr>
      <w:pStyle w:val="Footer"/>
      <w:rPr>
        <w:lang w:val="sr-Latn-C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62" w:rsidRDefault="00D20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0A" w:rsidRDefault="00D2090A" w:rsidP="00771B7D">
      <w:pPr>
        <w:spacing w:after="0" w:line="240" w:lineRule="auto"/>
      </w:pPr>
      <w:r>
        <w:separator/>
      </w:r>
    </w:p>
  </w:footnote>
  <w:footnote w:type="continuationSeparator" w:id="0">
    <w:p w:rsidR="00D2090A" w:rsidRDefault="00D2090A" w:rsidP="0077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59" w:rsidRDefault="003878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62" w:rsidRDefault="00D2090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1D" w:rsidRDefault="00D2090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62" w:rsidRDefault="00D20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F47"/>
    <w:multiLevelType w:val="multilevel"/>
    <w:tmpl w:val="1BEEC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43BE0"/>
    <w:multiLevelType w:val="multilevel"/>
    <w:tmpl w:val="9FCE2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A7FB3"/>
    <w:multiLevelType w:val="multilevel"/>
    <w:tmpl w:val="7DC2E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51841"/>
    <w:multiLevelType w:val="multilevel"/>
    <w:tmpl w:val="69543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95BE9"/>
    <w:multiLevelType w:val="multilevel"/>
    <w:tmpl w:val="A6E8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C452E"/>
    <w:multiLevelType w:val="multilevel"/>
    <w:tmpl w:val="73A05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F0BA1"/>
    <w:multiLevelType w:val="multilevel"/>
    <w:tmpl w:val="9A36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91F89"/>
    <w:multiLevelType w:val="multilevel"/>
    <w:tmpl w:val="621E8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2211E"/>
    <w:multiLevelType w:val="multilevel"/>
    <w:tmpl w:val="41EED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929C6"/>
    <w:multiLevelType w:val="multilevel"/>
    <w:tmpl w:val="A5A2B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B6010B"/>
    <w:multiLevelType w:val="multilevel"/>
    <w:tmpl w:val="81563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E5B07"/>
    <w:multiLevelType w:val="multilevel"/>
    <w:tmpl w:val="B26C7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96124B"/>
    <w:multiLevelType w:val="multilevel"/>
    <w:tmpl w:val="DADE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D09CD"/>
    <w:multiLevelType w:val="multilevel"/>
    <w:tmpl w:val="57189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727AF"/>
    <w:multiLevelType w:val="multilevel"/>
    <w:tmpl w:val="5CFA3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350F7F"/>
    <w:multiLevelType w:val="multilevel"/>
    <w:tmpl w:val="4880D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14930"/>
    <w:multiLevelType w:val="multilevel"/>
    <w:tmpl w:val="17D81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446B99"/>
    <w:multiLevelType w:val="multilevel"/>
    <w:tmpl w:val="29CE5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630DA6"/>
    <w:multiLevelType w:val="multilevel"/>
    <w:tmpl w:val="86201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A14C0F"/>
    <w:multiLevelType w:val="multilevel"/>
    <w:tmpl w:val="4EFA1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C43F5C"/>
    <w:multiLevelType w:val="multilevel"/>
    <w:tmpl w:val="C422D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7F59D7"/>
    <w:multiLevelType w:val="multilevel"/>
    <w:tmpl w:val="B7888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54FCB"/>
    <w:multiLevelType w:val="multilevel"/>
    <w:tmpl w:val="EA24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781AF1"/>
    <w:multiLevelType w:val="multilevel"/>
    <w:tmpl w:val="A9269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23DC8"/>
    <w:multiLevelType w:val="multilevel"/>
    <w:tmpl w:val="C1904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04F1A"/>
    <w:multiLevelType w:val="multilevel"/>
    <w:tmpl w:val="DA881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3446F6"/>
    <w:multiLevelType w:val="multilevel"/>
    <w:tmpl w:val="0C4C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E34048"/>
    <w:multiLevelType w:val="multilevel"/>
    <w:tmpl w:val="96165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1F08EC"/>
    <w:multiLevelType w:val="multilevel"/>
    <w:tmpl w:val="CC7C3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3E75FC"/>
    <w:multiLevelType w:val="multilevel"/>
    <w:tmpl w:val="346CA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20F12"/>
    <w:multiLevelType w:val="multilevel"/>
    <w:tmpl w:val="CA2EC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09059B"/>
    <w:multiLevelType w:val="multilevel"/>
    <w:tmpl w:val="9A74B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655EA5"/>
    <w:multiLevelType w:val="multilevel"/>
    <w:tmpl w:val="35A67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0F4E99"/>
    <w:multiLevelType w:val="multilevel"/>
    <w:tmpl w:val="123C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25"/>
  </w:num>
  <w:num w:numId="4">
    <w:abstractNumId w:val="26"/>
  </w:num>
  <w:num w:numId="5">
    <w:abstractNumId w:val="24"/>
  </w:num>
  <w:num w:numId="6">
    <w:abstractNumId w:val="4"/>
  </w:num>
  <w:num w:numId="7">
    <w:abstractNumId w:val="0"/>
  </w:num>
  <w:num w:numId="8">
    <w:abstractNumId w:val="27"/>
  </w:num>
  <w:num w:numId="9">
    <w:abstractNumId w:val="1"/>
  </w:num>
  <w:num w:numId="10">
    <w:abstractNumId w:val="14"/>
  </w:num>
  <w:num w:numId="11">
    <w:abstractNumId w:val="9"/>
  </w:num>
  <w:num w:numId="12">
    <w:abstractNumId w:val="15"/>
  </w:num>
  <w:num w:numId="13">
    <w:abstractNumId w:val="33"/>
  </w:num>
  <w:num w:numId="14">
    <w:abstractNumId w:val="6"/>
  </w:num>
  <w:num w:numId="15">
    <w:abstractNumId w:val="29"/>
  </w:num>
  <w:num w:numId="16">
    <w:abstractNumId w:val="5"/>
  </w:num>
  <w:num w:numId="17">
    <w:abstractNumId w:val="3"/>
  </w:num>
  <w:num w:numId="18">
    <w:abstractNumId w:val="28"/>
  </w:num>
  <w:num w:numId="19">
    <w:abstractNumId w:val="30"/>
  </w:num>
  <w:num w:numId="20">
    <w:abstractNumId w:val="31"/>
  </w:num>
  <w:num w:numId="21">
    <w:abstractNumId w:val="23"/>
  </w:num>
  <w:num w:numId="22">
    <w:abstractNumId w:val="10"/>
  </w:num>
  <w:num w:numId="23">
    <w:abstractNumId w:val="8"/>
  </w:num>
  <w:num w:numId="24">
    <w:abstractNumId w:val="18"/>
  </w:num>
  <w:num w:numId="25">
    <w:abstractNumId w:val="16"/>
  </w:num>
  <w:num w:numId="26">
    <w:abstractNumId w:val="20"/>
  </w:num>
  <w:num w:numId="27">
    <w:abstractNumId w:val="22"/>
  </w:num>
  <w:num w:numId="28">
    <w:abstractNumId w:val="21"/>
  </w:num>
  <w:num w:numId="29">
    <w:abstractNumId w:val="11"/>
  </w:num>
  <w:num w:numId="30">
    <w:abstractNumId w:val="2"/>
  </w:num>
  <w:num w:numId="31">
    <w:abstractNumId w:val="32"/>
  </w:num>
  <w:num w:numId="32">
    <w:abstractNumId w:val="12"/>
  </w:num>
  <w:num w:numId="33">
    <w:abstractNumId w:val="1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7C7"/>
    <w:rsid w:val="0028423E"/>
    <w:rsid w:val="00316662"/>
    <w:rsid w:val="00387859"/>
    <w:rsid w:val="00771B7D"/>
    <w:rsid w:val="00843F0B"/>
    <w:rsid w:val="00BE17C7"/>
    <w:rsid w:val="00D2090A"/>
    <w:rsid w:val="00DC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6662"/>
    <w:pPr>
      <w:spacing w:after="0" w:line="240" w:lineRule="auto"/>
    </w:pPr>
    <w:rPr>
      <w:rFonts w:ascii="Constantia" w:eastAsia="Constantia" w:hAnsi="Constantia" w:cs="Times New Roman"/>
      <w:lang w:val="sr-Cyrl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1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66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1666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16662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16662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48342</Words>
  <Characters>275550</Characters>
  <Application>Microsoft Office Word</Application>
  <DocSecurity>0</DocSecurity>
  <Lines>2296</Lines>
  <Paragraphs>646</Paragraphs>
  <ScaleCrop>false</ScaleCrop>
  <Company/>
  <LinksUpToDate>false</LinksUpToDate>
  <CharactersWithSpaces>323246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Stojanovic</dc:creator>
  <cp:lastModifiedBy>jovan</cp:lastModifiedBy>
  <cp:revision>2</cp:revision>
  <dcterms:created xsi:type="dcterms:W3CDTF">2016-12-06T15:06:00Z</dcterms:created>
  <dcterms:modified xsi:type="dcterms:W3CDTF">2016-12-06T15:06:00Z</dcterms:modified>
</cp:coreProperties>
</file>