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82" w:rsidRPr="00E60B05" w:rsidRDefault="00786782" w:rsidP="00871FF3">
      <w:pPr>
        <w:spacing w:before="100" w:beforeAutospacing="1" w:after="0" w:line="210" w:lineRule="atLeast"/>
        <w:ind w:firstLine="48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577E28" w:rsidRPr="00E60B05" w:rsidRDefault="00E60B05" w:rsidP="00EF7DA6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874D3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8.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budžetu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</w:t>
      </w:r>
      <w:r w:rsidR="00EF7DA6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8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godinu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630B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(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Službeni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RS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F7DA6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113</w:t>
      </w:r>
      <w:r w:rsidR="00C874D3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/1</w:t>
      </w:r>
      <w:r w:rsidR="00EF7DA6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7</w:t>
      </w:r>
      <w:r w:rsidR="000B630B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)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B11B42" w:rsidRPr="00E60B0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B11B42" w:rsidRPr="00E60B0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B11B42" w:rsidRPr="00E60B0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B11B42" w:rsidRPr="00E60B0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B11B42" w:rsidRPr="00E60B0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Vladi</w:t>
      </w:r>
      <w:r w:rsidR="00B11B42" w:rsidRPr="00E60B0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B11B4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>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B11B4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B11B4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B11B4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11B42" w:rsidRPr="00E60B0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</w:t>
      </w:r>
      <w:r w:rsidR="00B11B42" w:rsidRPr="00E60B0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55/ 05, 71/05 ‒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ispravka</w:t>
      </w:r>
      <w:r w:rsidR="00B11B42" w:rsidRPr="00E60B0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101/07, 65/08, 16/11,  68/12 –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</w:t>
      </w:r>
      <w:r w:rsidR="00B11B42" w:rsidRPr="00E60B0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 72/12, 7/14 –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</w:t>
      </w:r>
      <w:r w:rsidR="00B11B42" w:rsidRPr="00E60B0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B11B42" w:rsidRPr="00E60B0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44/14),  </w:t>
      </w:r>
    </w:p>
    <w:p w:rsidR="00577E28" w:rsidRPr="00E60B05" w:rsidRDefault="00E60B05" w:rsidP="00577E28">
      <w:pPr>
        <w:spacing w:before="100" w:beforeAutospacing="1" w:after="0" w:line="210" w:lineRule="atLeast"/>
        <w:ind w:firstLine="48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Vlada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donosi</w:t>
      </w:r>
    </w:p>
    <w:p w:rsidR="008A228F" w:rsidRPr="00E60B05" w:rsidRDefault="008A228F" w:rsidP="00E43C27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577E28" w:rsidRPr="00E60B05" w:rsidRDefault="00E60B05" w:rsidP="00E43C27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UREDBU</w:t>
      </w:r>
    </w:p>
    <w:p w:rsidR="00577E28" w:rsidRPr="00E60B05" w:rsidRDefault="00E60B05" w:rsidP="00E43C27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</w:t>
      </w:r>
      <w:r w:rsidR="00C577DB" w:rsidRP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UTVRĐIVANJU</w:t>
      </w:r>
      <w:r w:rsidR="00C577DB" w:rsidRP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PROGRAMA</w:t>
      </w:r>
      <w:r w:rsidR="00C577DB" w:rsidRP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PODRŠKE</w:t>
      </w:r>
      <w:r w:rsidR="00C577DB" w:rsidRP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MALIM</w:t>
      </w:r>
      <w:r w:rsidR="00C577DB" w:rsidRP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PREDUZEĆIMA</w:t>
      </w:r>
      <w:r w:rsidR="00C577DB" w:rsidRP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="00C577DB" w:rsidRP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NABAVKU</w:t>
      </w:r>
      <w:r w:rsidR="00C577DB" w:rsidRP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OPREME</w:t>
      </w:r>
      <w:r w:rsidR="00C577DB" w:rsidRP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C577DB" w:rsidRP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201</w:t>
      </w:r>
      <w:r w:rsidR="001A5F59" w:rsidRP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8</w:t>
      </w:r>
      <w:r w:rsidR="00C577DB" w:rsidRP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GODINI</w:t>
      </w:r>
      <w:r w:rsidR="00C577DB" w:rsidRP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</w:p>
    <w:p w:rsidR="00577E28" w:rsidRPr="00E60B05" w:rsidRDefault="00E60B05" w:rsidP="00577E28">
      <w:pPr>
        <w:spacing w:before="420" w:after="0" w:line="210" w:lineRule="atLeast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</w:t>
      </w:r>
    </w:p>
    <w:p w:rsidR="00577E28" w:rsidRPr="00E60B05" w:rsidRDefault="00E60B05" w:rsidP="00EF7DA6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Ovom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uredbom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utvrđuje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podrške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malim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preduzećima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nabavku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</w:t>
      </w:r>
      <w:r w:rsidR="001A5F59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8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godini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odštampan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ovu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uredbu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čini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njen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sastavni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deo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77E28" w:rsidRPr="00E60B05" w:rsidRDefault="00E60B05" w:rsidP="00577E28">
      <w:pPr>
        <w:spacing w:before="420" w:after="0" w:line="210" w:lineRule="atLeast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</w:t>
      </w:r>
    </w:p>
    <w:p w:rsidR="00577E28" w:rsidRPr="00E60B05" w:rsidRDefault="00E60B05" w:rsidP="00EF7DA6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sprovođenje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obezbeđena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članom</w:t>
      </w:r>
      <w:r w:rsidR="00C874D3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8.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budžetu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</w:t>
      </w:r>
      <w:r w:rsidR="00EF7DA6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8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godinu</w:t>
      </w:r>
      <w:r w:rsidR="00C874D3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77E28" w:rsidRPr="00E60B05" w:rsidRDefault="00E60B05" w:rsidP="00577E28">
      <w:pPr>
        <w:spacing w:before="420" w:after="0" w:line="210" w:lineRule="atLeast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</w:t>
      </w:r>
    </w:p>
    <w:p w:rsidR="00577E28" w:rsidRPr="00E60B05" w:rsidRDefault="00E60B05" w:rsidP="00EF7DA6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Ova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uredba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stupa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snagu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narednog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objavljivanja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Službenom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glasniku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577E28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”.</w:t>
      </w:r>
    </w:p>
    <w:p w:rsidR="008A228F" w:rsidRPr="00E60B05" w:rsidRDefault="008A228F" w:rsidP="00577E28">
      <w:pPr>
        <w:spacing w:before="100" w:beforeAutospacing="1" w:after="0" w:line="210" w:lineRule="atLeast"/>
        <w:ind w:firstLine="48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8C358B" w:rsidRPr="00E60B05" w:rsidRDefault="008C358B" w:rsidP="008C358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 w:eastAsia="en-US"/>
        </w:rPr>
      </w:pPr>
      <w:r w:rsidRPr="00E60B05">
        <w:rPr>
          <w:rFonts w:ascii="Times New Roman" w:eastAsia="Calibri" w:hAnsi="Times New Roman" w:cs="Times New Roman"/>
          <w:noProof/>
          <w:sz w:val="24"/>
          <w:szCs w:val="24"/>
          <w:lang w:val="sr-Latn-CS" w:eastAsia="en-US"/>
        </w:rPr>
        <w:t xml:space="preserve">05 </w:t>
      </w:r>
      <w:r w:rsidR="00E60B05">
        <w:rPr>
          <w:rFonts w:ascii="Times New Roman" w:eastAsia="Calibri" w:hAnsi="Times New Roman" w:cs="Times New Roman"/>
          <w:noProof/>
          <w:sz w:val="24"/>
          <w:szCs w:val="24"/>
          <w:lang w:val="sr-Latn-CS" w:eastAsia="en-US"/>
        </w:rPr>
        <w:t>Broj</w:t>
      </w:r>
      <w:r w:rsidRPr="00E60B05">
        <w:rPr>
          <w:rFonts w:ascii="Times New Roman" w:eastAsia="Calibri" w:hAnsi="Times New Roman" w:cs="Times New Roman"/>
          <w:noProof/>
          <w:sz w:val="24"/>
          <w:szCs w:val="24"/>
          <w:lang w:val="sr-Latn-CS" w:eastAsia="en-US"/>
        </w:rPr>
        <w:t xml:space="preserve">: </w:t>
      </w:r>
      <w:r w:rsidR="00DF62B8" w:rsidRPr="00E60B05">
        <w:rPr>
          <w:rFonts w:ascii="Times New Roman" w:eastAsia="Calibri" w:hAnsi="Times New Roman" w:cs="Times New Roman"/>
          <w:noProof/>
          <w:sz w:val="24"/>
          <w:szCs w:val="24"/>
          <w:lang w:val="sr-Latn-CS" w:eastAsia="en-US"/>
        </w:rPr>
        <w:t>110-1613/2018</w:t>
      </w:r>
    </w:p>
    <w:p w:rsidR="008C358B" w:rsidRPr="00E60B05" w:rsidRDefault="00E60B05" w:rsidP="008C358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en-US"/>
        </w:rPr>
        <w:t>U</w:t>
      </w:r>
      <w:r w:rsidR="008C358B" w:rsidRPr="00E60B05">
        <w:rPr>
          <w:rFonts w:ascii="Times New Roman" w:eastAsia="Calibri" w:hAnsi="Times New Roman" w:cs="Times New Roman"/>
          <w:noProof/>
          <w:sz w:val="24"/>
          <w:szCs w:val="24"/>
          <w:lang w:val="sr-Latn-CS"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en-US"/>
        </w:rPr>
        <w:t>Beogradu</w:t>
      </w:r>
      <w:r w:rsidR="008C358B" w:rsidRPr="00E60B05">
        <w:rPr>
          <w:rFonts w:ascii="Times New Roman" w:eastAsia="Calibri" w:hAnsi="Times New Roman" w:cs="Times New Roman"/>
          <w:noProof/>
          <w:sz w:val="24"/>
          <w:szCs w:val="24"/>
          <w:lang w:val="sr-Latn-CS" w:eastAsia="en-US"/>
        </w:rPr>
        <w:t xml:space="preserve">, 22.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en-US"/>
        </w:rPr>
        <w:t>februara</w:t>
      </w:r>
      <w:r w:rsidR="008C358B" w:rsidRPr="00E60B05">
        <w:rPr>
          <w:rFonts w:ascii="Times New Roman" w:eastAsia="Calibri" w:hAnsi="Times New Roman" w:cs="Times New Roman"/>
          <w:noProof/>
          <w:sz w:val="24"/>
          <w:szCs w:val="24"/>
          <w:lang w:val="sr-Latn-CS" w:eastAsia="en-US"/>
        </w:rPr>
        <w:t xml:space="preserve"> 2018.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en-US"/>
        </w:rPr>
        <w:t>godine</w:t>
      </w:r>
    </w:p>
    <w:p w:rsidR="008C358B" w:rsidRPr="00E60B05" w:rsidRDefault="008C358B" w:rsidP="008C358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 w:eastAsia="en-US"/>
        </w:rPr>
      </w:pPr>
    </w:p>
    <w:p w:rsidR="008C358B" w:rsidRPr="00E60B05" w:rsidRDefault="008C358B" w:rsidP="008C358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 w:eastAsia="en-US"/>
        </w:rPr>
      </w:pPr>
    </w:p>
    <w:p w:rsidR="008C358B" w:rsidRPr="00E60B05" w:rsidRDefault="00E60B05" w:rsidP="008C358B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en-US"/>
        </w:rPr>
        <w:t>V</w:t>
      </w:r>
      <w:r w:rsidR="008C358B" w:rsidRPr="00E60B05">
        <w:rPr>
          <w:rFonts w:ascii="Times New Roman" w:eastAsia="Calibri" w:hAnsi="Times New Roman" w:cs="Times New Roman"/>
          <w:noProof/>
          <w:sz w:val="24"/>
          <w:szCs w:val="24"/>
          <w:lang w:val="sr-Latn-CS"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en-US"/>
        </w:rPr>
        <w:t>L</w:t>
      </w:r>
      <w:r w:rsidR="008C358B" w:rsidRPr="00E60B05">
        <w:rPr>
          <w:rFonts w:ascii="Times New Roman" w:eastAsia="Calibri" w:hAnsi="Times New Roman" w:cs="Times New Roman"/>
          <w:noProof/>
          <w:sz w:val="24"/>
          <w:szCs w:val="24"/>
          <w:lang w:val="sr-Latn-CS"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en-US"/>
        </w:rPr>
        <w:t>A</w:t>
      </w:r>
      <w:r w:rsidR="008C358B" w:rsidRPr="00E60B05">
        <w:rPr>
          <w:rFonts w:ascii="Times New Roman" w:eastAsia="Calibri" w:hAnsi="Times New Roman" w:cs="Times New Roman"/>
          <w:noProof/>
          <w:sz w:val="24"/>
          <w:szCs w:val="24"/>
          <w:lang w:val="sr-Latn-CS"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en-US"/>
        </w:rPr>
        <w:t>D</w:t>
      </w:r>
      <w:r w:rsidR="008C358B" w:rsidRPr="00E60B05">
        <w:rPr>
          <w:rFonts w:ascii="Times New Roman" w:eastAsia="Calibri" w:hAnsi="Times New Roman" w:cs="Times New Roman"/>
          <w:noProof/>
          <w:sz w:val="24"/>
          <w:szCs w:val="24"/>
          <w:lang w:val="sr-Latn-CS"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en-US"/>
        </w:rPr>
        <w:t>A</w:t>
      </w:r>
    </w:p>
    <w:p w:rsidR="008C358B" w:rsidRPr="00E60B05" w:rsidRDefault="008C358B" w:rsidP="008C358B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8C358B" w:rsidRPr="00E60B05" w:rsidRDefault="008C358B" w:rsidP="008C358B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8C358B" w:rsidRPr="00E60B05" w:rsidRDefault="008C358B" w:rsidP="008C358B">
      <w:pPr>
        <w:spacing w:after="0" w:line="240" w:lineRule="auto"/>
        <w:ind w:left="2880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E60B0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Pr="00E60B0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ab/>
      </w:r>
      <w:r w:rsidRPr="00E60B0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ab/>
        <w:t xml:space="preserve">                                   </w:t>
      </w:r>
      <w:r w:rsidR="00E60B0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PREDSEDNIK</w:t>
      </w:r>
    </w:p>
    <w:p w:rsidR="008C358B" w:rsidRPr="00E60B05" w:rsidRDefault="008C358B" w:rsidP="008C358B">
      <w:pPr>
        <w:spacing w:after="0"/>
        <w:ind w:left="2880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8C358B" w:rsidRPr="00E60B05" w:rsidRDefault="008C358B" w:rsidP="008C358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 w:eastAsia="en-US"/>
        </w:rPr>
      </w:pPr>
      <w:r w:rsidRPr="00E60B0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                                                       </w:t>
      </w:r>
      <w:r w:rsidR="00DF62B8" w:rsidRPr="00E60B0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 </w:t>
      </w:r>
      <w:r w:rsidRPr="00E60B0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Ana</w:t>
      </w:r>
      <w:r w:rsidRPr="00E60B0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Brnabić</w:t>
      </w:r>
      <w:r w:rsidR="00DF62B8" w:rsidRPr="00E60B0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E60B0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</w:t>
      </w:r>
      <w:r w:rsidR="00DF62B8" w:rsidRPr="00E60B0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E60B0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</w:t>
      </w:r>
      <w:r w:rsidR="00DF62B8" w:rsidRPr="00E60B0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8E675C" w:rsidRPr="00E60B05" w:rsidRDefault="008E675C" w:rsidP="00577E28">
      <w:pPr>
        <w:spacing w:before="100" w:beforeAutospacing="1" w:after="0" w:line="210" w:lineRule="atLeast"/>
        <w:ind w:firstLine="48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8C358B" w:rsidRPr="00E60B05" w:rsidRDefault="008C358B" w:rsidP="00577E28">
      <w:pPr>
        <w:spacing w:before="100" w:beforeAutospacing="1" w:after="0" w:line="210" w:lineRule="atLeast"/>
        <w:ind w:firstLine="48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8C358B" w:rsidRPr="00E60B05" w:rsidRDefault="008C358B" w:rsidP="00577E28">
      <w:pPr>
        <w:spacing w:before="100" w:beforeAutospacing="1" w:after="0" w:line="210" w:lineRule="atLeast"/>
        <w:ind w:firstLine="48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8C358B" w:rsidRPr="00E60B05" w:rsidRDefault="008C358B" w:rsidP="00577E28">
      <w:pPr>
        <w:spacing w:before="100" w:beforeAutospacing="1" w:after="0" w:line="210" w:lineRule="atLeast"/>
        <w:ind w:firstLine="48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786782" w:rsidRPr="00E60B05" w:rsidRDefault="00786782">
      <w:pP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</w:pPr>
      <w:r w:rsidRPr="00E60B0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br w:type="page"/>
      </w:r>
    </w:p>
    <w:p w:rsidR="00786782" w:rsidRPr="00E60B05" w:rsidRDefault="00E60B05" w:rsidP="00786782">
      <w:pPr>
        <w:pStyle w:val="ListParagraph"/>
        <w:spacing w:after="0" w:line="210" w:lineRule="atLeast"/>
        <w:ind w:left="0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lastRenderedPageBreak/>
        <w:t>PROGRAM</w:t>
      </w:r>
      <w:r w:rsidR="00786782" w:rsidRPr="00E60B0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</w:p>
    <w:p w:rsidR="00786782" w:rsidRPr="00E60B05" w:rsidRDefault="00E60B05" w:rsidP="00786782">
      <w:pPr>
        <w:pStyle w:val="ListParagraph"/>
        <w:spacing w:after="0" w:line="210" w:lineRule="atLeast"/>
        <w:ind w:left="0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PODRŠKE</w:t>
      </w:r>
      <w:r w:rsidR="00786782" w:rsidRPr="00E60B0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MALIM</w:t>
      </w:r>
      <w:r w:rsidR="00786782" w:rsidRPr="00E60B0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PREDUZEĆIMA</w:t>
      </w:r>
      <w:r w:rsidR="00786782" w:rsidRPr="00E60B0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786782" w:rsidRPr="00E60B05">
        <w:rPr>
          <w:rFonts w:ascii="Times New Roman" w:hAnsi="Times New Roman"/>
          <w:bCs/>
          <w:noProof/>
          <w:sz w:val="24"/>
          <w:szCs w:val="24"/>
          <w:lang w:val="sr-Latn-CS"/>
        </w:rPr>
        <w:br/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NABAVKU</w:t>
      </w:r>
      <w:r w:rsidR="00786782" w:rsidRPr="00E60B0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OPREME</w:t>
      </w:r>
      <w:r w:rsidR="00786782" w:rsidRPr="00E60B0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GODINI</w:t>
      </w:r>
    </w:p>
    <w:p w:rsidR="00786782" w:rsidRPr="00E60B05" w:rsidRDefault="00786782" w:rsidP="00786782">
      <w:pPr>
        <w:pStyle w:val="ListParagraph"/>
        <w:spacing w:after="0" w:line="210" w:lineRule="atLeast"/>
        <w:ind w:left="0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786782" w:rsidRPr="00E60B05" w:rsidRDefault="00786782" w:rsidP="00786782">
      <w:pPr>
        <w:spacing w:after="0" w:line="210" w:lineRule="atLeast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1.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PREDMET</w:t>
      </w:r>
    </w:p>
    <w:p w:rsidR="00786782" w:rsidRPr="00E60B05" w:rsidRDefault="00786782" w:rsidP="00786782">
      <w:pPr>
        <w:spacing w:after="0" w:line="210" w:lineRule="atLeast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budžetu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113/17),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razdela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21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Glav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21.0,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1509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Podsticaji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razvoju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konkurentnosti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funkcija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410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Opšti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ekonomski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komercijalni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poslovi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poslovi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pitanju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4002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Podrška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razvoju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preduzetništva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ekonomska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klasifikacija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451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Subvencije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nefinansijskim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organizacijama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opredeljena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1.300.000.000,00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namenjena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realizaciju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Podrška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razvoju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preduzetništva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navedenih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550.000.000,00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namenjeno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podrške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malim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nabavku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opreme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786782"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). 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Neutrošena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6.322.062,70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preneta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Razvojnoj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Uredbom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utvrđivanju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podrške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malim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preduzećima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nabavku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RS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13/17)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koristiće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subvencionisanje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nabavke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malim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preduzećima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ovim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programom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predstavljaju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subvenciju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izuzeta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prinudne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naplate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predstavljaju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de minimis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državnu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pomoć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95–97.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pravilima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državne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pomoći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RS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13/10, 100/11, 91/12, 37/13, 97/13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119/14).</w:t>
      </w:r>
      <w:r w:rsidR="00786782" w:rsidRPr="00E60B05">
        <w:rPr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Podsticaji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dodeljuju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predstavljaju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namenska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subvenciju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takva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izuzeta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prinudne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naplate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shodno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48.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platnom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prometu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list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SRJ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3/02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5/03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RS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 43/04, 62/06, 111/09-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31/11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139/14 -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).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Programom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utvrđuju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ciljevi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praćenje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sprovodi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daljem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tekstu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saradnji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Razvojnom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agencijom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daljem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tekstu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odabranim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poslovnim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bankama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kompanijama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786782" w:rsidRPr="00E60B05" w:rsidRDefault="00786782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786782" w:rsidRPr="00E60B05" w:rsidRDefault="00786782" w:rsidP="00786782">
      <w:pPr>
        <w:spacing w:after="0" w:line="210" w:lineRule="atLeast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2.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CILJEVI</w:t>
      </w:r>
    </w:p>
    <w:p w:rsidR="00786782" w:rsidRPr="00E60B05" w:rsidRDefault="00786782" w:rsidP="00786782">
      <w:pPr>
        <w:spacing w:after="0" w:line="210" w:lineRule="atLeast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Cilj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jeste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jačanje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konkurentnosti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subjekata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unapređenje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njihovog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poslovanja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internacionalizacije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kreiranje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radnih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mesta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kroz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investicije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Specifični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ciljevi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786782" w:rsidRPr="00E60B05" w:rsidRDefault="00786782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unapređenje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tehnoloških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procesa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proizvodnje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786782" w:rsidRPr="00E60B05" w:rsidRDefault="00786782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poboljšanje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konkurentnosti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proizvođača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786782" w:rsidRPr="00E60B05" w:rsidRDefault="00786782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povećanje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obima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prometa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786782" w:rsidRPr="00E60B05" w:rsidRDefault="00786782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smanjenje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rizika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finansiranja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nabavke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proizvodne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786782" w:rsidRPr="00E60B05" w:rsidRDefault="00786782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5)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smanjenje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finansiranja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proizvodne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kroz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niže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kamatne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stope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/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naknade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786782" w:rsidRPr="00E60B05" w:rsidRDefault="00786782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6)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povećavanje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ponude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dugoročnih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izvora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finansiranja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786782" w:rsidRPr="00E60B05" w:rsidRDefault="00786782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7)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promovisanje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zaloge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primarnog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dovoljnog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obezbeđenja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786782" w:rsidRPr="00E60B05" w:rsidRDefault="00786782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 xml:space="preserve">8)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poboljšanje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kreditne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ponude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banaka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finansiranje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nabavke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proizvodne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786782" w:rsidRPr="00E60B05" w:rsidRDefault="00786782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9)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jačanje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partnerstva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između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banaka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javnog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sektora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unapređenju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izvora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finansiranja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786782" w:rsidRPr="00E60B05" w:rsidRDefault="00786782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786782" w:rsidRPr="00E60B05" w:rsidRDefault="00786782" w:rsidP="00786782">
      <w:pPr>
        <w:spacing w:after="0" w:line="210" w:lineRule="atLeast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3.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NAMENA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</w:p>
    <w:p w:rsidR="00786782" w:rsidRPr="00E60B05" w:rsidRDefault="00786782" w:rsidP="00786782">
      <w:pPr>
        <w:spacing w:after="0" w:line="210" w:lineRule="atLeast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opredeljena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Programom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namenjena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sufinansiranje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nabavke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proizvodne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direktno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uključene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proces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proizvodnje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razmenjivih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dobara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daljem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tekstu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proizvodne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786782" w:rsidRPr="00E60B05" w:rsidRDefault="00786782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proizvodne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/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mašina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786782" w:rsidRPr="00E60B05" w:rsidRDefault="00786782" w:rsidP="00786782">
      <w:pPr>
        <w:spacing w:after="0" w:line="210" w:lineRule="atLeast"/>
        <w:ind w:firstLine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transportno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manipulativnih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uključenih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proces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proizvodnje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unutrašnjeg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transporta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86782" w:rsidRPr="00E60B05" w:rsidRDefault="00786782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novih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delova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specijalizovanih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alata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mašine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drugih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kapitalnih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dobara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noProof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predmet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nabavku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dodeljuju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kupljena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fizičkog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osim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prodavac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preduzetnik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786782" w:rsidRPr="00E60B05">
        <w:rPr>
          <w:noProof/>
          <w:lang w:val="sr-Latn-CS"/>
        </w:rPr>
        <w:t xml:space="preserve"> </w:t>
      </w:r>
    </w:p>
    <w:p w:rsidR="00786782" w:rsidRPr="00E60B05" w:rsidRDefault="00786782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bude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isporučena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niti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plaćena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delimično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celosti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datuma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donošenja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mogu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koristiti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786782" w:rsidRPr="00E60B05" w:rsidRDefault="00786782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porez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dodatu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daljem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tekstu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PDV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);</w:t>
      </w:r>
    </w:p>
    <w:p w:rsidR="00786782" w:rsidRPr="00E60B05" w:rsidRDefault="00786782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pokrivanje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vezi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nabavkom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što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carinski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administrativni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transporta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špedicije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skladištenja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manipulacije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montaže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instaliranja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obuke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.;</w:t>
      </w:r>
    </w:p>
    <w:p w:rsidR="00786782" w:rsidRPr="00E60B05" w:rsidRDefault="00786782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pokrivanje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vezi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odobravanjem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sprovođenjem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bankarskog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finansijskog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što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obrade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kamate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trošak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kreditnog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biroa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korisnika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upisa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zaloge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registre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daljem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tekstu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APR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),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osiguranja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pokretnosti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kursnih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razlik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.;</w:t>
      </w:r>
    </w:p>
    <w:p w:rsidR="00786782" w:rsidRPr="00E60B05" w:rsidRDefault="00786782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refundaciju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nabavljenu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avansiranu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plaćenu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isporučenu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786782" w:rsidRPr="00E60B05" w:rsidRDefault="00786782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5)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zajmove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rate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otplatu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reprogram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a;</w:t>
      </w:r>
    </w:p>
    <w:p w:rsidR="00786782" w:rsidRPr="00E60B05" w:rsidRDefault="00786782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6)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ostale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nisu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namenom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786782" w:rsidRPr="00E60B05" w:rsidRDefault="00786782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786782" w:rsidRPr="00E60B05" w:rsidRDefault="00786782" w:rsidP="00786782">
      <w:pPr>
        <w:spacing w:after="0" w:line="210" w:lineRule="atLeast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4.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FINANSIJSKI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OKVIR</w:t>
      </w:r>
    </w:p>
    <w:p w:rsidR="00786782" w:rsidRPr="00E60B05" w:rsidRDefault="00786782" w:rsidP="00786782">
      <w:pPr>
        <w:spacing w:after="0" w:line="210" w:lineRule="atLeast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uključene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uslovno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odobre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finansiranje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mogu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ostvariti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sufinansiranje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25%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neto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nabavke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proizvodne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obezbedi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učešće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visini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5%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neto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proizvodne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preostalih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70%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neto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proizvodne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obezbediti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poslovnih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banaka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finansijskog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uključenih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sprovođenje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odobrene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pomoći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visini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25%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neto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proizvodne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manji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500.000,00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5.000.000,00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Neto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nabavna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iskazana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profakturi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/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predračunu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predugovoru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nudi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uključuje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PDV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transporta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bilo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vezi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nabavkom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puštanjem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Nabavna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profakturi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predračunu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predugovoru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ponudi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domaćih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dobavljača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mora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iskazana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dinarima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slučaju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nabavke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proizvodne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inostranstva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neto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iskazana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stranoj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valuti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profakturi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predračunu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predugovoru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preračunava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srednjem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kursu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Narodne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podnošenja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>Sve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eventualne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kasnije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nastale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negativne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kursne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razlike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slučaju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nabavke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inostranstva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snosi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podnosilac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786782" w:rsidRPr="00E60B05" w:rsidRDefault="00786782" w:rsidP="00786782">
      <w:pPr>
        <w:spacing w:after="0" w:line="210" w:lineRule="atLeast"/>
        <w:ind w:firstLine="48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786782" w:rsidRPr="00E60B05" w:rsidRDefault="00786782" w:rsidP="00786782">
      <w:pPr>
        <w:spacing w:after="0" w:line="210" w:lineRule="atLeast"/>
        <w:ind w:firstLine="48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4.1. </w:t>
      </w:r>
      <w:r w:rsid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Banke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slučaju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ukupna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neto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proizvodne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viša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20.000.000,00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korisnik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finansira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razliku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većim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sopstvenim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učešćem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ovaj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uveća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kreditni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kod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moraju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obezbede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visini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PDV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iskazanog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profakturi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mogu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uvećati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visini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PDV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privrednog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Korisnik</w:t>
      </w:r>
      <w:r w:rsidR="00786782" w:rsidRPr="00E60B0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sredstava</w:t>
      </w:r>
      <w:r w:rsidR="00786782" w:rsidRPr="00E60B0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ima</w:t>
      </w:r>
      <w:r w:rsidR="00786782" w:rsidRPr="00E60B0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zabranu</w:t>
      </w:r>
      <w:r w:rsidR="00786782" w:rsidRPr="00E60B0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otuđenja</w:t>
      </w:r>
      <w:r w:rsidR="00786782" w:rsidRPr="00E60B0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opreme</w:t>
      </w:r>
      <w:r w:rsidR="00786782" w:rsidRPr="00E60B0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dve</w:t>
      </w:r>
      <w:r w:rsidR="00786782" w:rsidRPr="00E60B0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godine</w:t>
      </w:r>
      <w:r w:rsidR="00786782" w:rsidRPr="00E60B0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="00786782" w:rsidRPr="00E60B0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dana</w:t>
      </w:r>
      <w:r w:rsidR="00786782" w:rsidRPr="00E60B0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zaključenja</w:t>
      </w:r>
      <w:r w:rsidR="00786782" w:rsidRPr="00E60B0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ugovora</w:t>
      </w:r>
      <w:r w:rsidR="00786782" w:rsidRPr="00E60B0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sa</w:t>
      </w:r>
      <w:r w:rsidR="00786782" w:rsidRPr="00E60B0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Razvojnom</w:t>
      </w:r>
      <w:r w:rsidR="00786782" w:rsidRPr="00E60B0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agencijom</w:t>
      </w:r>
      <w:r w:rsidR="00786782" w:rsidRPr="00E60B0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što</w:t>
      </w:r>
      <w:r w:rsidR="00786782" w:rsidRPr="00E60B0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kontrolišu</w:t>
      </w:r>
      <w:r w:rsidR="00786782" w:rsidRPr="00E60B0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bank</w:t>
      </w:r>
      <w:r w:rsidR="00786782" w:rsidRPr="00E60B0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Razvojna</w:t>
      </w:r>
      <w:r w:rsidR="00786782" w:rsidRPr="00E60B0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agencija</w:t>
      </w:r>
      <w:r w:rsidR="00786782" w:rsidRPr="00E60B0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izveštavaju</w:t>
      </w:r>
      <w:r w:rsidR="00786782" w:rsidRPr="00E60B0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Ministarstvo</w:t>
      </w:r>
      <w:r w:rsidR="00786782" w:rsidRPr="00E60B0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:rsidR="00786782" w:rsidRPr="00E60B05" w:rsidRDefault="00786782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:rsidR="00786782" w:rsidRPr="00E60B05" w:rsidRDefault="00786782" w:rsidP="00786782">
      <w:pPr>
        <w:spacing w:after="0" w:line="210" w:lineRule="atLeast"/>
        <w:ind w:firstLine="48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4.2. </w:t>
      </w:r>
      <w:r w:rsid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Lizing</w:t>
      </w:r>
      <w:r w:rsidRP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kompanij</w:t>
      </w:r>
      <w:r w:rsidRP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a</w:t>
      </w:r>
    </w:p>
    <w:p w:rsidR="00786782" w:rsidRPr="00E60B05" w:rsidRDefault="00786782" w:rsidP="00786782">
      <w:pPr>
        <w:spacing w:after="0" w:line="210" w:lineRule="atLeast"/>
        <w:ind w:firstLine="48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slučaju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ukupna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neto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proizvodne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viša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20.000.000,00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korisnik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pored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mogućnosti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pododeljka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4.1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finansira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razliku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većim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sopstvenim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učešćem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ovaj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uveća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finansijski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kod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moraju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obezbede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visini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PDV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iskazanog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profakturi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uključiti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finansiranje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PDV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privrednog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finansijskom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RS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55/03, 61/05, 31/11, 99/11 –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99/11 –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izmirenja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ukupnih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finansijskom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vlasnik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predmeta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izmirenju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navedenih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korisnik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postaje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vlasnik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predmeta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Korisnik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zabranu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otuđi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proizvodnu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najmanje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dve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zaključenja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Razvojnom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agencijom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obzira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mogućnost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prevremene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otplate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kontroliše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izveštavaju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786782" w:rsidRPr="00E60B05" w:rsidRDefault="00786782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786782" w:rsidRPr="00E60B05" w:rsidRDefault="00786782" w:rsidP="00786782">
      <w:pPr>
        <w:spacing w:after="0" w:line="210" w:lineRule="atLeast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5.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PRAVILA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POSTUPAK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br/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PROGRAMU</w:t>
      </w:r>
    </w:p>
    <w:p w:rsidR="00786782" w:rsidRPr="00E60B05" w:rsidRDefault="00786782" w:rsidP="00786782">
      <w:pPr>
        <w:spacing w:after="0" w:line="210" w:lineRule="atLeast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786782" w:rsidRPr="00E60B05" w:rsidRDefault="00786782" w:rsidP="00786782">
      <w:pPr>
        <w:spacing w:after="0" w:line="210" w:lineRule="atLeast"/>
        <w:ind w:firstLine="48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5.1. </w:t>
      </w:r>
      <w:r w:rsid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Korisnici</w:t>
      </w:r>
      <w:r w:rsidRP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bespovratnih</w:t>
      </w:r>
      <w:r w:rsidRP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sredstava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konkurs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786782" w:rsidRPr="00E60B05" w:rsidRDefault="00786782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registrovana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APR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društva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zadruge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razvrstana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mikro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mala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računovodstvu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RS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62/13)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prema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finansijskim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izveštajima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2016.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</w:p>
    <w:p w:rsidR="00786782" w:rsidRPr="00E60B05" w:rsidRDefault="00786782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preduzetnici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registrovani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APR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786782" w:rsidRPr="00E60B05" w:rsidRDefault="00786782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786782" w:rsidRPr="00E60B05" w:rsidRDefault="00786782" w:rsidP="00786782">
      <w:pPr>
        <w:spacing w:after="0" w:line="210" w:lineRule="atLeast"/>
        <w:ind w:firstLine="48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5.2. </w:t>
      </w:r>
      <w:r w:rsid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Uslovi</w:t>
      </w:r>
      <w:r w:rsidRP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koje</w:t>
      </w:r>
      <w:r w:rsidRP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moraju</w:t>
      </w:r>
      <w:r w:rsidRP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da</w:t>
      </w:r>
      <w:r w:rsidRP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ispune</w:t>
      </w:r>
      <w:r w:rsidRP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podnosioci</w:t>
      </w:r>
      <w:r w:rsidRP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prijave</w:t>
      </w:r>
      <w:r w:rsidRP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P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br/>
      </w:r>
      <w:r w:rsid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P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dodelu</w:t>
      </w:r>
      <w:r w:rsidRP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bespovratnih</w:t>
      </w:r>
      <w:r w:rsidRP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sredstava</w:t>
      </w:r>
    </w:p>
    <w:p w:rsidR="00786782" w:rsidRPr="00E60B05" w:rsidRDefault="00786782" w:rsidP="00786782">
      <w:pPr>
        <w:spacing w:after="0" w:line="210" w:lineRule="atLeast"/>
        <w:ind w:firstLine="48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786782" w:rsidRPr="00E60B05" w:rsidRDefault="00786782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podneli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jednoj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banaka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uključenih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786782" w:rsidRPr="00E60B05" w:rsidRDefault="00786782" w:rsidP="00786782">
      <w:pPr>
        <w:spacing w:after="0" w:line="210" w:lineRule="atLeast"/>
        <w:ind w:firstLine="48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 w:rsidR="00E60B05">
        <w:rPr>
          <w:rFonts w:ascii="Times New Roman" w:hAnsi="Times New Roman"/>
          <w:noProof/>
          <w:sz w:val="24"/>
          <w:szCs w:val="24"/>
          <w:lang w:val="sr-Latn-CS"/>
        </w:rPr>
        <w:t>popunjen</w:t>
      </w:r>
      <w:r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/>
          <w:noProof/>
          <w:sz w:val="24"/>
          <w:szCs w:val="24"/>
          <w:lang w:val="sr-Latn-CS"/>
        </w:rPr>
        <w:t>dodelu</w:t>
      </w:r>
      <w:r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/>
          <w:noProof/>
          <w:sz w:val="24"/>
          <w:szCs w:val="24"/>
          <w:lang w:val="sr-Latn-CS"/>
        </w:rPr>
        <w:t>potrebnom</w:t>
      </w:r>
      <w:r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/>
          <w:noProof/>
          <w:sz w:val="24"/>
          <w:szCs w:val="24"/>
          <w:lang w:val="sr-Latn-CS"/>
        </w:rPr>
        <w:t>dokumentacijom</w:t>
      </w:r>
      <w:r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/>
          <w:noProof/>
          <w:sz w:val="24"/>
          <w:szCs w:val="24"/>
          <w:lang w:val="sr-Latn-CS"/>
        </w:rPr>
        <w:t>kojom</w:t>
      </w:r>
      <w:r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/>
          <w:noProof/>
          <w:sz w:val="24"/>
          <w:szCs w:val="24"/>
          <w:lang w:val="sr-Latn-CS"/>
        </w:rPr>
        <w:t>dokazuju</w:t>
      </w:r>
      <w:r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/>
          <w:noProof/>
          <w:sz w:val="24"/>
          <w:szCs w:val="24"/>
          <w:lang w:val="sr-Latn-CS"/>
        </w:rPr>
        <w:t>odeljka</w:t>
      </w:r>
      <w:r w:rsidRPr="00E60B0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86782" w:rsidRPr="00E60B05" w:rsidRDefault="00786782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profakturu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/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predračun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/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predugovor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/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ponudu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stariju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poziva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786782" w:rsidRPr="00E60B05" w:rsidRDefault="00786782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sliku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profakture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786782" w:rsidRPr="00E60B05" w:rsidRDefault="00786782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 xml:space="preserve">2)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upisani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registar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APR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najkasnije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31.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decembra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2016.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786782" w:rsidRPr="00E60B05" w:rsidRDefault="00786782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3)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razvrstani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srednje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veliko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računovodstvu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finansijskim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izveštajima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2016. 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86782" w:rsidRPr="00E60B05" w:rsidRDefault="00786782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njima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pokrenut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stečajni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postupak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postupak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likvidacije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786782" w:rsidRPr="00E60B05" w:rsidRDefault="00786782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5)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izmirili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dospele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javnih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786782" w:rsidRPr="00E60B05" w:rsidRDefault="00786782" w:rsidP="00786782">
      <w:pPr>
        <w:tabs>
          <w:tab w:val="left" w:pos="567"/>
        </w:tabs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6)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dve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podnošenja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izrečena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pravosnažna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zabrane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obavljanja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delatnosti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786782" w:rsidRPr="00E60B05" w:rsidRDefault="00786782" w:rsidP="00786782">
      <w:pPr>
        <w:tabs>
          <w:tab w:val="left" w:pos="567"/>
        </w:tabs>
        <w:spacing w:after="0" w:line="210" w:lineRule="atLeast"/>
        <w:ind w:firstLine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7)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vlasnici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odgovorna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nisu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osuđivani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krivična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protiv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periodu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pet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786782" w:rsidRPr="00E60B05" w:rsidRDefault="00786782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8)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većinskom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privatnom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vlasništvu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786782" w:rsidRPr="00E60B05" w:rsidRDefault="00786782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9)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nisu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grupi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povezanih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kojoj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neki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članova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velika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srednja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786782" w:rsidRPr="00E60B05" w:rsidRDefault="00786782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10)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svrha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namena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investiranja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proizvodnu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prirodom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delatnosti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786782" w:rsidRPr="00E60B05" w:rsidRDefault="00786782" w:rsidP="00786782">
      <w:pPr>
        <w:spacing w:after="0" w:line="210" w:lineRule="atLeast"/>
        <w:ind w:firstLine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11)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društva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zadruge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preduzetnici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prema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evidenciji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Centralnog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registra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obaveznog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socijalnog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osiguranja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radnika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30. 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decembra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2017. 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imali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jednog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zaposlenog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neodređeno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preduzetnik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osnivač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bio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obveznik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doprinosa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obavljanja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samostalne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E60B05">
        <w:rPr>
          <w:noProof/>
          <w:lang w:val="sr-Latn-CS"/>
        </w:rPr>
        <w:t xml:space="preserve"> 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drugoj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hAnsi="Times New Roman" w:cs="Times New Roman"/>
          <w:noProof/>
          <w:sz w:val="24"/>
          <w:szCs w:val="24"/>
          <w:lang w:val="sr-Latn-CS"/>
        </w:rPr>
        <w:t>osnovi</w:t>
      </w:r>
      <w:r w:rsidRPr="00E60B0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86782" w:rsidRPr="00E60B05" w:rsidRDefault="00786782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12)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obavljaju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delatnosti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sledećim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sektorima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786782" w:rsidRPr="00E60B05" w:rsidRDefault="00E60B05" w:rsidP="00786782">
      <w:pPr>
        <w:pStyle w:val="ListParagraph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primarna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poljoprivredna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proizvodnja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Primarna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poljoprivredna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proizvodnja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ostalog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obuhvata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gajenje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biljnih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kultura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domaćih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životinja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ostale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namene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neposrednoj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gajenjem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biljaka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životinja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čuvanje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skladištenje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 (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isključena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nabavka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pakovanja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sortiranja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prerade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zamrzavanja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npr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hladnjače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sušare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>);</w:t>
      </w:r>
    </w:p>
    <w:p w:rsidR="00786782" w:rsidRPr="00E60B05" w:rsidRDefault="00E60B05" w:rsidP="00786782">
      <w:pPr>
        <w:pStyle w:val="ListParagraph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izvođenje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građevinskih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radova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proizvodnja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građevinskih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dozvoljena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>);</w:t>
      </w:r>
    </w:p>
    <w:p w:rsidR="00786782" w:rsidRPr="00E60B05" w:rsidRDefault="00E60B05" w:rsidP="00786782">
      <w:pPr>
        <w:pStyle w:val="ListParagraph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saobraćaj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transport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86782" w:rsidRPr="00E60B05" w:rsidRDefault="00E60B05" w:rsidP="00786782">
      <w:pPr>
        <w:pStyle w:val="ListParagraph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proizvodnja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duvanskih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86782" w:rsidRPr="00E60B05" w:rsidRDefault="00E60B05" w:rsidP="00786782">
      <w:pPr>
        <w:pStyle w:val="ListParagraph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oblik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trgovinske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turističke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ugostiteljske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izuzev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pekara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industrijskom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proizvodnjom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prodajom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keteringa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86782" w:rsidRPr="00E60B05" w:rsidRDefault="00E60B05" w:rsidP="00786782">
      <w:pPr>
        <w:pStyle w:val="ListParagraph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štampanje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umnožavanje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audio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video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zapisa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izuzev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štamparskih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786782" w:rsidRPr="00E60B05" w:rsidRDefault="00E60B05" w:rsidP="00786782">
      <w:pPr>
        <w:pStyle w:val="ListParagraph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uslužne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uključujući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ostalog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konsultantske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marketinške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računovodstvene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istraživanja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tržišta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ostale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informacione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tehnologije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proizvodnje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emitovanja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digitalnog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sadržaja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); </w:t>
      </w:r>
    </w:p>
    <w:p w:rsidR="00786782" w:rsidRPr="00E60B05" w:rsidRDefault="00E60B05" w:rsidP="00786782">
      <w:pPr>
        <w:pStyle w:val="ListParagraph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organizovanje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igara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sreću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lutrija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sličnih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786782" w:rsidRPr="00E60B05" w:rsidRDefault="00E60B05" w:rsidP="00786782">
      <w:pPr>
        <w:pStyle w:val="ListParagraph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proizvodnja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prodaja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oružja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vojne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786782" w:rsidRPr="00E60B05" w:rsidRDefault="00E60B05" w:rsidP="00786782">
      <w:pPr>
        <w:pStyle w:val="ListParagraph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proizvodnja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promet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nafte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naftnih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derivata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786782" w:rsidRPr="00E60B05" w:rsidRDefault="00E60B05" w:rsidP="00786782">
      <w:pPr>
        <w:pStyle w:val="ListParagraph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proizvodnja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čelika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sintetičkih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vlakana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vađenje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uglja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86782" w:rsidRPr="00E60B05" w:rsidRDefault="00E60B05" w:rsidP="00786782">
      <w:pPr>
        <w:pStyle w:val="ListParagraph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proizvodnja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promet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kog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domaćim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konvencijama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sporazumima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smatraju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zabranjenim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86782" w:rsidRPr="00E60B05" w:rsidRDefault="00E60B05" w:rsidP="00786782">
      <w:pPr>
        <w:pStyle w:val="Text1"/>
        <w:spacing w:after="0"/>
        <w:ind w:left="0" w:firstLine="426"/>
        <w:rPr>
          <w:noProof/>
          <w:szCs w:val="24"/>
        </w:rPr>
      </w:pPr>
      <w:r>
        <w:rPr>
          <w:noProof/>
          <w:szCs w:val="24"/>
        </w:rPr>
        <w:t>Sredstva</w:t>
      </w:r>
      <w:r w:rsidR="00786782" w:rsidRPr="00E60B05">
        <w:rPr>
          <w:noProof/>
          <w:szCs w:val="24"/>
        </w:rPr>
        <w:t xml:space="preserve"> </w:t>
      </w:r>
      <w:r>
        <w:rPr>
          <w:noProof/>
          <w:szCs w:val="24"/>
        </w:rPr>
        <w:t>po</w:t>
      </w:r>
      <w:r w:rsidR="00786782" w:rsidRPr="00E60B05">
        <w:rPr>
          <w:noProof/>
          <w:szCs w:val="24"/>
        </w:rPr>
        <w:t xml:space="preserve"> </w:t>
      </w:r>
      <w:r>
        <w:rPr>
          <w:noProof/>
          <w:szCs w:val="24"/>
        </w:rPr>
        <w:t>ovom</w:t>
      </w:r>
      <w:r w:rsidR="00786782" w:rsidRPr="00E60B05">
        <w:rPr>
          <w:noProof/>
          <w:szCs w:val="24"/>
        </w:rPr>
        <w:t xml:space="preserve"> </w:t>
      </w:r>
      <w:r>
        <w:rPr>
          <w:noProof/>
          <w:szCs w:val="24"/>
        </w:rPr>
        <w:t>programu</w:t>
      </w:r>
      <w:r w:rsidR="00786782" w:rsidRPr="00E60B05">
        <w:rPr>
          <w:noProof/>
          <w:szCs w:val="24"/>
        </w:rPr>
        <w:t xml:space="preserve"> </w:t>
      </w:r>
      <w:r>
        <w:rPr>
          <w:noProof/>
          <w:szCs w:val="24"/>
        </w:rPr>
        <w:t>ne</w:t>
      </w:r>
      <w:r w:rsidR="00786782" w:rsidRPr="00E60B05">
        <w:rPr>
          <w:noProof/>
          <w:szCs w:val="24"/>
        </w:rPr>
        <w:t xml:space="preserve"> </w:t>
      </w:r>
      <w:r>
        <w:rPr>
          <w:noProof/>
          <w:szCs w:val="24"/>
        </w:rPr>
        <w:t>mogu</w:t>
      </w:r>
      <w:r w:rsidR="00786782" w:rsidRPr="00E60B05">
        <w:rPr>
          <w:noProof/>
          <w:szCs w:val="24"/>
        </w:rPr>
        <w:t xml:space="preserve"> </w:t>
      </w:r>
      <w:r>
        <w:rPr>
          <w:noProof/>
          <w:szCs w:val="24"/>
        </w:rPr>
        <w:t>se</w:t>
      </w:r>
      <w:r w:rsidR="00786782" w:rsidRPr="00E60B05">
        <w:rPr>
          <w:noProof/>
          <w:szCs w:val="24"/>
        </w:rPr>
        <w:t xml:space="preserve"> </w:t>
      </w:r>
      <w:r>
        <w:rPr>
          <w:noProof/>
          <w:szCs w:val="24"/>
        </w:rPr>
        <w:t>koristiti</w:t>
      </w:r>
      <w:r w:rsidR="00786782" w:rsidRPr="00E60B05">
        <w:rPr>
          <w:noProof/>
          <w:szCs w:val="24"/>
        </w:rPr>
        <w:t xml:space="preserve"> </w:t>
      </w:r>
      <w:r>
        <w:rPr>
          <w:noProof/>
          <w:szCs w:val="24"/>
        </w:rPr>
        <w:t>ni</w:t>
      </w:r>
      <w:r w:rsidR="00786782" w:rsidRPr="00E60B05">
        <w:rPr>
          <w:noProof/>
          <w:szCs w:val="24"/>
        </w:rPr>
        <w:t xml:space="preserve"> </w:t>
      </w:r>
      <w:r>
        <w:rPr>
          <w:noProof/>
          <w:szCs w:val="24"/>
        </w:rPr>
        <w:t>za</w:t>
      </w:r>
      <w:r w:rsidR="00786782" w:rsidRPr="00E60B05">
        <w:rPr>
          <w:noProof/>
          <w:szCs w:val="24"/>
        </w:rPr>
        <w:t xml:space="preserve"> </w:t>
      </w:r>
      <w:r>
        <w:rPr>
          <w:noProof/>
          <w:szCs w:val="24"/>
        </w:rPr>
        <w:t>projekte</w:t>
      </w:r>
      <w:r w:rsidR="00786782" w:rsidRPr="00E60B05">
        <w:rPr>
          <w:noProof/>
          <w:szCs w:val="24"/>
        </w:rPr>
        <w:t xml:space="preserve"> </w:t>
      </w:r>
      <w:r>
        <w:rPr>
          <w:noProof/>
          <w:szCs w:val="24"/>
        </w:rPr>
        <w:t>privrednih</w:t>
      </w:r>
      <w:r w:rsidR="00786782" w:rsidRPr="00E60B05">
        <w:rPr>
          <w:noProof/>
          <w:szCs w:val="24"/>
        </w:rPr>
        <w:t xml:space="preserve"> </w:t>
      </w:r>
      <w:r>
        <w:rPr>
          <w:noProof/>
          <w:szCs w:val="24"/>
        </w:rPr>
        <w:t>subjekata</w:t>
      </w:r>
      <w:r w:rsidR="00786782" w:rsidRPr="00E60B05">
        <w:rPr>
          <w:noProof/>
          <w:szCs w:val="24"/>
        </w:rPr>
        <w:t xml:space="preserve"> </w:t>
      </w:r>
      <w:r>
        <w:rPr>
          <w:noProof/>
          <w:szCs w:val="24"/>
        </w:rPr>
        <w:t>u</w:t>
      </w:r>
      <w:r w:rsidR="00786782" w:rsidRPr="00E60B05">
        <w:rPr>
          <w:noProof/>
          <w:szCs w:val="24"/>
        </w:rPr>
        <w:t xml:space="preserve"> </w:t>
      </w:r>
      <w:r>
        <w:rPr>
          <w:noProof/>
          <w:szCs w:val="24"/>
        </w:rPr>
        <w:t>drugim</w:t>
      </w:r>
      <w:r w:rsidR="00786782" w:rsidRPr="00E60B05">
        <w:rPr>
          <w:noProof/>
          <w:szCs w:val="24"/>
        </w:rPr>
        <w:t xml:space="preserve"> </w:t>
      </w:r>
      <w:r>
        <w:rPr>
          <w:noProof/>
          <w:szCs w:val="24"/>
        </w:rPr>
        <w:t>delatnostima</w:t>
      </w:r>
      <w:r w:rsidR="00786782" w:rsidRPr="00E60B05">
        <w:rPr>
          <w:noProof/>
          <w:szCs w:val="24"/>
        </w:rPr>
        <w:t xml:space="preserve">, </w:t>
      </w:r>
      <w:r>
        <w:rPr>
          <w:noProof/>
          <w:szCs w:val="24"/>
        </w:rPr>
        <w:t>ako</w:t>
      </w:r>
      <w:r w:rsidR="00786782" w:rsidRPr="00E60B05">
        <w:rPr>
          <w:noProof/>
          <w:szCs w:val="24"/>
        </w:rPr>
        <w:t xml:space="preserve"> </w:t>
      </w:r>
      <w:r>
        <w:rPr>
          <w:noProof/>
          <w:szCs w:val="24"/>
        </w:rPr>
        <w:t>ne</w:t>
      </w:r>
      <w:r w:rsidR="00786782" w:rsidRPr="00E60B05">
        <w:rPr>
          <w:noProof/>
          <w:szCs w:val="24"/>
        </w:rPr>
        <w:t xml:space="preserve"> </w:t>
      </w:r>
      <w:r>
        <w:rPr>
          <w:noProof/>
          <w:szCs w:val="24"/>
        </w:rPr>
        <w:t>doprinose</w:t>
      </w:r>
      <w:r w:rsidR="00786782" w:rsidRPr="00E60B05">
        <w:rPr>
          <w:noProof/>
          <w:szCs w:val="24"/>
        </w:rPr>
        <w:t xml:space="preserve"> </w:t>
      </w:r>
      <w:r>
        <w:rPr>
          <w:noProof/>
          <w:szCs w:val="24"/>
        </w:rPr>
        <w:t>ostvarivanju</w:t>
      </w:r>
      <w:r w:rsidR="00786782" w:rsidRPr="00E60B05">
        <w:rPr>
          <w:noProof/>
          <w:szCs w:val="24"/>
        </w:rPr>
        <w:t xml:space="preserve"> </w:t>
      </w:r>
      <w:r>
        <w:rPr>
          <w:noProof/>
          <w:szCs w:val="24"/>
        </w:rPr>
        <w:t>specifičnih</w:t>
      </w:r>
      <w:r w:rsidR="00786782" w:rsidRPr="00E60B05">
        <w:rPr>
          <w:noProof/>
          <w:szCs w:val="24"/>
        </w:rPr>
        <w:t xml:space="preserve"> </w:t>
      </w:r>
      <w:r>
        <w:rPr>
          <w:noProof/>
          <w:szCs w:val="24"/>
        </w:rPr>
        <w:t>ciljeva</w:t>
      </w:r>
      <w:r w:rsidR="00786782" w:rsidRPr="00E60B05">
        <w:rPr>
          <w:noProof/>
          <w:szCs w:val="24"/>
        </w:rPr>
        <w:t xml:space="preserve"> </w:t>
      </w:r>
      <w:r>
        <w:rPr>
          <w:noProof/>
          <w:szCs w:val="24"/>
        </w:rPr>
        <w:t>Programa</w:t>
      </w:r>
      <w:r w:rsidR="00786782" w:rsidRPr="00E60B05">
        <w:rPr>
          <w:noProof/>
          <w:szCs w:val="24"/>
        </w:rPr>
        <w:t>.</w:t>
      </w:r>
    </w:p>
    <w:p w:rsidR="00786782" w:rsidRPr="00E60B05" w:rsidRDefault="00786782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13)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nisu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teškoćama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prema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sledećoj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definiciji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teškoćama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sposoban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sopstvenim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sredstvima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sredstvima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svojih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vlasnika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akcionara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poverilaca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sredstvima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izvora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tržištu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spreči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gubitke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intervencije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države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kratkoročno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srednjoročno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ugrozili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njegov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opstanak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teškoćama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786782" w:rsidRPr="00E60B05" w:rsidRDefault="00786782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 xml:space="preserve">–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odgovornost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njegove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dugove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ograničena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izgubio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više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polovine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osnovnog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kapitala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čega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poslednjih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12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meseci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izgubio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više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četvrtine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osnovnog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kapitala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786782" w:rsidRPr="00E60B05" w:rsidRDefault="00786782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–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najmanje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jedno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neograničeno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odgovora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njegove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dugove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finansijskim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izveštajima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prikazano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njegov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kapital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smanjen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više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polovine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čega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poslednjih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12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meseci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izgubljeno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više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četvrtine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kapitala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786782" w:rsidRPr="00E60B05" w:rsidRDefault="00786782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–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ispunjava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otvaranje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stečajnog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postupka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teškoćama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ispunjen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nijedan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postoje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očigledni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pokazatelji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ukazuju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teškoćama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rast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gubitaka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smanjenje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ukupnog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rast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zaliha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višak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kapaciteta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smanjenje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novčanih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tokova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rast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duga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porast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kamata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pad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nulta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neto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imovine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najvećim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teškoćama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nesposoban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plaćanje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insolventan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otvoren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stečajni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postupak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osnovan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manje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smatra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subjektom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teškoćama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izuzev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malom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srednjem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privrednom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ispunjava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otvaranje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stečajnog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postupka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786782" w:rsidRPr="00E60B05" w:rsidRDefault="00786782" w:rsidP="00786782">
      <w:pPr>
        <w:spacing w:after="0" w:line="210" w:lineRule="atLeast"/>
        <w:ind w:firstLine="480"/>
        <w:jc w:val="both"/>
        <w:rPr>
          <w:noProof/>
          <w:lang w:val="sr-Latn-CS"/>
        </w:rPr>
      </w:pP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14)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tekućoj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fiskalnoj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prethodne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dve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2016, 2017.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2018.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nisu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primili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državnu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pomoć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čija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visina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zajedno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traženim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sredstvima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prekoračila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23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miliona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Pr="00E60B05">
        <w:rPr>
          <w:noProof/>
          <w:lang w:val="sr-Latn-CS"/>
        </w:rPr>
        <w:t>.</w:t>
      </w:r>
    </w:p>
    <w:p w:rsidR="00786782" w:rsidRPr="00E60B05" w:rsidRDefault="00786782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786782" w:rsidRPr="00E60B05" w:rsidRDefault="00786782" w:rsidP="00786782">
      <w:pPr>
        <w:spacing w:after="0" w:line="210" w:lineRule="atLeast"/>
        <w:ind w:firstLine="48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5.3. </w:t>
      </w:r>
      <w:r w:rsid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Podnošenje</w:t>
      </w:r>
      <w:r w:rsidRP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zahteva</w:t>
      </w:r>
      <w:r w:rsidRP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P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dodelu</w:t>
      </w:r>
      <w:r w:rsidRP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bespovratnih</w:t>
      </w:r>
      <w:r w:rsidRP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sredstava</w:t>
      </w:r>
    </w:p>
    <w:p w:rsidR="00786782" w:rsidRPr="00E60B05" w:rsidRDefault="00786782" w:rsidP="00786782">
      <w:pPr>
        <w:spacing w:after="0" w:line="210" w:lineRule="atLeast"/>
        <w:ind w:firstLine="48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nakon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izbora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poslovnih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banaka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učešće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objaviti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poziv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subjektima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najmanje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jednom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listu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distribuira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celoj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teritoriji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poziv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informacija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sprovođenja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konkursna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informacija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uslovima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izabranih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banaka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biće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objavljeni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internet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stranici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www.privreda.gov.rs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 www.ras.gov.rs.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poziv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otvoren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utroše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istovremeno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zahtevom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finansijski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ekspozituri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filijali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poslovnih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banaka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učestvuju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dostavljanjem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popunjenog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obrasca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prateće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kojom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dokazuje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ispunjenost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pododeljaka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5.1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5.2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primati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isključivo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subjekata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zadovoljavaju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predali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neophodnu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konkursnu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mogu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podneti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jedan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nabavku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kod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kod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finansiranje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kod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biće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uzet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razmatranje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podnet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nakon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prijema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privrednom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odbijen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prvobitan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786782" w:rsidRPr="00E60B05" w:rsidRDefault="00786782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786782" w:rsidRPr="00E60B05" w:rsidRDefault="00786782" w:rsidP="00786782">
      <w:pPr>
        <w:spacing w:after="0" w:line="210" w:lineRule="atLeast"/>
        <w:ind w:firstLine="48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5.4. </w:t>
      </w:r>
      <w:r w:rsid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Postupak</w:t>
      </w:r>
      <w:r w:rsidRP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dodele</w:t>
      </w:r>
      <w:r w:rsidRP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bespovratnih</w:t>
      </w:r>
      <w:r w:rsidRP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sredstava</w:t>
      </w:r>
    </w:p>
    <w:p w:rsidR="00786782" w:rsidRPr="00E60B05" w:rsidRDefault="00786782" w:rsidP="00786782">
      <w:pPr>
        <w:spacing w:after="0" w:line="210" w:lineRule="atLeast"/>
        <w:ind w:firstLine="48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Nakon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prijema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finansijski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ocenjuje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podneti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finansijski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privrednog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donosi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preliminarnu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prihvatanju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odbijanju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Informacije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svim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primljenim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zahtevima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dodelom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predlogom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odobrenjem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odbijanjem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kreditnog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>finansiranjem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obrazloženje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razloga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odbijanja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potrebnu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nedeljnom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nivou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dostavlja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Komisiji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rešenjem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obrazuje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Komisija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vrši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pregledanje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kontrolu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formalne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ispravnosti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donosi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prihvatanju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redosledu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prijema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formalno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ispravnih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Komisija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odlučuje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svim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naknadnim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zahtevima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korisnika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izmenama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usled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nastupanja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neplaniranih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okolnosti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Kriterijumi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Komisija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vrši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kontrolu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ispravnosti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definisani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pododeljku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5.1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5.2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potpunijeg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sagledavanja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ispunjenosti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kriterijuma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Komisija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zatraži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dodatnu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pojašnjenja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predloga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izvrši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naknadnu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verifikaciju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podnete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prihvatanju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odbijanju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dodelom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dostavlja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Razvojnoj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poslovnoj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banci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kod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podnet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prihvatanju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obavezno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sadrži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obaveštenje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korisnika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dodeljuje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de minimis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drž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pomoć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osam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donošenja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obaveštavaju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15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dostavljanja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zaključuju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finansijskom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nabavku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subjektom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Kandidati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dobiti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četiri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primeraka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nakon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potpisivanja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vratiti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Razvojnoj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Datumom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zaključenja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smatra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onaj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datum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kada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potpisan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direktora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zaveden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Razvojnoj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nisu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potpisali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predviđenom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smatraće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odustali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dodeljenih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Ukoliko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potpiše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bankom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finansijskom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kompanijom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zaključen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Razvojnom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agencijom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smatra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ništavim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naročito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sadrži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novčani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dodeljuje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korisniku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dodeljuju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prenosa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korisnika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ukoliko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budžeta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iskoristi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namenski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mora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vrati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ugovorom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korisnika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nabavku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okonča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najkasnije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šest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meseci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zaključenja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vremenski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okvir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kupljenu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podršku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dodeljenih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otuđi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prilaže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blanko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menica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obezbeđenja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slučaju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utvrdi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nenamensko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trošenje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eventualne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zloupotrebe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pet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zaključenja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bankom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kompanijom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dužan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uplati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ugovoreno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učešće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učešće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određeno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odeljkom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Finansijski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okvir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zaključenju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15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uplate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učešća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subjekata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preneti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odobrena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poseban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namenski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račun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privrednog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slučaju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korisnik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dužan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banci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kopiju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fakture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kojoj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izvršena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nabavka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kopiju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proslede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Razvojnoj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slučaju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finansijskog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kopiju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fakture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korisnikom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prosledi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Razvojnoj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>Nakon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donošenja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Komisije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navedena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profakturi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dobavljač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mogu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menjati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osim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posebno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opravdanim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slučajevima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obrazložen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klijenta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slučaju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Komisija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odobriti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promenu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dobavljača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ali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funkcionalne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predmet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kreditiranja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786782" w:rsidRPr="00E60B05" w:rsidRDefault="00786782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786782" w:rsidRPr="00E60B05" w:rsidRDefault="00786782" w:rsidP="00786782">
      <w:pPr>
        <w:spacing w:after="0" w:line="210" w:lineRule="atLeast"/>
        <w:ind w:firstLine="48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5.5. </w:t>
      </w:r>
      <w:r w:rsid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Postupak</w:t>
      </w:r>
      <w:r w:rsidRP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</w:t>
      </w:r>
      <w:r w:rsidRP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prigovoru</w:t>
      </w:r>
    </w:p>
    <w:p w:rsidR="00786782" w:rsidRPr="00E60B05" w:rsidRDefault="00786782" w:rsidP="00786782">
      <w:pPr>
        <w:spacing w:after="0" w:line="210" w:lineRule="atLeast"/>
        <w:ind w:firstLine="48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Kandidati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Komisija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odbila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prigovor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osam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prijema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Prigovor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ministru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neposredno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preporučenom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poštom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adresu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Kneza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Miloša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20, 11000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Beograd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prigovoru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odlučuje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prijema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prigovora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786782" w:rsidRPr="00E60B05" w:rsidRDefault="00786782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786782" w:rsidRPr="00E60B05" w:rsidRDefault="00786782" w:rsidP="00786782">
      <w:pPr>
        <w:spacing w:after="0" w:line="210" w:lineRule="atLeast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6.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</w:p>
    <w:p w:rsidR="00786782" w:rsidRPr="00E60B05" w:rsidRDefault="00786782" w:rsidP="00786782">
      <w:pPr>
        <w:spacing w:after="0" w:line="210" w:lineRule="atLeast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786782" w:rsidRPr="00E60B05" w:rsidRDefault="00786782" w:rsidP="00786782">
      <w:pPr>
        <w:spacing w:after="0" w:line="210" w:lineRule="atLeast"/>
        <w:ind w:firstLine="48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6.1. </w:t>
      </w:r>
      <w:r w:rsid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Odabir</w:t>
      </w:r>
      <w:r w:rsidRP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banaka</w:t>
      </w:r>
      <w:r w:rsidRP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lizing</w:t>
      </w:r>
      <w:r w:rsidRP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kompanija</w:t>
      </w:r>
      <w:r w:rsidRP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P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učešće</w:t>
      </w:r>
      <w:r w:rsidRP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P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br/>
      </w:r>
      <w:r w:rsid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P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realizaciji</w:t>
      </w:r>
      <w:r w:rsidRP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Programa</w:t>
      </w:r>
      <w:r w:rsidRP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</w:p>
    <w:p w:rsidR="00786782" w:rsidRPr="00E60B05" w:rsidRDefault="00786782" w:rsidP="00786782">
      <w:pPr>
        <w:spacing w:after="0" w:line="210" w:lineRule="atLeast"/>
        <w:ind w:firstLine="48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usvajanju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raspisati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poziv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učešće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poslovnih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banaka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primati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15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objavljivanja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poziva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objaviti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poziv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najmanje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jednom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listu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distribuira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celoj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teritoriji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poziv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konkursna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biće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objavljeni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internet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stranici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www.privreda.gov.rs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www.ras.gov.rs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upućeni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elektronskom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poštom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svim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bankama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kompanijama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posluju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Republici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trenutno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dozvolu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Narodne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pozivom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bliže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propisana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dostavljaju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prilikom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podnošenja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Pregledanje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kontrolu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formalne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ispravnosti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ocenjivanje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rangiranje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donošenje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izboru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poslovnih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banaka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učestvovati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sprovođenju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Komisija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ocenjivanje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selekciju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banaka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rešenjem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obrazuje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potpunijeg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sagledavanja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kvaliteta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predložene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aktivnosti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Komisija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ocenjivanje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selekciju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banaka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tražiti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dodatna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pojašnjenja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predloga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obaviti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intervju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bankom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kompanijom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podnosiocem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učešća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konkursu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zainteresovane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ispunjavaju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utvrđene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obavljanje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delatnosti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teritoriji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Obavezujući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zainteresovane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učešće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odobravaju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sledećim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uslovima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786782" w:rsidRPr="00E60B05" w:rsidRDefault="00E60B05" w:rsidP="00786782">
      <w:pPr>
        <w:pStyle w:val="ListParagraph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počeka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/>
          <w:noProof/>
          <w:sz w:val="24"/>
          <w:szCs w:val="24"/>
          <w:lang w:val="sr-Latn-CS"/>
        </w:rPr>
        <w:t>šest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86782" w:rsidRPr="00E60B05" w:rsidRDefault="00E60B05" w:rsidP="00786782">
      <w:pPr>
        <w:pStyle w:val="ListParagraph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primarno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sredstvo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obezbeđenja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zaloga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kupljenom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opremom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pokretnoj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imovini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kupovine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86782" w:rsidRPr="00E60B05" w:rsidRDefault="00E60B05" w:rsidP="00786782">
      <w:pPr>
        <w:pStyle w:val="ListParagraph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isključuje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hipoteka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sredstvo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obezbeđenja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hipoteku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ranije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uzeta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obezbeđenje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drugom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kreditu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86782" w:rsidRPr="00E60B05" w:rsidRDefault="00E60B05" w:rsidP="00786782">
      <w:pPr>
        <w:pStyle w:val="ListParagraph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isključuje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depozit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sredstvo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obezbeđenja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privremeno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obezbeđenje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trenutka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uspostavljanja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zaloge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); </w:t>
      </w:r>
    </w:p>
    <w:p w:rsidR="00786782" w:rsidRPr="00E60B05" w:rsidRDefault="00E60B05" w:rsidP="00786782">
      <w:pPr>
        <w:pStyle w:val="ListParagraph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isključuje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raspodele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dobiti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subjekta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otplate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86782" w:rsidRPr="00E60B05" w:rsidRDefault="00E60B05" w:rsidP="00786782">
      <w:pPr>
        <w:pStyle w:val="ListParagraph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potencijalni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ukupnom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1%;</w:t>
      </w:r>
    </w:p>
    <w:p w:rsidR="00786782" w:rsidRPr="00E60B05" w:rsidRDefault="00E60B05" w:rsidP="00786782">
      <w:pPr>
        <w:pStyle w:val="ListParagraph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privredni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subjekti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otplatiti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prevremeno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definisan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ugovoru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bankom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tim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prevremenu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otplatu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toku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prve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trećine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trajanja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otplate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vrate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celokupan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odobrenih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Neophodno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sledeći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potencijalni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naknade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budu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zasebno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iskazani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786782" w:rsidRPr="00E60B05" w:rsidRDefault="00E60B05" w:rsidP="00786782">
      <w:pPr>
        <w:pStyle w:val="ListParagraph"/>
        <w:numPr>
          <w:ilvl w:val="0"/>
          <w:numId w:val="9"/>
        </w:numPr>
        <w:spacing w:after="0"/>
        <w:ind w:left="567" w:hanging="141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obrade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86782" w:rsidRPr="00E60B05" w:rsidRDefault="00E60B05" w:rsidP="00786782">
      <w:pPr>
        <w:pStyle w:val="ListParagraph"/>
        <w:numPr>
          <w:ilvl w:val="0"/>
          <w:numId w:val="9"/>
        </w:numPr>
        <w:spacing w:after="0"/>
        <w:ind w:left="567" w:hanging="141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otvaranja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vođenja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namenskog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računa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86782" w:rsidRPr="00E60B05" w:rsidRDefault="00E60B05" w:rsidP="00786782">
      <w:pPr>
        <w:pStyle w:val="ListParagraph"/>
        <w:numPr>
          <w:ilvl w:val="0"/>
          <w:numId w:val="9"/>
        </w:numPr>
        <w:spacing w:after="0"/>
        <w:ind w:left="567" w:hanging="141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pribavljanja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kreditnog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biroa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86782" w:rsidRPr="00E60B05" w:rsidRDefault="00E60B05" w:rsidP="00786782">
      <w:pPr>
        <w:pStyle w:val="ListParagraph"/>
        <w:numPr>
          <w:ilvl w:val="0"/>
          <w:numId w:val="9"/>
        </w:numPr>
        <w:spacing w:after="0"/>
        <w:ind w:left="567" w:hanging="141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menica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86782" w:rsidRPr="00E60B05" w:rsidRDefault="00E60B05" w:rsidP="00786782">
      <w:pPr>
        <w:pStyle w:val="ListParagraph"/>
        <w:numPr>
          <w:ilvl w:val="0"/>
          <w:numId w:val="9"/>
        </w:numPr>
        <w:spacing w:after="0"/>
        <w:ind w:left="567" w:hanging="141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overe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založne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izjave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86782" w:rsidRPr="00E60B05" w:rsidRDefault="00E60B05" w:rsidP="00786782">
      <w:pPr>
        <w:pStyle w:val="ListParagraph"/>
        <w:numPr>
          <w:ilvl w:val="0"/>
          <w:numId w:val="9"/>
        </w:numPr>
        <w:spacing w:after="0"/>
        <w:ind w:left="567" w:hanging="141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upisa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pokretne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zaloge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APR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86782" w:rsidRPr="00E60B05" w:rsidRDefault="00E60B05" w:rsidP="00786782">
      <w:pPr>
        <w:pStyle w:val="ListParagraph"/>
        <w:numPr>
          <w:ilvl w:val="0"/>
          <w:numId w:val="9"/>
        </w:numPr>
        <w:spacing w:after="0"/>
        <w:ind w:left="567" w:hanging="141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ostali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Obavezujući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zainteresovane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učešće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finansijski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odobrava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sledećim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uslovima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786782" w:rsidRPr="00E60B05" w:rsidRDefault="00E60B05" w:rsidP="00786782">
      <w:pPr>
        <w:pStyle w:val="ListParagraph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počeka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/>
          <w:noProof/>
          <w:sz w:val="24"/>
          <w:szCs w:val="24"/>
          <w:lang w:val="sr-Latn-CS"/>
        </w:rPr>
        <w:t>šest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86782" w:rsidRPr="00E60B05" w:rsidRDefault="00E60B05" w:rsidP="00786782">
      <w:pPr>
        <w:pStyle w:val="ListParagraph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primarna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obezbeđenja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menice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subjekta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puno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imovinsko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osiguranje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ostaje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vlasništvu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kompanije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isplate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ukupnog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definisanih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ugovorom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finansijskom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lizingu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86782" w:rsidRPr="00E60B05" w:rsidRDefault="00E60B05" w:rsidP="00786782">
      <w:pPr>
        <w:pStyle w:val="ListParagraph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svojine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predmetom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prenosi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kompanije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subjekt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istekom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zaključen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izvršenoj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isplati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ugovorenog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ugovoreni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obuhvatati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kompletnu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>);</w:t>
      </w:r>
    </w:p>
    <w:p w:rsidR="00786782" w:rsidRPr="00E60B05" w:rsidRDefault="00E60B05" w:rsidP="00786782">
      <w:pPr>
        <w:pStyle w:val="ListParagraph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isključuje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hipoteka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sredstvo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obezbeđenja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86782" w:rsidRPr="00E60B05" w:rsidRDefault="00E60B05" w:rsidP="00786782">
      <w:pPr>
        <w:pStyle w:val="ListParagraph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privredni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subjekti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otplatiti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finansijskog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prevremeno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definisan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ugovoru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kompanijom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tim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prevremenu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otplatu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toku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prve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trećine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trajanja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finansijskom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lizingu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vrate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celokupan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odobrenih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86782" w:rsidRPr="00E60B05" w:rsidRDefault="00E60B05" w:rsidP="00786782">
      <w:pPr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Neophodno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sledeći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potencijalni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naknade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budu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zasebno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iskazani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786782" w:rsidRPr="00E60B05" w:rsidRDefault="00E60B05" w:rsidP="00786782">
      <w:pPr>
        <w:pStyle w:val="ListParagraph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obrade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86782" w:rsidRPr="00E60B05" w:rsidRDefault="00E60B05" w:rsidP="00786782">
      <w:pPr>
        <w:pStyle w:val="ListParagraph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pribavljanja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kreditnog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biroa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86782" w:rsidRPr="00E60B05" w:rsidRDefault="00E60B05" w:rsidP="00786782">
      <w:pPr>
        <w:pStyle w:val="ListParagraph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menica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86782" w:rsidRPr="00E60B05" w:rsidRDefault="00E60B05" w:rsidP="00786782">
      <w:pPr>
        <w:pStyle w:val="ListParagraph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upisa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registar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finansijskog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APR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86782" w:rsidRPr="00E60B05" w:rsidRDefault="00E60B05" w:rsidP="00786782">
      <w:pPr>
        <w:pStyle w:val="ListParagraph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ostali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86782" w:rsidRPr="00E60B05" w:rsidRDefault="00786782" w:rsidP="00786782">
      <w:pPr>
        <w:pStyle w:val="ListParagraph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Kriterijum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izbor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biće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predložena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visina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kamatne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stope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definisane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čnosti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navedene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Tabeli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2218"/>
        <w:gridCol w:w="1130"/>
        <w:gridCol w:w="1845"/>
        <w:gridCol w:w="3983"/>
      </w:tblGrid>
      <w:tr w:rsidR="00786782" w:rsidRPr="00E60B05" w:rsidTr="007867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6782" w:rsidRPr="00E60B05" w:rsidRDefault="00E60B05">
            <w:pPr>
              <w:spacing w:after="0" w:line="21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Ročnost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6782" w:rsidRPr="00E60B05" w:rsidRDefault="00E60B05">
            <w:pPr>
              <w:spacing w:after="0" w:line="21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Efektivna</w:t>
            </w:r>
            <w:r w:rsidR="00786782" w:rsidRPr="00E60B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kamatna</w:t>
            </w:r>
            <w:r w:rsidR="00786782" w:rsidRPr="00E60B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stopa</w:t>
            </w:r>
            <w:r w:rsidR="00786782" w:rsidRPr="00E60B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EKS</w:t>
            </w:r>
            <w:r w:rsidR="00786782" w:rsidRPr="00E60B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)</w:t>
            </w:r>
          </w:p>
        </w:tc>
      </w:tr>
      <w:tr w:rsidR="00786782" w:rsidRPr="00E60B05" w:rsidTr="007867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782" w:rsidRPr="00E60B05" w:rsidRDefault="00786782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6782" w:rsidRPr="00E60B05" w:rsidRDefault="00E60B05">
            <w:pPr>
              <w:spacing w:after="0" w:line="21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Dinarski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6782" w:rsidRPr="00E60B05" w:rsidRDefault="00E60B05">
            <w:pPr>
              <w:spacing w:after="0" w:line="21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Valutna</w:t>
            </w:r>
            <w:r w:rsidR="00786782" w:rsidRPr="00E60B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klauzula</w:t>
            </w:r>
            <w:r w:rsidR="00786782" w:rsidRPr="00E60B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EUR</w:t>
            </w:r>
            <w:r w:rsidR="00786782" w:rsidRPr="00E60B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)</w:t>
            </w:r>
          </w:p>
        </w:tc>
      </w:tr>
      <w:tr w:rsidR="00786782" w:rsidRPr="00E60B05" w:rsidTr="007867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782" w:rsidRPr="00E60B05" w:rsidRDefault="00786782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6782" w:rsidRPr="00E60B05" w:rsidRDefault="00E60B05">
            <w:pPr>
              <w:spacing w:after="0" w:line="21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fiksna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6782" w:rsidRPr="00E60B05" w:rsidRDefault="00E60B05">
            <w:pPr>
              <w:spacing w:after="0" w:line="21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varijabilna</w:t>
            </w:r>
            <w:r w:rsidR="00786782" w:rsidRPr="00E60B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6782" w:rsidRPr="00E60B05" w:rsidRDefault="00E60B05">
            <w:pPr>
              <w:spacing w:after="0" w:line="21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fiksna</w:t>
            </w:r>
          </w:p>
        </w:tc>
      </w:tr>
      <w:tr w:rsidR="00786782" w:rsidRPr="00E60B05" w:rsidTr="007867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6782" w:rsidRPr="00E60B05" w:rsidRDefault="00786782">
            <w:pPr>
              <w:spacing w:after="0" w:line="21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60B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1. 18 </w:t>
            </w:r>
            <w:r w:rsidR="00E60B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meseci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6782" w:rsidRPr="00E60B05" w:rsidRDefault="0078678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6782" w:rsidRPr="00E60B05" w:rsidRDefault="00786782">
            <w:pPr>
              <w:spacing w:after="0"/>
              <w:rPr>
                <w:rFonts w:eastAsiaTheme="minorHAnsi"/>
                <w:noProof/>
                <w:sz w:val="20"/>
                <w:szCs w:val="20"/>
                <w:lang w:val="sr-Latn-C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6782" w:rsidRPr="00E60B05" w:rsidRDefault="00786782">
            <w:pPr>
              <w:spacing w:after="0"/>
              <w:rPr>
                <w:rFonts w:eastAsiaTheme="minorHAnsi"/>
                <w:noProof/>
                <w:sz w:val="20"/>
                <w:szCs w:val="20"/>
                <w:lang w:val="sr-Latn-CS" w:eastAsia="en-US"/>
              </w:rPr>
            </w:pPr>
          </w:p>
        </w:tc>
      </w:tr>
      <w:tr w:rsidR="00786782" w:rsidRPr="00E60B05" w:rsidTr="007867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6782" w:rsidRPr="00E60B05" w:rsidRDefault="00786782">
            <w:pPr>
              <w:spacing w:after="0" w:line="21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en-GB"/>
              </w:rPr>
            </w:pPr>
            <w:r w:rsidRPr="00E60B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2. 24 </w:t>
            </w:r>
            <w:r w:rsidR="00E60B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6782" w:rsidRPr="00E60B05" w:rsidRDefault="0078678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6782" w:rsidRPr="00E60B05" w:rsidRDefault="00786782">
            <w:pPr>
              <w:spacing w:after="0"/>
              <w:rPr>
                <w:rFonts w:eastAsiaTheme="minorHAnsi"/>
                <w:noProof/>
                <w:sz w:val="20"/>
                <w:szCs w:val="20"/>
                <w:lang w:val="sr-Latn-C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6782" w:rsidRPr="00E60B05" w:rsidRDefault="00786782">
            <w:pPr>
              <w:spacing w:after="0"/>
              <w:rPr>
                <w:rFonts w:eastAsiaTheme="minorHAnsi"/>
                <w:noProof/>
                <w:sz w:val="20"/>
                <w:szCs w:val="20"/>
                <w:lang w:val="sr-Latn-CS" w:eastAsia="en-US"/>
              </w:rPr>
            </w:pPr>
          </w:p>
        </w:tc>
      </w:tr>
      <w:tr w:rsidR="00786782" w:rsidRPr="00E60B05" w:rsidTr="007867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6782" w:rsidRPr="00E60B05" w:rsidRDefault="00786782">
            <w:pPr>
              <w:spacing w:after="0" w:line="21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en-GB"/>
              </w:rPr>
            </w:pPr>
            <w:r w:rsidRPr="00E60B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3. 36 </w:t>
            </w:r>
            <w:r w:rsidR="00E60B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meseci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6782" w:rsidRPr="00E60B05" w:rsidRDefault="0078678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6782" w:rsidRPr="00E60B05" w:rsidRDefault="00786782">
            <w:pPr>
              <w:spacing w:after="0"/>
              <w:rPr>
                <w:rFonts w:eastAsiaTheme="minorHAnsi"/>
                <w:noProof/>
                <w:sz w:val="20"/>
                <w:szCs w:val="20"/>
                <w:lang w:val="sr-Latn-C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6782" w:rsidRPr="00E60B05" w:rsidRDefault="00786782">
            <w:pPr>
              <w:spacing w:after="0"/>
              <w:rPr>
                <w:rFonts w:eastAsiaTheme="minorHAnsi"/>
                <w:noProof/>
                <w:sz w:val="20"/>
                <w:szCs w:val="20"/>
                <w:lang w:val="sr-Latn-CS" w:eastAsia="en-US"/>
              </w:rPr>
            </w:pPr>
          </w:p>
        </w:tc>
      </w:tr>
      <w:tr w:rsidR="00786782" w:rsidRPr="00E60B05" w:rsidTr="007867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6782" w:rsidRPr="00E60B05" w:rsidRDefault="00786782">
            <w:pPr>
              <w:spacing w:after="0" w:line="21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en-GB"/>
              </w:rPr>
            </w:pPr>
            <w:r w:rsidRPr="00E60B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4. 48 </w:t>
            </w:r>
            <w:r w:rsidR="00E60B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meseci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6782" w:rsidRPr="00E60B05" w:rsidRDefault="0078678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6782" w:rsidRPr="00E60B05" w:rsidRDefault="00786782">
            <w:pPr>
              <w:spacing w:after="0"/>
              <w:rPr>
                <w:rFonts w:eastAsiaTheme="minorHAnsi"/>
                <w:noProof/>
                <w:sz w:val="20"/>
                <w:szCs w:val="20"/>
                <w:lang w:val="sr-Latn-C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6782" w:rsidRPr="00E60B05" w:rsidRDefault="00786782">
            <w:pPr>
              <w:spacing w:after="0"/>
              <w:rPr>
                <w:rFonts w:eastAsiaTheme="minorHAnsi"/>
                <w:noProof/>
                <w:sz w:val="20"/>
                <w:szCs w:val="20"/>
                <w:lang w:val="sr-Latn-CS" w:eastAsia="en-US"/>
              </w:rPr>
            </w:pPr>
          </w:p>
        </w:tc>
      </w:tr>
      <w:tr w:rsidR="00786782" w:rsidRPr="00E60B05" w:rsidTr="007867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6782" w:rsidRPr="00E60B05" w:rsidRDefault="00786782">
            <w:pPr>
              <w:spacing w:after="0" w:line="21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en-GB"/>
              </w:rPr>
            </w:pPr>
            <w:r w:rsidRPr="00E60B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5. 60 </w:t>
            </w:r>
            <w:r w:rsidR="00E60B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meseci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6782" w:rsidRPr="00E60B05" w:rsidRDefault="0078678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6782" w:rsidRPr="00E60B05" w:rsidRDefault="00786782">
            <w:pPr>
              <w:spacing w:after="0"/>
              <w:rPr>
                <w:rFonts w:eastAsiaTheme="minorHAnsi"/>
                <w:noProof/>
                <w:sz w:val="20"/>
                <w:szCs w:val="20"/>
                <w:lang w:val="sr-Latn-C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6782" w:rsidRPr="00E60B05" w:rsidRDefault="00786782">
            <w:pPr>
              <w:spacing w:after="0"/>
              <w:rPr>
                <w:rFonts w:eastAsiaTheme="minorHAnsi"/>
                <w:noProof/>
                <w:sz w:val="20"/>
                <w:szCs w:val="20"/>
                <w:lang w:val="sr-Latn-CS" w:eastAsia="en-US"/>
              </w:rPr>
            </w:pPr>
          </w:p>
        </w:tc>
      </w:tr>
    </w:tbl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hAnsi="Times New Roman"/>
          <w:noProof/>
          <w:sz w:val="24"/>
          <w:szCs w:val="24"/>
          <w:lang w:val="sr-Latn-CS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>Napomena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budu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dostavile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ponudu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svim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navedenim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kriterijumima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Tabele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biće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diskvalifikovane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Ukoliko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raspon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kamatne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stope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bodovanje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uzima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najviša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obračun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efektivne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kamatne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stope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koristiti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metodologiju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datu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Odlukom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uslovima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obračuna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efektivne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kamatne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stope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izgledu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sadržini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obrazaca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uručuju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korisniku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RS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65/11)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obzira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korisnici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fizička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obračun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treba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uključiti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izuzev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procene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punog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imovinskog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osiguranja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predmetu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zaloge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 </w:t>
      </w:r>
      <w:r>
        <w:rPr>
          <w:rFonts w:ascii="Times New Roman" w:hAnsi="Times New Roman"/>
          <w:noProof/>
          <w:sz w:val="24"/>
          <w:szCs w:val="24"/>
          <w:lang w:val="sr-Latn-CS"/>
        </w:rPr>
        <w:t>Obračunata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efektivna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kamatna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stopa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odobravanja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isplate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klijentu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iskazane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EKS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Tabeli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uračunavanja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navedenih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86782" w:rsidRPr="00E60B05" w:rsidRDefault="00786782" w:rsidP="00786782">
      <w:pPr>
        <w:spacing w:after="0" w:line="210" w:lineRule="atLeast"/>
        <w:ind w:firstLine="48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Kriterijum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izbor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biće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predložena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visina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kamatne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stope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definisane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ročnosti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Tabeli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2218"/>
        <w:gridCol w:w="1130"/>
        <w:gridCol w:w="1845"/>
        <w:gridCol w:w="3983"/>
      </w:tblGrid>
      <w:tr w:rsidR="00786782" w:rsidRPr="00E60B05" w:rsidTr="007867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6782" w:rsidRPr="00E60B05" w:rsidRDefault="00E60B05">
            <w:pPr>
              <w:spacing w:after="0" w:line="21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Ročnost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6782" w:rsidRPr="00E60B05" w:rsidRDefault="00E60B05">
            <w:pPr>
              <w:spacing w:after="0" w:line="21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Efektivna</w:t>
            </w:r>
            <w:r w:rsidR="00786782" w:rsidRPr="00E60B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kamatna</w:t>
            </w:r>
            <w:r w:rsidR="00786782" w:rsidRPr="00E60B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stopa</w:t>
            </w:r>
            <w:r w:rsidR="00786782" w:rsidRPr="00E60B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EKS</w:t>
            </w:r>
            <w:r w:rsidR="00786782" w:rsidRPr="00E60B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)</w:t>
            </w:r>
          </w:p>
        </w:tc>
      </w:tr>
      <w:tr w:rsidR="00786782" w:rsidRPr="00E60B05" w:rsidTr="007867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782" w:rsidRPr="00E60B05" w:rsidRDefault="00786782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6782" w:rsidRPr="00E60B05" w:rsidRDefault="00E60B05">
            <w:pPr>
              <w:spacing w:after="0" w:line="21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Dinarski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6782" w:rsidRPr="00E60B05" w:rsidRDefault="00E60B05">
            <w:pPr>
              <w:spacing w:after="0" w:line="21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Valutna</w:t>
            </w:r>
            <w:r w:rsidR="00786782" w:rsidRPr="00E60B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klauzula</w:t>
            </w:r>
            <w:r w:rsidR="00786782" w:rsidRPr="00E60B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EUR</w:t>
            </w:r>
            <w:r w:rsidR="00786782" w:rsidRPr="00E60B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)</w:t>
            </w:r>
          </w:p>
        </w:tc>
      </w:tr>
      <w:tr w:rsidR="00786782" w:rsidRPr="00E60B05" w:rsidTr="007867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782" w:rsidRPr="00E60B05" w:rsidRDefault="00786782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6782" w:rsidRPr="00E60B05" w:rsidRDefault="00E60B05">
            <w:pPr>
              <w:spacing w:after="0" w:line="21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fiksna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6782" w:rsidRPr="00E60B05" w:rsidRDefault="00E60B05">
            <w:pPr>
              <w:spacing w:after="0" w:line="21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varijabilna</w:t>
            </w:r>
            <w:r w:rsidR="00786782" w:rsidRPr="00E60B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6782" w:rsidRPr="00E60B05" w:rsidRDefault="00E60B05">
            <w:pPr>
              <w:spacing w:after="0" w:line="21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fiksna</w:t>
            </w:r>
          </w:p>
        </w:tc>
      </w:tr>
      <w:tr w:rsidR="00786782" w:rsidRPr="00E60B05" w:rsidTr="007867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6782" w:rsidRPr="00E60B05" w:rsidRDefault="00786782">
            <w:pPr>
              <w:spacing w:after="0" w:line="21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60B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1. 18 </w:t>
            </w:r>
            <w:r w:rsidR="00E60B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meseci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6782" w:rsidRPr="00E60B05" w:rsidRDefault="0078678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6782" w:rsidRPr="00E60B05" w:rsidRDefault="00786782">
            <w:pPr>
              <w:spacing w:after="0"/>
              <w:rPr>
                <w:rFonts w:eastAsiaTheme="minorHAnsi"/>
                <w:noProof/>
                <w:sz w:val="20"/>
                <w:szCs w:val="20"/>
                <w:lang w:val="sr-Latn-C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6782" w:rsidRPr="00E60B05" w:rsidRDefault="00786782">
            <w:pPr>
              <w:spacing w:after="0"/>
              <w:rPr>
                <w:rFonts w:eastAsiaTheme="minorHAnsi"/>
                <w:noProof/>
                <w:sz w:val="20"/>
                <w:szCs w:val="20"/>
                <w:lang w:val="sr-Latn-CS" w:eastAsia="en-US"/>
              </w:rPr>
            </w:pPr>
          </w:p>
        </w:tc>
      </w:tr>
      <w:tr w:rsidR="00786782" w:rsidRPr="00E60B05" w:rsidTr="007867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6782" w:rsidRPr="00E60B05" w:rsidRDefault="00786782">
            <w:pPr>
              <w:spacing w:after="0" w:line="21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en-GB"/>
              </w:rPr>
            </w:pPr>
            <w:r w:rsidRPr="00E60B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2. 24 </w:t>
            </w:r>
            <w:r w:rsidR="00E60B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6782" w:rsidRPr="00E60B05" w:rsidRDefault="0078678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6782" w:rsidRPr="00E60B05" w:rsidRDefault="00786782">
            <w:pPr>
              <w:spacing w:after="0"/>
              <w:rPr>
                <w:rFonts w:eastAsiaTheme="minorHAnsi"/>
                <w:noProof/>
                <w:sz w:val="20"/>
                <w:szCs w:val="20"/>
                <w:lang w:val="sr-Latn-C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6782" w:rsidRPr="00E60B05" w:rsidRDefault="00786782">
            <w:pPr>
              <w:spacing w:after="0"/>
              <w:rPr>
                <w:rFonts w:eastAsiaTheme="minorHAnsi"/>
                <w:noProof/>
                <w:sz w:val="20"/>
                <w:szCs w:val="20"/>
                <w:lang w:val="sr-Latn-CS" w:eastAsia="en-US"/>
              </w:rPr>
            </w:pPr>
          </w:p>
        </w:tc>
      </w:tr>
      <w:tr w:rsidR="00786782" w:rsidRPr="00E60B05" w:rsidTr="007867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6782" w:rsidRPr="00E60B05" w:rsidRDefault="00786782">
            <w:pPr>
              <w:spacing w:after="0" w:line="21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en-GB"/>
              </w:rPr>
            </w:pPr>
            <w:r w:rsidRPr="00E60B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3. 36 </w:t>
            </w:r>
            <w:r w:rsidR="00E60B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meseci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6782" w:rsidRPr="00E60B05" w:rsidRDefault="0078678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6782" w:rsidRPr="00E60B05" w:rsidRDefault="00786782">
            <w:pPr>
              <w:spacing w:after="0"/>
              <w:rPr>
                <w:rFonts w:eastAsiaTheme="minorHAnsi"/>
                <w:noProof/>
                <w:sz w:val="20"/>
                <w:szCs w:val="20"/>
                <w:lang w:val="sr-Latn-C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6782" w:rsidRPr="00E60B05" w:rsidRDefault="00786782">
            <w:pPr>
              <w:spacing w:after="0"/>
              <w:rPr>
                <w:rFonts w:eastAsiaTheme="minorHAnsi"/>
                <w:noProof/>
                <w:sz w:val="20"/>
                <w:szCs w:val="20"/>
                <w:lang w:val="sr-Latn-CS" w:eastAsia="en-US"/>
              </w:rPr>
            </w:pPr>
          </w:p>
        </w:tc>
      </w:tr>
      <w:tr w:rsidR="00786782" w:rsidRPr="00E60B05" w:rsidTr="007867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6782" w:rsidRPr="00E60B05" w:rsidRDefault="00786782">
            <w:pPr>
              <w:spacing w:after="0" w:line="21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en-GB"/>
              </w:rPr>
            </w:pPr>
            <w:r w:rsidRPr="00E60B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4. 48 </w:t>
            </w:r>
            <w:r w:rsidR="00E60B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meseci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6782" w:rsidRPr="00E60B05" w:rsidRDefault="0078678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6782" w:rsidRPr="00E60B05" w:rsidRDefault="00786782">
            <w:pPr>
              <w:spacing w:after="0"/>
              <w:rPr>
                <w:rFonts w:eastAsiaTheme="minorHAnsi"/>
                <w:noProof/>
                <w:sz w:val="20"/>
                <w:szCs w:val="20"/>
                <w:lang w:val="sr-Latn-C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6782" w:rsidRPr="00E60B05" w:rsidRDefault="00786782">
            <w:pPr>
              <w:spacing w:after="0"/>
              <w:rPr>
                <w:rFonts w:eastAsiaTheme="minorHAnsi"/>
                <w:noProof/>
                <w:sz w:val="20"/>
                <w:szCs w:val="20"/>
                <w:lang w:val="sr-Latn-CS" w:eastAsia="en-US"/>
              </w:rPr>
            </w:pPr>
          </w:p>
        </w:tc>
      </w:tr>
      <w:tr w:rsidR="00786782" w:rsidRPr="00E60B05" w:rsidTr="007867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6782" w:rsidRPr="00E60B05" w:rsidRDefault="00786782">
            <w:pPr>
              <w:spacing w:after="0" w:line="21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en-GB"/>
              </w:rPr>
            </w:pPr>
            <w:r w:rsidRPr="00E60B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5. 60 </w:t>
            </w:r>
            <w:r w:rsidR="00E60B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meseci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6782" w:rsidRPr="00E60B05" w:rsidRDefault="0078678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6782" w:rsidRPr="00E60B05" w:rsidRDefault="00786782">
            <w:pPr>
              <w:spacing w:after="0"/>
              <w:rPr>
                <w:rFonts w:eastAsiaTheme="minorHAnsi"/>
                <w:noProof/>
                <w:sz w:val="20"/>
                <w:szCs w:val="20"/>
                <w:lang w:val="sr-Latn-C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86782" w:rsidRPr="00E60B05" w:rsidRDefault="00786782">
            <w:pPr>
              <w:spacing w:after="0"/>
              <w:rPr>
                <w:rFonts w:eastAsiaTheme="minorHAnsi"/>
                <w:noProof/>
                <w:sz w:val="20"/>
                <w:szCs w:val="20"/>
                <w:lang w:val="sr-Latn-CS" w:eastAsia="en-US"/>
              </w:rPr>
            </w:pPr>
          </w:p>
        </w:tc>
      </w:tr>
    </w:tbl>
    <w:p w:rsidR="00786782" w:rsidRPr="00E60B05" w:rsidRDefault="00E60B05" w:rsidP="00786782">
      <w:pPr>
        <w:spacing w:after="0" w:line="210" w:lineRule="atLeast"/>
        <w:jc w:val="both"/>
        <w:rPr>
          <w:rFonts w:ascii="Times New Roman" w:hAnsi="Times New Roman"/>
          <w:noProof/>
          <w:sz w:val="24"/>
          <w:szCs w:val="24"/>
          <w:lang w:val="sr-Latn-CS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Napomena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budu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dostavile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ponudu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svim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navedenim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kriterijumima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Tabele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biće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diskvalifikovane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Ukoliko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raspon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kamatne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stope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bodovanje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uzima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najviša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obračun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efektivne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kamatne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stope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koristiti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metodologiju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datu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Odlukom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uslovima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obračuna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efektivne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kamatne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stope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izgledu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sadržini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obrazaca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uručuju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korisniku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obzira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korisnici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fizička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obračun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treba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uključiti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izuzev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procene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punog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imovinskog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osiguranja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predmetu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zaloge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Obračunata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efektivna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kamatna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stopa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odobravanja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klijentu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iskazane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EKS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Tabeli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2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uračunavanja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navedenih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troškova</w:t>
      </w:r>
      <w:r w:rsidR="00786782" w:rsidRPr="00E60B0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Ponude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efektivne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kamatne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stope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banaka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međusobno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porede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rangiraju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ročnost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valutu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navedenu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Tabeli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Ponude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efektivne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kamatne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stope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međusobno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porede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rangiraju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ročnost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valutu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navedenu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Tabeli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 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Ponude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banaka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ponude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posebno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rangiraju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Sabiranjem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tako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dobijenih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rangova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formira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konačna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rang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lista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Komisija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ocenjivanje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selekciju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banaka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donosi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izboru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banaka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učešće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imaće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maksimalno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pet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najbolje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rangiranih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banaka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maksimalno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dve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najbolje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rangirane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Kandidati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Komisija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ocenjivanje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selekciju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banaka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odbila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prigovor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osam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prijema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Prigovor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ministru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neposredno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preporučenom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poštom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adresu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Kneza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Miloša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20, 11000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Beograd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prigovoru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odlučuje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prijema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prigovora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786782" w:rsidRPr="00E60B05" w:rsidRDefault="00786782" w:rsidP="00786782">
      <w:pPr>
        <w:spacing w:after="0" w:line="210" w:lineRule="atLeast"/>
        <w:ind w:firstLine="48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786782" w:rsidRPr="00E60B05" w:rsidRDefault="00786782" w:rsidP="00786782">
      <w:pPr>
        <w:spacing w:after="0" w:line="210" w:lineRule="atLeast"/>
        <w:ind w:firstLine="48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6.2. </w:t>
      </w:r>
      <w:r w:rsid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Ugovor</w:t>
      </w:r>
      <w:r w:rsidRP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</w:t>
      </w:r>
      <w:r w:rsidRP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realizaciji</w:t>
      </w:r>
      <w:r w:rsidRP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programa</w:t>
      </w:r>
    </w:p>
    <w:p w:rsidR="00786782" w:rsidRPr="00E60B05" w:rsidRDefault="00786782" w:rsidP="00786782">
      <w:pPr>
        <w:spacing w:after="0" w:line="210" w:lineRule="atLeast"/>
        <w:ind w:firstLine="48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>Po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usvajanju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potpisati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Razvojnom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agencijom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preneti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zaključivanja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korišćenju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subjektima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prenos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namenske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račune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subjekata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drugostepena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kontrola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namenskog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korišćenja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nakon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prijema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pisanog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obaveštenja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mogućim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nepravilnostima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kontrola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namenskog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korišćenja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kod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subjekata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prevremeno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otplatili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kod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finansijskog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donošenju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izboru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banaka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učešće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potpisati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trojni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njegovoj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Razvojnom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agencijom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svakom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izabranih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banaka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Ugovorima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preneta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prikupljanja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obrade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subjekata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namenske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kontrole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redovnog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izveštavanja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eventualnim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nepravilnostima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zloupotrebama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zaključenju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Razvojnom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agencijom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bankama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kompanijama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preneti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celokupna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Razvojnoj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podračun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posebne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grupa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podračuna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764 -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Računi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posebne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ustanova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oblasti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delatnosti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kod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Uprave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trezor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ugovorom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786782" w:rsidRPr="00E60B05" w:rsidRDefault="00786782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786782" w:rsidRPr="00E60B05" w:rsidRDefault="00786782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786782" w:rsidRPr="00E60B05" w:rsidRDefault="00786782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786782" w:rsidRPr="00E60B05" w:rsidRDefault="00786782" w:rsidP="00786782">
      <w:pPr>
        <w:spacing w:after="0" w:line="210" w:lineRule="atLeast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7.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PRAĆENJE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REALIZACIJE</w:t>
      </w:r>
      <w:r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</w:p>
    <w:p w:rsidR="00786782" w:rsidRPr="00E60B05" w:rsidRDefault="00786782" w:rsidP="00786782">
      <w:pPr>
        <w:spacing w:after="0" w:line="210" w:lineRule="atLeast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786782" w:rsidRPr="00E60B05" w:rsidRDefault="00E60B05" w:rsidP="00786782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Nadzor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kontrolu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namenskog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korišćenja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vrše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saradnji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ročnosti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18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meseci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prevremeno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otplaćene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izvrši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terensku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kontrolu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dve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potpisivanja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bepovratnih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tome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izveštaj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Korisnik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dužan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Razvojnoj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Komisiji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kontrolu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državne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pomoći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cilju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praćenja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korišćenja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omogući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nadzor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svakoj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fazi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aktivnosti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tako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svakom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momentu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omogućena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kontrola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aktivnosti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uvid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finansijsku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8C358B" w:rsidRPr="00E60B05" w:rsidRDefault="00E60B05" w:rsidP="00901617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završetku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svih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aktivnosti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najkasnije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januara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2019.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dostaviti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izveštaj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Ministarstvu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informisanja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dostaviti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Vladi</w:t>
      </w:r>
      <w:r w:rsidR="00786782" w:rsidRPr="00E60B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sectPr w:rsidR="008C358B" w:rsidRPr="00E60B05" w:rsidSect="008E67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B41" w:rsidRDefault="00ED2B41" w:rsidP="00166D42">
      <w:pPr>
        <w:spacing w:after="0" w:line="240" w:lineRule="auto"/>
      </w:pPr>
      <w:r>
        <w:separator/>
      </w:r>
    </w:p>
  </w:endnote>
  <w:endnote w:type="continuationSeparator" w:id="0">
    <w:p w:rsidR="00ED2B41" w:rsidRDefault="00ED2B41" w:rsidP="0016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B05" w:rsidRDefault="00E60B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023" w:rsidRDefault="00AC40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B05" w:rsidRDefault="00E60B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B41" w:rsidRDefault="00ED2B41" w:rsidP="00166D42">
      <w:pPr>
        <w:spacing w:after="0" w:line="240" w:lineRule="auto"/>
      </w:pPr>
      <w:r>
        <w:separator/>
      </w:r>
    </w:p>
  </w:footnote>
  <w:footnote w:type="continuationSeparator" w:id="0">
    <w:p w:rsidR="00ED2B41" w:rsidRDefault="00ED2B41" w:rsidP="00166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B05" w:rsidRDefault="00E60B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B05" w:rsidRDefault="00E60B0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B05" w:rsidRDefault="00E60B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317B"/>
    <w:multiLevelType w:val="hybridMultilevel"/>
    <w:tmpl w:val="37F05F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F2D0D"/>
    <w:multiLevelType w:val="hybridMultilevel"/>
    <w:tmpl w:val="DDF46718"/>
    <w:lvl w:ilvl="0" w:tplc="02CA38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60" w:hanging="360"/>
      </w:pPr>
    </w:lvl>
    <w:lvl w:ilvl="2" w:tplc="241A001B" w:tentative="1">
      <w:start w:val="1"/>
      <w:numFmt w:val="lowerRoman"/>
      <w:lvlText w:val="%3."/>
      <w:lvlJc w:val="right"/>
      <w:pPr>
        <w:ind w:left="2280" w:hanging="180"/>
      </w:pPr>
    </w:lvl>
    <w:lvl w:ilvl="3" w:tplc="241A000F" w:tentative="1">
      <w:start w:val="1"/>
      <w:numFmt w:val="decimal"/>
      <w:lvlText w:val="%4."/>
      <w:lvlJc w:val="left"/>
      <w:pPr>
        <w:ind w:left="3000" w:hanging="360"/>
      </w:pPr>
    </w:lvl>
    <w:lvl w:ilvl="4" w:tplc="241A0019" w:tentative="1">
      <w:start w:val="1"/>
      <w:numFmt w:val="lowerLetter"/>
      <w:lvlText w:val="%5."/>
      <w:lvlJc w:val="left"/>
      <w:pPr>
        <w:ind w:left="3720" w:hanging="360"/>
      </w:pPr>
    </w:lvl>
    <w:lvl w:ilvl="5" w:tplc="241A001B" w:tentative="1">
      <w:start w:val="1"/>
      <w:numFmt w:val="lowerRoman"/>
      <w:lvlText w:val="%6."/>
      <w:lvlJc w:val="right"/>
      <w:pPr>
        <w:ind w:left="4440" w:hanging="180"/>
      </w:pPr>
    </w:lvl>
    <w:lvl w:ilvl="6" w:tplc="241A000F" w:tentative="1">
      <w:start w:val="1"/>
      <w:numFmt w:val="decimal"/>
      <w:lvlText w:val="%7."/>
      <w:lvlJc w:val="left"/>
      <w:pPr>
        <w:ind w:left="5160" w:hanging="360"/>
      </w:pPr>
    </w:lvl>
    <w:lvl w:ilvl="7" w:tplc="241A0019" w:tentative="1">
      <w:start w:val="1"/>
      <w:numFmt w:val="lowerLetter"/>
      <w:lvlText w:val="%8."/>
      <w:lvlJc w:val="left"/>
      <w:pPr>
        <w:ind w:left="5880" w:hanging="360"/>
      </w:pPr>
    </w:lvl>
    <w:lvl w:ilvl="8" w:tplc="2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9F44DB3"/>
    <w:multiLevelType w:val="hybridMultilevel"/>
    <w:tmpl w:val="27EA9698"/>
    <w:lvl w:ilvl="0" w:tplc="F6A4B916">
      <w:start w:val="9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513767F4"/>
    <w:multiLevelType w:val="hybridMultilevel"/>
    <w:tmpl w:val="91C0F244"/>
    <w:lvl w:ilvl="0" w:tplc="43962554">
      <w:start w:val="9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53CF70B6"/>
    <w:multiLevelType w:val="multilevel"/>
    <w:tmpl w:val="F908503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5ADE39CD"/>
    <w:multiLevelType w:val="hybridMultilevel"/>
    <w:tmpl w:val="7BCE0D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E3B78"/>
    <w:multiLevelType w:val="hybridMultilevel"/>
    <w:tmpl w:val="33DE1174"/>
    <w:lvl w:ilvl="0" w:tplc="A920B520">
      <w:start w:val="45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7E28"/>
    <w:rsid w:val="00004CDC"/>
    <w:rsid w:val="000201CD"/>
    <w:rsid w:val="000374B6"/>
    <w:rsid w:val="00042456"/>
    <w:rsid w:val="000507BE"/>
    <w:rsid w:val="000542B0"/>
    <w:rsid w:val="000727D4"/>
    <w:rsid w:val="00097B24"/>
    <w:rsid w:val="000A285E"/>
    <w:rsid w:val="000A713A"/>
    <w:rsid w:val="000B630B"/>
    <w:rsid w:val="000C1CAB"/>
    <w:rsid w:val="000C5B87"/>
    <w:rsid w:val="000C5C1B"/>
    <w:rsid w:val="000E311C"/>
    <w:rsid w:val="000E37B0"/>
    <w:rsid w:val="000F14E9"/>
    <w:rsid w:val="001206E0"/>
    <w:rsid w:val="0012095C"/>
    <w:rsid w:val="001449C3"/>
    <w:rsid w:val="0014622E"/>
    <w:rsid w:val="0014674B"/>
    <w:rsid w:val="00166D42"/>
    <w:rsid w:val="00167F0E"/>
    <w:rsid w:val="001732C4"/>
    <w:rsid w:val="00175613"/>
    <w:rsid w:val="00194206"/>
    <w:rsid w:val="001A0BB5"/>
    <w:rsid w:val="001A5F59"/>
    <w:rsid w:val="001B28BF"/>
    <w:rsid w:val="001B2901"/>
    <w:rsid w:val="001C7438"/>
    <w:rsid w:val="001D36BD"/>
    <w:rsid w:val="001D54A1"/>
    <w:rsid w:val="002012A9"/>
    <w:rsid w:val="002061DE"/>
    <w:rsid w:val="002175C4"/>
    <w:rsid w:val="00227B4D"/>
    <w:rsid w:val="002300DA"/>
    <w:rsid w:val="0023223A"/>
    <w:rsid w:val="00243187"/>
    <w:rsid w:val="00245B9E"/>
    <w:rsid w:val="00260EA5"/>
    <w:rsid w:val="00270E3B"/>
    <w:rsid w:val="002837A7"/>
    <w:rsid w:val="0028522C"/>
    <w:rsid w:val="002D45E6"/>
    <w:rsid w:val="002D66B5"/>
    <w:rsid w:val="002E76BE"/>
    <w:rsid w:val="002E7A71"/>
    <w:rsid w:val="002F48BE"/>
    <w:rsid w:val="00300756"/>
    <w:rsid w:val="00302A4A"/>
    <w:rsid w:val="0031547D"/>
    <w:rsid w:val="00325976"/>
    <w:rsid w:val="003328E0"/>
    <w:rsid w:val="003436A3"/>
    <w:rsid w:val="003531E3"/>
    <w:rsid w:val="00366966"/>
    <w:rsid w:val="00384038"/>
    <w:rsid w:val="00384E9A"/>
    <w:rsid w:val="003873D1"/>
    <w:rsid w:val="0039045D"/>
    <w:rsid w:val="0039378E"/>
    <w:rsid w:val="003B50D8"/>
    <w:rsid w:val="003C1015"/>
    <w:rsid w:val="003C2312"/>
    <w:rsid w:val="003D102E"/>
    <w:rsid w:val="003D3492"/>
    <w:rsid w:val="00413DF6"/>
    <w:rsid w:val="0042263A"/>
    <w:rsid w:val="0043053C"/>
    <w:rsid w:val="00465840"/>
    <w:rsid w:val="00484E09"/>
    <w:rsid w:val="004A4E01"/>
    <w:rsid w:val="004A54FF"/>
    <w:rsid w:val="004A6F39"/>
    <w:rsid w:val="004B142E"/>
    <w:rsid w:val="004C777E"/>
    <w:rsid w:val="004E1FE4"/>
    <w:rsid w:val="004F27C7"/>
    <w:rsid w:val="00501B34"/>
    <w:rsid w:val="00503BCC"/>
    <w:rsid w:val="00517BB9"/>
    <w:rsid w:val="00524A15"/>
    <w:rsid w:val="0052553F"/>
    <w:rsid w:val="00526A0A"/>
    <w:rsid w:val="005277BB"/>
    <w:rsid w:val="00537FC7"/>
    <w:rsid w:val="005573C9"/>
    <w:rsid w:val="00572FDD"/>
    <w:rsid w:val="00577E28"/>
    <w:rsid w:val="00586670"/>
    <w:rsid w:val="0059180B"/>
    <w:rsid w:val="005951A9"/>
    <w:rsid w:val="005B0363"/>
    <w:rsid w:val="005C619B"/>
    <w:rsid w:val="005C6477"/>
    <w:rsid w:val="005F101A"/>
    <w:rsid w:val="006269B9"/>
    <w:rsid w:val="00641937"/>
    <w:rsid w:val="00652B50"/>
    <w:rsid w:val="00660258"/>
    <w:rsid w:val="0066386D"/>
    <w:rsid w:val="0068224D"/>
    <w:rsid w:val="006839B3"/>
    <w:rsid w:val="006879DF"/>
    <w:rsid w:val="006B6297"/>
    <w:rsid w:val="006D0525"/>
    <w:rsid w:val="006E429B"/>
    <w:rsid w:val="006F2E9B"/>
    <w:rsid w:val="00704873"/>
    <w:rsid w:val="00707EF5"/>
    <w:rsid w:val="007141F8"/>
    <w:rsid w:val="0072433D"/>
    <w:rsid w:val="007452CC"/>
    <w:rsid w:val="00747CCB"/>
    <w:rsid w:val="0075180B"/>
    <w:rsid w:val="007608CD"/>
    <w:rsid w:val="00766092"/>
    <w:rsid w:val="00767087"/>
    <w:rsid w:val="00775476"/>
    <w:rsid w:val="00786782"/>
    <w:rsid w:val="00786F9F"/>
    <w:rsid w:val="007A766B"/>
    <w:rsid w:val="007B2514"/>
    <w:rsid w:val="007C1258"/>
    <w:rsid w:val="007D053B"/>
    <w:rsid w:val="007D28A3"/>
    <w:rsid w:val="007D794C"/>
    <w:rsid w:val="007E4017"/>
    <w:rsid w:val="007E4ACF"/>
    <w:rsid w:val="00806C06"/>
    <w:rsid w:val="00814198"/>
    <w:rsid w:val="0081748E"/>
    <w:rsid w:val="00821B01"/>
    <w:rsid w:val="00821E84"/>
    <w:rsid w:val="008255F7"/>
    <w:rsid w:val="00847C83"/>
    <w:rsid w:val="00857DF5"/>
    <w:rsid w:val="00866D7C"/>
    <w:rsid w:val="00870CA2"/>
    <w:rsid w:val="00871FF3"/>
    <w:rsid w:val="00881B24"/>
    <w:rsid w:val="008957BB"/>
    <w:rsid w:val="0089766C"/>
    <w:rsid w:val="008A228F"/>
    <w:rsid w:val="008B4362"/>
    <w:rsid w:val="008B6C42"/>
    <w:rsid w:val="008B79AF"/>
    <w:rsid w:val="008C358B"/>
    <w:rsid w:val="008E675C"/>
    <w:rsid w:val="008E7D0F"/>
    <w:rsid w:val="008F083D"/>
    <w:rsid w:val="008F16A2"/>
    <w:rsid w:val="00901617"/>
    <w:rsid w:val="00903603"/>
    <w:rsid w:val="00922BA5"/>
    <w:rsid w:val="00926D43"/>
    <w:rsid w:val="00953C14"/>
    <w:rsid w:val="00961518"/>
    <w:rsid w:val="009625DC"/>
    <w:rsid w:val="009A04E5"/>
    <w:rsid w:val="009A3AB5"/>
    <w:rsid w:val="009B0DDB"/>
    <w:rsid w:val="009D78AE"/>
    <w:rsid w:val="009F3153"/>
    <w:rsid w:val="00A00866"/>
    <w:rsid w:val="00A01268"/>
    <w:rsid w:val="00A1531C"/>
    <w:rsid w:val="00A16CB1"/>
    <w:rsid w:val="00A45F8B"/>
    <w:rsid w:val="00A62AB6"/>
    <w:rsid w:val="00A73CD1"/>
    <w:rsid w:val="00A754BC"/>
    <w:rsid w:val="00A772A1"/>
    <w:rsid w:val="00A803AB"/>
    <w:rsid w:val="00A85295"/>
    <w:rsid w:val="00A86939"/>
    <w:rsid w:val="00A94A4D"/>
    <w:rsid w:val="00AA5BD2"/>
    <w:rsid w:val="00AB3766"/>
    <w:rsid w:val="00AC05C2"/>
    <w:rsid w:val="00AC4023"/>
    <w:rsid w:val="00AE1B13"/>
    <w:rsid w:val="00AF5D71"/>
    <w:rsid w:val="00B0101B"/>
    <w:rsid w:val="00B11B42"/>
    <w:rsid w:val="00B12CE3"/>
    <w:rsid w:val="00B40A01"/>
    <w:rsid w:val="00B40EFF"/>
    <w:rsid w:val="00B51393"/>
    <w:rsid w:val="00B53CDF"/>
    <w:rsid w:val="00B5560E"/>
    <w:rsid w:val="00B623BE"/>
    <w:rsid w:val="00B6410C"/>
    <w:rsid w:val="00B72F79"/>
    <w:rsid w:val="00B76CD9"/>
    <w:rsid w:val="00B77530"/>
    <w:rsid w:val="00BA32C7"/>
    <w:rsid w:val="00BA39D0"/>
    <w:rsid w:val="00BD553B"/>
    <w:rsid w:val="00BE2047"/>
    <w:rsid w:val="00C057C6"/>
    <w:rsid w:val="00C16097"/>
    <w:rsid w:val="00C17C57"/>
    <w:rsid w:val="00C25D36"/>
    <w:rsid w:val="00C26EB6"/>
    <w:rsid w:val="00C30876"/>
    <w:rsid w:val="00C31157"/>
    <w:rsid w:val="00C50DDA"/>
    <w:rsid w:val="00C52AC2"/>
    <w:rsid w:val="00C577DB"/>
    <w:rsid w:val="00C80E81"/>
    <w:rsid w:val="00C874D3"/>
    <w:rsid w:val="00CA53D0"/>
    <w:rsid w:val="00CB23A8"/>
    <w:rsid w:val="00CF5424"/>
    <w:rsid w:val="00CF6016"/>
    <w:rsid w:val="00D152FA"/>
    <w:rsid w:val="00D211C0"/>
    <w:rsid w:val="00D547D1"/>
    <w:rsid w:val="00D72675"/>
    <w:rsid w:val="00D862CF"/>
    <w:rsid w:val="00DA275E"/>
    <w:rsid w:val="00DB122D"/>
    <w:rsid w:val="00DC53D2"/>
    <w:rsid w:val="00DC7D5A"/>
    <w:rsid w:val="00DF62B8"/>
    <w:rsid w:val="00E07054"/>
    <w:rsid w:val="00E111A7"/>
    <w:rsid w:val="00E152F4"/>
    <w:rsid w:val="00E17ABD"/>
    <w:rsid w:val="00E248E0"/>
    <w:rsid w:val="00E24F2A"/>
    <w:rsid w:val="00E31295"/>
    <w:rsid w:val="00E43C27"/>
    <w:rsid w:val="00E60B05"/>
    <w:rsid w:val="00E66481"/>
    <w:rsid w:val="00E7234D"/>
    <w:rsid w:val="00E7408E"/>
    <w:rsid w:val="00E81182"/>
    <w:rsid w:val="00E842DC"/>
    <w:rsid w:val="00ED2B41"/>
    <w:rsid w:val="00ED595F"/>
    <w:rsid w:val="00EF7DA6"/>
    <w:rsid w:val="00F01036"/>
    <w:rsid w:val="00F01CF6"/>
    <w:rsid w:val="00F0304D"/>
    <w:rsid w:val="00F05D88"/>
    <w:rsid w:val="00F07473"/>
    <w:rsid w:val="00F17D79"/>
    <w:rsid w:val="00F17DCE"/>
    <w:rsid w:val="00F26BCB"/>
    <w:rsid w:val="00F448E7"/>
    <w:rsid w:val="00F5274B"/>
    <w:rsid w:val="00F71F7D"/>
    <w:rsid w:val="00F97A85"/>
    <w:rsid w:val="00FA0199"/>
    <w:rsid w:val="00FA1D28"/>
    <w:rsid w:val="00FA7DBF"/>
    <w:rsid w:val="00FB32F3"/>
    <w:rsid w:val="00FD1A1C"/>
    <w:rsid w:val="00FD77C1"/>
    <w:rsid w:val="00FE2D9F"/>
    <w:rsid w:val="00FF060C"/>
    <w:rsid w:val="00FF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1">
    <w:name w:val="broj1"/>
    <w:basedOn w:val="Normal"/>
    <w:rsid w:val="00577E28"/>
    <w:pPr>
      <w:spacing w:before="100" w:beforeAutospacing="1" w:after="0" w:line="210" w:lineRule="atLeast"/>
      <w:ind w:firstLine="480"/>
      <w:jc w:val="center"/>
    </w:pPr>
    <w:rPr>
      <w:rFonts w:ascii="Verdana" w:eastAsia="Times New Roman" w:hAnsi="Verdana" w:cs="Times New Roman"/>
      <w:b/>
      <w:bCs/>
      <w:sz w:val="15"/>
      <w:szCs w:val="15"/>
    </w:rPr>
  </w:style>
  <w:style w:type="paragraph" w:customStyle="1" w:styleId="odluka-zakon1">
    <w:name w:val="odluka-zakon1"/>
    <w:basedOn w:val="Normal"/>
    <w:rsid w:val="00577E28"/>
    <w:pPr>
      <w:spacing w:before="360" w:after="150" w:line="210" w:lineRule="atLeast"/>
      <w:ind w:firstLine="480"/>
      <w:jc w:val="center"/>
    </w:pPr>
    <w:rPr>
      <w:rFonts w:ascii="Verdana" w:eastAsia="Times New Roman" w:hAnsi="Verdana" w:cs="Times New Roman"/>
      <w:b/>
      <w:bCs/>
      <w:sz w:val="15"/>
      <w:szCs w:val="15"/>
    </w:rPr>
  </w:style>
  <w:style w:type="paragraph" w:customStyle="1" w:styleId="naslov1">
    <w:name w:val="naslov1"/>
    <w:basedOn w:val="Normal"/>
    <w:rsid w:val="00577E28"/>
    <w:pPr>
      <w:spacing w:before="100" w:beforeAutospacing="1" w:after="0" w:line="210" w:lineRule="atLeast"/>
      <w:ind w:firstLine="480"/>
      <w:jc w:val="center"/>
    </w:pPr>
    <w:rPr>
      <w:rFonts w:ascii="Verdana" w:eastAsia="Times New Roman" w:hAnsi="Verdana" w:cs="Times New Roman"/>
      <w:b/>
      <w:bCs/>
      <w:sz w:val="15"/>
      <w:szCs w:val="15"/>
    </w:rPr>
  </w:style>
  <w:style w:type="paragraph" w:customStyle="1" w:styleId="clan1">
    <w:name w:val="clan1"/>
    <w:basedOn w:val="Normal"/>
    <w:rsid w:val="00577E28"/>
    <w:pPr>
      <w:spacing w:before="420" w:after="0" w:line="210" w:lineRule="atLeast"/>
      <w:ind w:firstLine="480"/>
      <w:jc w:val="center"/>
    </w:pPr>
    <w:rPr>
      <w:rFonts w:ascii="Verdana" w:eastAsia="Times New Roman" w:hAnsi="Verdana" w:cs="Times New Roman"/>
      <w:sz w:val="15"/>
      <w:szCs w:val="15"/>
    </w:rPr>
  </w:style>
  <w:style w:type="paragraph" w:customStyle="1" w:styleId="potpis1">
    <w:name w:val="potpis1"/>
    <w:basedOn w:val="Normal"/>
    <w:rsid w:val="00577E28"/>
    <w:pPr>
      <w:spacing w:before="100" w:beforeAutospacing="1" w:after="0" w:line="210" w:lineRule="atLeast"/>
      <w:ind w:firstLine="480"/>
      <w:jc w:val="right"/>
    </w:pPr>
    <w:rPr>
      <w:rFonts w:ascii="Verdana" w:eastAsia="Times New Roman" w:hAnsi="Verdana" w:cs="Times New Roman"/>
      <w:sz w:val="15"/>
      <w:szCs w:val="15"/>
    </w:rPr>
  </w:style>
  <w:style w:type="character" w:customStyle="1" w:styleId="bold1">
    <w:name w:val="bold1"/>
    <w:basedOn w:val="DefaultParagraphFont"/>
    <w:rsid w:val="00577E28"/>
    <w:rPr>
      <w:b/>
      <w:bCs/>
    </w:rPr>
  </w:style>
  <w:style w:type="paragraph" w:customStyle="1" w:styleId="bold2">
    <w:name w:val="bold2"/>
    <w:basedOn w:val="Normal"/>
    <w:rsid w:val="00577E28"/>
    <w:pPr>
      <w:spacing w:before="100" w:beforeAutospacing="1" w:after="0" w:line="210" w:lineRule="atLeast"/>
      <w:ind w:firstLine="480"/>
      <w:jc w:val="center"/>
    </w:pPr>
    <w:rPr>
      <w:rFonts w:ascii="Verdana" w:eastAsia="Times New Roman" w:hAnsi="Verdana" w:cs="Times New Roman"/>
      <w:b/>
      <w:bCs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7E4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A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A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A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A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0D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xt1">
    <w:name w:val="Text 1"/>
    <w:basedOn w:val="Normal"/>
    <w:rsid w:val="001D36BD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16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D42"/>
  </w:style>
  <w:style w:type="paragraph" w:styleId="Footer">
    <w:name w:val="footer"/>
    <w:basedOn w:val="Normal"/>
    <w:link w:val="FooterChar"/>
    <w:uiPriority w:val="99"/>
    <w:unhideWhenUsed/>
    <w:rsid w:val="0016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D42"/>
  </w:style>
  <w:style w:type="character" w:customStyle="1" w:styleId="rvts3">
    <w:name w:val="rvts3"/>
    <w:basedOn w:val="DefaultParagraphFont"/>
    <w:rsid w:val="007608CD"/>
  </w:style>
  <w:style w:type="paragraph" w:customStyle="1" w:styleId="rvps1">
    <w:name w:val="rvps1"/>
    <w:basedOn w:val="Normal"/>
    <w:rsid w:val="0076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608C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08CD"/>
    <w:rPr>
      <w:rFonts w:ascii="Consolas" w:eastAsia="Calibri" w:hAnsi="Consolas" w:cs="Times New Roman"/>
      <w:sz w:val="21"/>
      <w:szCs w:val="21"/>
    </w:rPr>
  </w:style>
  <w:style w:type="paragraph" w:customStyle="1" w:styleId="1tekst">
    <w:name w:val="1tekst"/>
    <w:basedOn w:val="Normal"/>
    <w:rsid w:val="007608CD"/>
    <w:pPr>
      <w:spacing w:after="0" w:line="240" w:lineRule="auto"/>
      <w:ind w:left="250" w:right="250" w:firstLine="240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7608CD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608CD"/>
    <w:rPr>
      <w:rFonts w:ascii="Times New Roman" w:eastAsia="Calibri" w:hAnsi="Times New Roman" w:cs="Times New Roman"/>
      <w:sz w:val="24"/>
      <w:szCs w:val="24"/>
      <w:lang w:eastAsia="en-GB"/>
    </w:rPr>
  </w:style>
  <w:style w:type="paragraph" w:customStyle="1" w:styleId="stil1tekst">
    <w:name w:val="stil_1tekst"/>
    <w:basedOn w:val="Normal"/>
    <w:rsid w:val="00A754BC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C93CE-DBF6-4214-B905-57ADDB5F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4510</Words>
  <Characters>25710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dubravka.bucalovic</dc:creator>
  <cp:lastModifiedBy>jovan</cp:lastModifiedBy>
  <cp:revision>2</cp:revision>
  <cp:lastPrinted>2018-02-23T06:13:00Z</cp:lastPrinted>
  <dcterms:created xsi:type="dcterms:W3CDTF">2018-02-23T13:20:00Z</dcterms:created>
  <dcterms:modified xsi:type="dcterms:W3CDTF">2018-02-23T13:20:00Z</dcterms:modified>
</cp:coreProperties>
</file>