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D8" w:rsidRPr="00667752" w:rsidRDefault="008657D8" w:rsidP="008657D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Cyrl-CS"/>
        </w:rPr>
      </w:pPr>
    </w:p>
    <w:p w:rsidR="008657D8" w:rsidRPr="00667752" w:rsidRDefault="008657D8" w:rsidP="008657D8">
      <w:pPr>
        <w:spacing w:after="0" w:line="240" w:lineRule="auto"/>
        <w:ind w:firstLine="720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br/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br/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Na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osnovu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člana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8.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Zakona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o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budžetu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Republike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Srbije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2016.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godinu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>(„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broj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103/15)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i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člana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17.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stav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1.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i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člana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42.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stav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1.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Zakona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o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Vladi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>(„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br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. 55/ 05, 71/05 </w:t>
      </w:r>
      <w:r w:rsidRPr="00667752">
        <w:rPr>
          <w:rFonts w:ascii="Cambria Math" w:eastAsia="Calibri" w:hAnsi="Cambria Math" w:cs="Cambria Math"/>
          <w:noProof/>
          <w:sz w:val="24"/>
          <w:szCs w:val="24"/>
          <w:lang w:val="sr-Latn-CS"/>
        </w:rPr>
        <w:t>‒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ispravka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, 101/07, 65/08, 16/11,  68/12 –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US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>, 72/12, 7/14 –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US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/>
        </w:rPr>
        <w:t>i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44/14),  </w:t>
      </w:r>
    </w:p>
    <w:p w:rsidR="008657D8" w:rsidRPr="00667752" w:rsidRDefault="008657D8" w:rsidP="008657D8">
      <w:p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</w:p>
    <w:p w:rsidR="008657D8" w:rsidRPr="00667752" w:rsidRDefault="008657D8" w:rsidP="008657D8">
      <w:pPr>
        <w:tabs>
          <w:tab w:val="left" w:pos="3119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         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8657D8" w:rsidRPr="00667752" w:rsidRDefault="008657D8" w:rsidP="008657D8">
      <w:pPr>
        <w:tabs>
          <w:tab w:val="left" w:pos="3119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657D8" w:rsidRPr="00667752" w:rsidRDefault="00667752" w:rsidP="008657D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UREDBU</w:t>
      </w:r>
    </w:p>
    <w:p w:rsidR="008657D8" w:rsidRPr="00667752" w:rsidRDefault="00667752" w:rsidP="008657D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UTVRĐIVANJU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PROGRAMA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PODRŠKE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MALIM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PREDUZEĆIMA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ZA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NABAVKU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OPREME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GODINI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</w:p>
    <w:p w:rsidR="008657D8" w:rsidRPr="00667752" w:rsidRDefault="008657D8" w:rsidP="008657D8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657D8" w:rsidRPr="00667752" w:rsidRDefault="00667752" w:rsidP="008657D8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8657D8" w:rsidRPr="00667752" w:rsidRDefault="00667752" w:rsidP="008657D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8657D8"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podrške</w:t>
      </w:r>
      <w:r w:rsidR="008657D8"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malim</w:t>
      </w:r>
      <w:r w:rsidR="008657D8"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preduzećima</w:t>
      </w:r>
      <w:r w:rsidR="008657D8"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za</w:t>
      </w:r>
      <w:r w:rsidR="008657D8"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nabavku</w:t>
      </w:r>
      <w:r w:rsidR="008657D8"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opreme</w:t>
      </w:r>
      <w:r w:rsidR="008657D8"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/>
        </w:rPr>
        <w:t>u</w:t>
      </w:r>
      <w:r w:rsidR="008657D8"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 xml:space="preserve"> 2016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odštampan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ovu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uredbu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čini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sastavni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657D8" w:rsidRPr="00667752" w:rsidRDefault="008657D8" w:rsidP="008657D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657D8" w:rsidRPr="00667752" w:rsidRDefault="00667752" w:rsidP="008657D8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8657D8" w:rsidRPr="00667752" w:rsidRDefault="00667752" w:rsidP="008657D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obezbeđena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”,  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103/15).</w:t>
      </w:r>
    </w:p>
    <w:p w:rsidR="008657D8" w:rsidRPr="00667752" w:rsidRDefault="008657D8" w:rsidP="008657D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657D8" w:rsidRPr="00667752" w:rsidRDefault="00667752" w:rsidP="008657D8">
      <w:pPr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8657D8" w:rsidRPr="00667752" w:rsidRDefault="00667752" w:rsidP="008657D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8657D8" w:rsidRPr="00667752">
        <w:rPr>
          <w:rFonts w:ascii="Cambria Math" w:hAnsi="Cambria Math" w:cs="Cambria Math"/>
          <w:noProof/>
          <w:sz w:val="24"/>
          <w:szCs w:val="24"/>
          <w:lang w:val="sr-Latn-CS"/>
        </w:rPr>
        <w:t>ˮ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8657D8" w:rsidRPr="00667752" w:rsidRDefault="008657D8" w:rsidP="008657D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657D8" w:rsidRPr="00667752" w:rsidRDefault="008657D8" w:rsidP="008657D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657D8" w:rsidRPr="00667752" w:rsidRDefault="008657D8" w:rsidP="008657D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657D8" w:rsidRPr="00667752" w:rsidRDefault="00667752" w:rsidP="008657D8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>: 110-2456/2016-1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8657D8" w:rsidRPr="00667752" w:rsidRDefault="00667752" w:rsidP="008657D8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25. </w:t>
      </w:r>
      <w:r>
        <w:rPr>
          <w:rFonts w:ascii="Times New Roman" w:hAnsi="Times New Roman"/>
          <w:noProof/>
          <w:sz w:val="24"/>
          <w:szCs w:val="24"/>
          <w:lang w:val="sr-Latn-CS"/>
        </w:rPr>
        <w:t>marta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</w:p>
    <w:p w:rsidR="008657D8" w:rsidRPr="00667752" w:rsidRDefault="008657D8" w:rsidP="008657D8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657D8" w:rsidRPr="00667752" w:rsidRDefault="008657D8" w:rsidP="008657D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657D8" w:rsidRPr="00667752" w:rsidRDefault="008657D8" w:rsidP="008657D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657D8" w:rsidRPr="00667752" w:rsidRDefault="008657D8" w:rsidP="008657D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657D8" w:rsidRPr="00667752" w:rsidRDefault="00667752" w:rsidP="008657D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8657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</w:p>
    <w:p w:rsidR="008657D8" w:rsidRPr="00667752" w:rsidRDefault="008657D8" w:rsidP="008657D8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657D8" w:rsidRPr="00667752" w:rsidRDefault="008657D8" w:rsidP="008657D8">
      <w:pPr>
        <w:tabs>
          <w:tab w:val="left" w:pos="6521"/>
        </w:tabs>
        <w:ind w:left="360" w:firstLine="360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PREDSEDNIK</w:t>
      </w:r>
    </w:p>
    <w:p w:rsidR="008657D8" w:rsidRPr="00667752" w:rsidRDefault="008657D8" w:rsidP="008657D8">
      <w:pPr>
        <w:spacing w:after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8657D8" w:rsidRPr="00667752" w:rsidRDefault="008657D8" w:rsidP="008657D8">
      <w:pPr>
        <w:ind w:left="360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Aleksandar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Vučić</w:t>
      </w:r>
    </w:p>
    <w:p w:rsidR="008657D8" w:rsidRPr="00667752" w:rsidRDefault="008657D8" w:rsidP="008657D8">
      <w:pPr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</w:p>
    <w:p w:rsidR="008657D8" w:rsidRPr="00667752" w:rsidRDefault="008657D8" w:rsidP="008657D8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8657D8" w:rsidRPr="00667752" w:rsidRDefault="008657D8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Cyrl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br w:type="page"/>
      </w:r>
    </w:p>
    <w:p w:rsidR="008657D8" w:rsidRPr="00667752" w:rsidRDefault="008657D8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 w:eastAsia="sr-Cyrl-CS"/>
        </w:rPr>
      </w:pPr>
    </w:p>
    <w:p w:rsidR="004C5AAB" w:rsidRPr="00667752" w:rsidRDefault="00667752" w:rsidP="004C5AAB">
      <w:pPr>
        <w:spacing w:after="0"/>
        <w:jc w:val="center"/>
        <w:rPr>
          <w:rFonts w:ascii="Times New Roman" w:hAnsi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PROGRAM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PODRŠKE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MALIM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PREDUZEĆIMA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NABAVKU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OPREME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</w:t>
      </w:r>
    </w:p>
    <w:p w:rsidR="002F2592" w:rsidRPr="00667752" w:rsidRDefault="00667752" w:rsidP="004C5AAB">
      <w:pPr>
        <w:spacing w:after="0"/>
        <w:jc w:val="center"/>
        <w:rPr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 201</w:t>
      </w:r>
      <w:r w:rsidR="002171BF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>6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 w:eastAsia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 w:eastAsia="sr-Cyrl-CS"/>
        </w:rPr>
        <w:t>GODINI</w:t>
      </w:r>
    </w:p>
    <w:p w:rsidR="00237CFC" w:rsidRPr="00667752" w:rsidRDefault="00237CFC" w:rsidP="00237CFC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667752" w:rsidP="00237CFC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</w:p>
    <w:p w:rsidR="002F2592" w:rsidRPr="00667752" w:rsidRDefault="002F2592" w:rsidP="002F2592">
      <w:pPr>
        <w:spacing w:after="0" w:line="240" w:lineRule="auto"/>
        <w:ind w:left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E50CD" w:rsidRPr="00667752" w:rsidRDefault="00667752" w:rsidP="003D372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201</w:t>
      </w:r>
      <w:r w:rsidR="002171BF" w:rsidRPr="00667752">
        <w:rPr>
          <w:rFonts w:ascii="Times New Roman" w:hAnsi="Times New Roman"/>
          <w:noProof/>
          <w:sz w:val="24"/>
          <w:szCs w:val="24"/>
          <w:lang w:val="sr-Latn-CS"/>
        </w:rPr>
        <w:t>6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”,</w:t>
      </w:r>
      <w:r w:rsidR="002F2592" w:rsidRPr="00667752">
        <w:rPr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64AA1"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>103/</w:t>
      </w:r>
      <w:r w:rsidR="002171BF" w:rsidRPr="00667752">
        <w:rPr>
          <w:rFonts w:ascii="Times New Roman" w:eastAsia="Calibri" w:hAnsi="Times New Roman"/>
          <w:noProof/>
          <w:sz w:val="24"/>
          <w:szCs w:val="24"/>
          <w:lang w:val="sr-Latn-CS"/>
        </w:rPr>
        <w:t>15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412F9" w:rsidRPr="00667752">
        <w:rPr>
          <w:rFonts w:ascii="Times New Roman" w:hAnsi="Times New Roman"/>
          <w:noProof/>
          <w:sz w:val="24"/>
          <w:szCs w:val="24"/>
          <w:lang w:val="sr-Latn-CS"/>
        </w:rPr>
        <w:t>8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okviru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razdela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20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Ministarstvo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privrede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,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Glav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a 20.0,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150</w:t>
      </w:r>
      <w:r w:rsidR="00B948F3" w:rsidRPr="00667752">
        <w:rPr>
          <w:rFonts w:ascii="Times New Roman" w:hAnsi="Times New Roman"/>
          <w:noProof/>
          <w:sz w:val="24"/>
          <w:szCs w:val="24"/>
          <w:lang w:val="sr-Latn-CS"/>
        </w:rPr>
        <w:t>9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Podsticaji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konkurentnosti</w:t>
      </w:r>
      <w:r w:rsidR="00B948F3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410 -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Projekat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400</w:t>
      </w:r>
      <w:r w:rsidR="00B948F3" w:rsidRPr="00667752">
        <w:rPr>
          <w:rFonts w:ascii="Times New Roman" w:hAnsi="Times New Roman"/>
          <w:noProof/>
          <w:sz w:val="24"/>
          <w:szCs w:val="24"/>
          <w:lang w:val="sr-Latn-CS"/>
        </w:rPr>
        <w:t>2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B948F3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preduzetništva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klasifikacija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451 - </w:t>
      </w:r>
      <w:r>
        <w:rPr>
          <w:rFonts w:ascii="Times New Roman" w:hAnsi="Times New Roman"/>
          <w:noProof/>
          <w:sz w:val="24"/>
          <w:szCs w:val="24"/>
          <w:lang w:val="sr-Latn-CS"/>
        </w:rPr>
        <w:t>Subvencije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nefinansijskim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opredeljena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E50CD" w:rsidRPr="00667752">
        <w:rPr>
          <w:rFonts w:ascii="Times New Roman" w:hAnsi="Times New Roman"/>
          <w:noProof/>
          <w:sz w:val="24"/>
          <w:szCs w:val="24"/>
          <w:lang w:val="sr-Latn-CS"/>
        </w:rPr>
        <w:t>5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00.000.000,00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namenjena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201</w:t>
      </w:r>
      <w:r w:rsidR="00EE50CD" w:rsidRPr="00667752">
        <w:rPr>
          <w:rFonts w:ascii="Times New Roman" w:hAnsi="Times New Roman"/>
          <w:noProof/>
          <w:sz w:val="24"/>
          <w:szCs w:val="24"/>
          <w:lang w:val="sr-Latn-CS"/>
        </w:rPr>
        <w:t>6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).</w:t>
      </w:r>
      <w:r w:rsidR="002F2592" w:rsidRPr="00667752">
        <w:rPr>
          <w:noProof/>
          <w:color w:val="FF0000"/>
          <w:sz w:val="24"/>
          <w:szCs w:val="24"/>
          <w:lang w:val="sr-Latn-CS"/>
        </w:rPr>
        <w:t xml:space="preserve"> </w:t>
      </w:r>
    </w:p>
    <w:p w:rsidR="00F029AB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Neutrošena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177DE" w:rsidRPr="00667752">
        <w:rPr>
          <w:rFonts w:ascii="Times New Roman" w:hAnsi="Times New Roman"/>
          <w:noProof/>
          <w:sz w:val="24"/>
          <w:szCs w:val="24"/>
          <w:lang w:val="sr-Latn-CS"/>
        </w:rPr>
        <w:t>4</w:t>
      </w:r>
      <w:r w:rsidR="00535E48" w:rsidRPr="00667752">
        <w:rPr>
          <w:rFonts w:ascii="Times New Roman" w:hAnsi="Times New Roman"/>
          <w:noProof/>
          <w:sz w:val="24"/>
          <w:szCs w:val="24"/>
          <w:lang w:val="sr-Latn-CS"/>
        </w:rPr>
        <w:t>2</w:t>
      </w:r>
      <w:r w:rsidR="001177D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.000.000,00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preneta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Uredbom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utvrđivanju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C459C" w:rsidRPr="00667752">
        <w:rPr>
          <w:rFonts w:ascii="Times New Roman" w:hAnsi="Times New Roman"/>
          <w:noProof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CC459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CC459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CC459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CC459C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80/15, 113/15)</w:t>
      </w:r>
      <w:r w:rsidR="00CC459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koristiće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subvencionisanje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malim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3D3728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de minimis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državnu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95-97.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pravilima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>”,</w:t>
      </w:r>
      <w:r w:rsidR="00F029AB" w:rsidRPr="00667752">
        <w:rPr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13/10, 100/11, 91/12, 37/13, 97/13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119/14</w:t>
      </w:r>
      <w:r w:rsidR="00C37BC3" w:rsidRPr="00667752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Program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sprovodi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Razvojnom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odabranim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bankama</w:t>
      </w:r>
      <w:r w:rsidR="0010021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0021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10021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85F95" w:rsidRPr="00667752" w:rsidRDefault="00085F95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667752" w:rsidP="00237CFC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</w:p>
    <w:p w:rsidR="002F2592" w:rsidRPr="00667752" w:rsidRDefault="002F2592" w:rsidP="002F2592">
      <w:pPr>
        <w:spacing w:after="0" w:line="240" w:lineRule="auto"/>
        <w:ind w:left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jačanje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konkurentnosti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njihovog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internacionalizacije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kreiranje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mesta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667752" w:rsidP="002F259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Specifični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2F2592" w:rsidRPr="00667752" w:rsidRDefault="00667752" w:rsidP="002F2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tehnoloških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procesa</w:t>
      </w:r>
      <w:r w:rsidR="00A27F8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40193" w:rsidRPr="00667752" w:rsidRDefault="00D40193" w:rsidP="002F2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poboljšanje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konkurentnosti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proizvođača</w:t>
      </w:r>
      <w:r w:rsidR="00A61386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povećanje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rizika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BE341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proizvodne</w:t>
      </w:r>
      <w:r w:rsidR="00BE341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104F45" w:rsidRPr="00667752" w:rsidRDefault="00667752" w:rsidP="002F2592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niže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povećavanje</w:t>
      </w:r>
      <w:r w:rsidR="000F304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ponude</w:t>
      </w:r>
      <w:r w:rsidR="00707C9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dugoročnih</w:t>
      </w:r>
      <w:r w:rsidR="00104F4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104F4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104F45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2F2592" w:rsidRPr="00667752" w:rsidRDefault="00667752" w:rsidP="002F2592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promovisanje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zaloge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primarnog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dovoljnog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poboljšanje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ponude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10021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0021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10021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proizvodne</w:t>
      </w:r>
      <w:r w:rsidR="00104F4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jačanje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partnerstva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10021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10021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sektora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D33F7" w:rsidRPr="00667752" w:rsidRDefault="00ED33F7" w:rsidP="00ED3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D33F7" w:rsidRPr="00667752" w:rsidRDefault="00ED33F7" w:rsidP="00ED3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D33F7" w:rsidRPr="00667752" w:rsidRDefault="00ED33F7" w:rsidP="00ED3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91581F" w:rsidRPr="00667752" w:rsidRDefault="0091581F" w:rsidP="00ED3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667752" w:rsidP="00237CFC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NAMENA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</w:p>
    <w:p w:rsidR="002F2592" w:rsidRPr="00667752" w:rsidRDefault="002F2592" w:rsidP="002F2592">
      <w:pPr>
        <w:spacing w:after="0" w:line="240" w:lineRule="auto"/>
        <w:ind w:left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Sredstva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opredeljena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namenjena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sufinansiranje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proizvodne</w:t>
      </w:r>
      <w:r w:rsidR="00104F4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49540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9540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49540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direktno</w:t>
      </w:r>
      <w:r w:rsidR="0049540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uključene</w:t>
      </w:r>
      <w:r w:rsidR="0049540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9540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proces</w:t>
      </w:r>
      <w:r w:rsidR="0049540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proizvodnje</w:t>
      </w:r>
      <w:r w:rsidR="00FD0A8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D0A8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A6138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FD0A8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proizvodne</w:t>
      </w:r>
      <w:r w:rsidR="00FD0A8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FD0A84" w:rsidRPr="00667752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F2592" w:rsidRPr="00667752" w:rsidRDefault="002F2592" w:rsidP="002F2592">
      <w:pPr>
        <w:pStyle w:val="ListParagraph"/>
        <w:tabs>
          <w:tab w:val="center" w:pos="0"/>
        </w:tabs>
        <w:spacing w:after="0" w:line="240" w:lineRule="auto"/>
        <w:ind w:left="71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nove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proizvodne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mašina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2F2592" w:rsidP="002F2592">
      <w:pPr>
        <w:pStyle w:val="ListParagraph"/>
        <w:tabs>
          <w:tab w:val="center" w:pos="0"/>
        </w:tabs>
        <w:spacing w:after="0" w:line="240" w:lineRule="auto"/>
        <w:ind w:left="71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polovne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proizvodne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mašina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starije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pet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ED795C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C0E2E" w:rsidRPr="00667752" w:rsidRDefault="002F2592" w:rsidP="00ED33F7">
      <w:pPr>
        <w:tabs>
          <w:tab w:val="left" w:pos="709"/>
          <w:tab w:val="left" w:pos="993"/>
        </w:tabs>
        <w:spacing w:after="0" w:line="240" w:lineRule="auto"/>
        <w:ind w:left="71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3)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novih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delova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specijalizovanih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alata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mašine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drugih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kapitalnih</w:t>
      </w:r>
      <w:r w:rsidR="00233E88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dobara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koja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će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koristiti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F029AB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proizvodnju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razmenjivih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dobara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DC0E2E" w:rsidRPr="00667752" w:rsidRDefault="00DC0E2E" w:rsidP="002F259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667752" w:rsidP="002F2592">
      <w:pPr>
        <w:spacing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Oprema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dodeljuju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934D4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kupljena</w:t>
      </w:r>
      <w:r w:rsidR="00934D4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934D4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fizičkog</w:t>
      </w:r>
      <w:r w:rsidR="00934D4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934D4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934D4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667752" w:rsidRDefault="002F2592" w:rsidP="00EB3682">
      <w:pPr>
        <w:pStyle w:val="ListParagraph"/>
        <w:tabs>
          <w:tab w:val="left" w:pos="720"/>
          <w:tab w:val="left" w:pos="113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6412F9" w:rsidRPr="00667752" w:rsidRDefault="00667752" w:rsidP="006412F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porez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dodatu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PDV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6412F9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putničkih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vozil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a; </w:t>
      </w:r>
    </w:p>
    <w:p w:rsidR="002F2592" w:rsidRPr="00667752" w:rsidRDefault="00667752" w:rsidP="002F2592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pokrivanje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carinski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administrativni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transporta</w:t>
      </w:r>
      <w:r w:rsidR="00F029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špedicije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skladištenja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manipulacije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montaže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instaliranja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obuke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pokrivanje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odobravanjem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bankarskog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8E2EE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8E2EE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="008E2EE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lizinga</w:t>
      </w:r>
      <w:r w:rsidR="008E2EEA" w:rsidRPr="0066775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trošak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kreditnog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biroa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zaloge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APR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pokretnosti</w:t>
      </w:r>
      <w:r w:rsidR="0045354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kursnih</w:t>
      </w:r>
      <w:r w:rsidR="0045354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razlik</w:t>
      </w:r>
      <w:r w:rsidR="0045354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5354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refundaciju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nabavljenu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zajmove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reprogram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a;</w:t>
      </w:r>
    </w:p>
    <w:p w:rsidR="002F2592" w:rsidRPr="00667752" w:rsidRDefault="00667752" w:rsidP="002F2592">
      <w:pPr>
        <w:numPr>
          <w:ilvl w:val="0"/>
          <w:numId w:val="7"/>
        </w:numPr>
        <w:spacing w:after="0" w:line="240" w:lineRule="auto"/>
        <w:ind w:left="0" w:firstLine="993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ostale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2F2592" w:rsidP="002F2592">
      <w:pPr>
        <w:spacing w:after="12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A5D92" w:rsidRPr="00667752" w:rsidRDefault="00667752" w:rsidP="00EF5372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</w:t>
      </w:r>
    </w:p>
    <w:p w:rsidR="000D52CF" w:rsidRPr="00667752" w:rsidRDefault="000D52CF">
      <w:pPr>
        <w:spacing w:after="0" w:line="240" w:lineRule="auto"/>
        <w:ind w:left="36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148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2148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2148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uključene</w:t>
      </w:r>
      <w:r w:rsidR="002148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148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2148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148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uslovno</w:t>
      </w:r>
      <w:r w:rsidR="002148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</w:t>
      </w:r>
      <w:r w:rsidR="002148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</w:t>
      </w:r>
      <w:r w:rsidR="002148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2148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2148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sufinansiranje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25%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proizvodne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667752" w:rsidRDefault="00667752" w:rsidP="002F25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9570B7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5%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proizvodne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preostalih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70%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proizvodne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lizinga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uključenih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F36270" w:rsidRPr="00667752" w:rsidRDefault="00667752" w:rsidP="00F36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25%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proizvodne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250.000,00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niti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2.500.000,00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4B3AFA" w:rsidRPr="00667752" w:rsidRDefault="00667752" w:rsidP="00F36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nabavna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cena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iskazana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profakturi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predračunu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predugovoru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uključuje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PDV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transporta</w:t>
      </w:r>
      <w:r w:rsidR="001B0E27" w:rsidRPr="0066775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vezi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nabavkom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puštanjem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4B3AFA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1485E" w:rsidRPr="00667752" w:rsidRDefault="00353DF0" w:rsidP="00F156D8">
      <w:pPr>
        <w:pStyle w:val="ListParagraph"/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Nabavna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cena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profakturi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predračunu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predugovoru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domaćih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dobavljača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iskazana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dinarima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 w:rsidR="00FD0A8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D0A8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FD0A8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nabavke</w:t>
      </w:r>
      <w:r w:rsidR="00FD0A8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proizvodne</w:t>
      </w:r>
      <w:r w:rsidR="00FD0A8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FD0A8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FD0A8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inostranstva</w:t>
      </w:r>
      <w:r w:rsidR="00FD0A8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FD0A8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FD0A8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iskazana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stranoj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valuti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profakturi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predračunu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predugovoru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preračunava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srednjem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kursu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E1303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FD0A84" w:rsidRPr="00667752" w:rsidRDefault="00667752" w:rsidP="00F156D8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Sve</w:t>
      </w:r>
      <w:r w:rsidR="00FD0A84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eventualne</w:t>
      </w:r>
      <w:r w:rsidR="00353DF0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kasnije</w:t>
      </w:r>
      <w:r w:rsidR="00353DF0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nastale</w:t>
      </w:r>
      <w:r w:rsidR="00353DF0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kursne</w:t>
      </w:r>
      <w:r w:rsidR="00FD0A84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razlike</w:t>
      </w:r>
      <w:r w:rsidR="00FD0A84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FD0A84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slučaju</w:t>
      </w:r>
      <w:r w:rsidR="00FD0A84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nabavke</w:t>
      </w:r>
      <w:r w:rsidR="00FD0A84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opreme</w:t>
      </w:r>
      <w:r w:rsidR="00FD0A84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</w:t>
      </w:r>
      <w:r w:rsidR="00FD0A84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inostranstva</w:t>
      </w:r>
      <w:r w:rsidR="00FD0A84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snosi</w:t>
      </w:r>
      <w:r w:rsidR="00FD0A84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podnosilac</w:t>
      </w:r>
      <w:r w:rsidR="00FD0A84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zahteva</w:t>
      </w:r>
      <w:r w:rsidR="00FD0A84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FD0A84" w:rsidRPr="00667752" w:rsidRDefault="00FD0A84" w:rsidP="00F156D8">
      <w:pPr>
        <w:pStyle w:val="ListParagraph"/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D52CF" w:rsidRPr="00667752" w:rsidRDefault="00667752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</w:p>
    <w:p w:rsidR="0021485E" w:rsidRPr="00667752" w:rsidRDefault="0021485E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proizvodne</w:t>
      </w:r>
      <w:r w:rsidR="00E1303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E1303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10.000.000,00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razliku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uveća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0072BC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E13030" w:rsidRPr="00667752" w:rsidRDefault="00667752" w:rsidP="00F36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obezbede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PDV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iskazanog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profakturi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F36270" w:rsidRPr="00667752" w:rsidRDefault="00667752" w:rsidP="00F362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uvećati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PDV</w:t>
      </w:r>
      <w:r w:rsidR="00F36270" w:rsidRPr="00667752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subjekta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otuđenja</w:t>
      </w:r>
      <w:r w:rsidR="00044E7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044E7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044E7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Razvojnom</w:t>
      </w:r>
      <w:r w:rsidR="000665A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kontrolišu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126F51" w:rsidRPr="00667752" w:rsidRDefault="00126F51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26F51" w:rsidRPr="00667752" w:rsidRDefault="004C5AAB" w:rsidP="004C5AA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126F51" w:rsidRPr="00667752">
        <w:rPr>
          <w:rFonts w:ascii="Times New Roman" w:hAnsi="Times New Roman"/>
          <w:noProof/>
          <w:sz w:val="24"/>
          <w:szCs w:val="24"/>
          <w:lang w:val="sr-Latn-CS"/>
        </w:rPr>
        <w:t>4</w:t>
      </w:r>
      <w:r w:rsidR="0091581F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FB7D36" w:rsidRPr="00667752">
        <w:rPr>
          <w:rFonts w:ascii="Times New Roman" w:hAnsi="Times New Roman"/>
          <w:noProof/>
          <w:sz w:val="24"/>
          <w:szCs w:val="24"/>
          <w:lang w:val="sr-Latn-CS"/>
        </w:rPr>
        <w:t>2</w:t>
      </w:r>
      <w:r w:rsidR="00126F5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kompanije</w:t>
      </w:r>
    </w:p>
    <w:p w:rsidR="00126F51" w:rsidRPr="00667752" w:rsidRDefault="00126F51" w:rsidP="00126F51">
      <w:pPr>
        <w:spacing w:after="0" w:line="240" w:lineRule="auto"/>
        <w:ind w:left="72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327DF" w:rsidRPr="00667752" w:rsidRDefault="00667752" w:rsidP="00F156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 w:eastAsia="en-U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ukupna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proizvodne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viša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10.000.000,00</w:t>
      </w:r>
      <w:r w:rsidR="002327DF" w:rsidRPr="00667752">
        <w:rPr>
          <w:rStyle w:val="CommentReference"/>
          <w:noProof/>
          <w:sz w:val="24"/>
          <w:szCs w:val="24"/>
          <w:lang w:val="sr-Latn-CS"/>
        </w:rPr>
        <w:t> 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95E6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795E6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mogućnosti</w:t>
      </w:r>
      <w:r w:rsidR="00795E6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95E6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tačke</w:t>
      </w:r>
      <w:r w:rsidR="00795E6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4.1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95E6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95E6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795E65" w:rsidRPr="0066775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razliku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većim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sopstvenim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učešćem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uveća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A6138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6138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="00A6138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327DF" w:rsidRPr="00667752" w:rsidRDefault="00667752" w:rsidP="00F156D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obezbede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PDV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iskazanog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profakturi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327DF" w:rsidRPr="00667752" w:rsidRDefault="00667752" w:rsidP="00F156D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uključiti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PDV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subjekta</w:t>
      </w:r>
      <w:r w:rsidR="002327DF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220B6" w:rsidRPr="00667752" w:rsidRDefault="00667752" w:rsidP="00F156D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finansijskom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lizingu</w:t>
      </w:r>
      <w:r w:rsidR="009E0B5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9E0B5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9E0B5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9E0B5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9E0B5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55/03, 61/05, 31/11, 99/11 –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9E0B5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9E0B5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E0B5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99/11 –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9E0B5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9E0B51" w:rsidRPr="00667752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47731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izmirenja</w:t>
      </w:r>
      <w:r w:rsidR="0047731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ukupnih</w:t>
      </w:r>
      <w:r w:rsidR="0047731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47731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47731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ugovoru</w:t>
      </w:r>
      <w:r w:rsidR="0047731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7731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finansijskom</w:t>
      </w:r>
      <w:r w:rsidR="0047731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lizingu</w:t>
      </w:r>
      <w:r w:rsidR="00E86035" w:rsidRPr="0066775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47731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lizinga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izmirenju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postaje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vlasnik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lizinga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zabranu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otuđi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proizvodnu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opremu</w:t>
      </w:r>
      <w:r w:rsidR="00E1303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zaključenja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Razvojnom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obzira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mogućnost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prevremene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otplate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1B0B35" w:rsidRPr="0066775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kontrolišu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izveštavaju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4220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4220B6" w:rsidRPr="00667752" w:rsidRDefault="004220B6" w:rsidP="00F156D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2F2592" w:rsidP="00F156D8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667752" w:rsidP="00A67F18">
      <w:pPr>
        <w:pStyle w:val="Text1"/>
        <w:numPr>
          <w:ilvl w:val="0"/>
          <w:numId w:val="16"/>
        </w:numPr>
        <w:spacing w:after="0"/>
        <w:jc w:val="center"/>
        <w:rPr>
          <w:noProof/>
          <w:szCs w:val="24"/>
        </w:rPr>
      </w:pPr>
      <w:r>
        <w:rPr>
          <w:noProof/>
          <w:szCs w:val="24"/>
        </w:rPr>
        <w:t>PRAVILA</w:t>
      </w:r>
      <w:r w:rsidR="002F2592" w:rsidRPr="00667752">
        <w:rPr>
          <w:noProof/>
          <w:szCs w:val="24"/>
        </w:rPr>
        <w:t xml:space="preserve"> </w:t>
      </w:r>
      <w:r>
        <w:rPr>
          <w:noProof/>
          <w:szCs w:val="24"/>
        </w:rPr>
        <w:t>I</w:t>
      </w:r>
      <w:r w:rsidR="00FE2CDE" w:rsidRPr="00667752">
        <w:rPr>
          <w:noProof/>
          <w:szCs w:val="24"/>
        </w:rPr>
        <w:t xml:space="preserve"> </w:t>
      </w:r>
      <w:r>
        <w:rPr>
          <w:noProof/>
          <w:szCs w:val="24"/>
        </w:rPr>
        <w:t>POSTUPAK</w:t>
      </w:r>
      <w:r w:rsidR="00FE2CDE" w:rsidRPr="00667752">
        <w:rPr>
          <w:noProof/>
          <w:szCs w:val="24"/>
        </w:rPr>
        <w:t xml:space="preserve"> </w:t>
      </w:r>
      <w:r>
        <w:rPr>
          <w:noProof/>
          <w:szCs w:val="24"/>
        </w:rPr>
        <w:t>DODELE</w:t>
      </w:r>
      <w:r w:rsidR="00FE2CDE" w:rsidRPr="00667752">
        <w:rPr>
          <w:noProof/>
          <w:szCs w:val="24"/>
        </w:rPr>
        <w:t xml:space="preserve"> </w:t>
      </w:r>
      <w:r>
        <w:rPr>
          <w:noProof/>
          <w:szCs w:val="24"/>
        </w:rPr>
        <w:t>BESPOVRATNIH</w:t>
      </w:r>
      <w:r w:rsidR="00FE2CDE" w:rsidRPr="00667752">
        <w:rPr>
          <w:noProof/>
          <w:szCs w:val="24"/>
        </w:rPr>
        <w:t xml:space="preserve"> </w:t>
      </w:r>
      <w:r>
        <w:rPr>
          <w:noProof/>
          <w:szCs w:val="24"/>
        </w:rPr>
        <w:t>SREDSTAVA</w:t>
      </w:r>
      <w:r w:rsidR="002F2592" w:rsidRPr="00667752">
        <w:rPr>
          <w:noProof/>
          <w:szCs w:val="24"/>
        </w:rPr>
        <w:t xml:space="preserve"> </w:t>
      </w:r>
      <w:r>
        <w:rPr>
          <w:noProof/>
          <w:szCs w:val="24"/>
        </w:rPr>
        <w:t>PO</w:t>
      </w:r>
      <w:r w:rsidR="00FE2CDE" w:rsidRPr="00667752">
        <w:rPr>
          <w:noProof/>
          <w:szCs w:val="24"/>
        </w:rPr>
        <w:t xml:space="preserve"> </w:t>
      </w:r>
      <w:r>
        <w:rPr>
          <w:noProof/>
          <w:szCs w:val="24"/>
        </w:rPr>
        <w:t>PROGRAMU</w:t>
      </w:r>
    </w:p>
    <w:p w:rsidR="002F2592" w:rsidRPr="00667752" w:rsidRDefault="002F2592" w:rsidP="002F259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76363F" w:rsidP="00A67F18">
      <w:pPr>
        <w:numPr>
          <w:ilvl w:val="1"/>
          <w:numId w:val="16"/>
        </w:numPr>
        <w:tabs>
          <w:tab w:val="left" w:pos="851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2F2592" w:rsidRPr="00667752" w:rsidRDefault="002F259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667752" w:rsidP="002F25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2F2592" w:rsidRPr="00667752" w:rsidRDefault="002F2592" w:rsidP="002F25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registrovana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APR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privredna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zadruge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razvrstana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mikro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mala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67752">
        <w:rPr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računovodstvu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62/13) 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finansijskim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izveštajima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2F2592" w:rsidRPr="00667752" w:rsidRDefault="002F2592" w:rsidP="002F25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2) 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preduzetnici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vode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dvojno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knjigovodstvo</w:t>
      </w:r>
      <w:r w:rsidR="00FE2CD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registrovani</w:t>
      </w:r>
      <w:r w:rsidR="00FE2CD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E2CD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APR</w:t>
      </w:r>
      <w:r w:rsidR="0076363F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2F2592" w:rsidP="002F2592">
      <w:pPr>
        <w:pStyle w:val="ListParagraph"/>
        <w:spacing w:after="120"/>
        <w:jc w:val="both"/>
        <w:outlineLvl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B3682" w:rsidRPr="00667752" w:rsidRDefault="00EB3682" w:rsidP="002F2592">
      <w:pPr>
        <w:pStyle w:val="ListParagraph"/>
        <w:spacing w:after="120"/>
        <w:jc w:val="both"/>
        <w:outlineLvl w:val="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2F2592" w:rsidP="002F2592">
      <w:pPr>
        <w:pStyle w:val="ListParagraph"/>
        <w:spacing w:after="0" w:line="240" w:lineRule="auto"/>
        <w:ind w:left="0"/>
        <w:jc w:val="both"/>
        <w:outlineLvl w:val="0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    5.2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ispune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podnosioci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F2592" w:rsidRPr="00667752" w:rsidRDefault="002F2592" w:rsidP="002F2592">
      <w:pPr>
        <w:pStyle w:val="ListParagraph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667752" w:rsidP="002F2592">
      <w:pPr>
        <w:pStyle w:val="ListParagraph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popunjen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formular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jednoj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DE4DB7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DE4DB7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DE4DB7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uključenih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2F2592" w:rsidRPr="00667752" w:rsidRDefault="00667752" w:rsidP="002F2592">
      <w:pPr>
        <w:pStyle w:val="ListParagraph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201</w:t>
      </w:r>
      <w:r w:rsidR="006D6107" w:rsidRPr="00667752">
        <w:rPr>
          <w:rFonts w:ascii="Times New Roman" w:hAnsi="Times New Roman"/>
          <w:noProof/>
          <w:sz w:val="24"/>
          <w:szCs w:val="24"/>
          <w:lang w:val="sr-Latn-CS"/>
        </w:rPr>
        <w:t>3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pokrenut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stečajni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likvidacije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izmirili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dospele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pStyle w:val="ListParagraph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izrečena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pravosnažna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2F2592" w:rsidRPr="00667752" w:rsidRDefault="00667752" w:rsidP="002F2592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vlasnici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156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osuđivani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pStyle w:val="ListParagraph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većinskom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privatnom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vlasništvu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povezanih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2F2592" w:rsidRPr="00667752" w:rsidRDefault="00667752" w:rsidP="002F2592">
      <w:pPr>
        <w:pStyle w:val="ListParagraph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svrha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investiranja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proizvodnu</w:t>
      </w:r>
      <w:r w:rsidR="006D6107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2F2592" w:rsidRPr="00667752" w:rsidRDefault="00667752" w:rsidP="002F2592">
      <w:pPr>
        <w:pStyle w:val="ListParagraph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zadruge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preduzetnici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2F2592" w:rsidRPr="00667752">
        <w:rPr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izveštajima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sektorima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F2592" w:rsidRPr="00667752" w:rsidRDefault="00667752" w:rsidP="00D7762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primarna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poljoprivredna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D97A34" w:rsidRPr="00667752" w:rsidRDefault="00667752" w:rsidP="002F25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trgovina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maloprodaja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veleprodaja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);</w:t>
      </w:r>
      <w:r w:rsidR="007460C5" w:rsidRPr="00667752" w:rsidDel="007460C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597CF0" w:rsidRPr="00667752" w:rsidRDefault="00667752" w:rsidP="002F25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ugostiteljstvo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oružja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vojne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organizovanje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igara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sreću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sličnih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čelika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sintetičkih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vlakana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vađenje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uglja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proizvodnja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        </w:t>
      </w:r>
      <w:r>
        <w:rPr>
          <w:rFonts w:ascii="Times New Roman" w:hAnsi="Times New Roman"/>
          <w:noProof/>
          <w:sz w:val="24"/>
          <w:szCs w:val="24"/>
          <w:lang w:val="sr-Latn-CS"/>
        </w:rPr>
        <w:t>domaćim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konvencijama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zabranjenim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teškoćama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definiciji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:rsidR="002F2592" w:rsidRPr="00667752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teškoćama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sposoban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sopstvenim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vlasnika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>/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akcionara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poverilaca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izvora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spreči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gubitke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intervencije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kratkoročno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srednjoročno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ugrozili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njegov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opstanak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teškoćama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F2592" w:rsidRPr="00667752" w:rsidRDefault="002F259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- 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odgovornost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njegove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dugove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ograničena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izgubio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polovine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osnovnog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kapitala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poslednjih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12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izgubio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četvrtine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osnovnog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kapitala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2F259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- 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 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jedno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neograničeno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odgovora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njegove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dugove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finansijskim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izveštajima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prikazano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njegov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kapital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smanjen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polovine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poslednjih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12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izgubljeno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četvrtine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 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kapitala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2F2592" w:rsidRPr="00667752" w:rsidRDefault="002F259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- 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otvaranje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stečajnog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teškoćama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ispunjen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nijedan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uslov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tačke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očigledni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pokazatelji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ukazuju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teškoćama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rast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gubitaka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rast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zaliha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višak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kapaciteta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novčanih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tokova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rast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porast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kamata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pad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nulta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imovine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najvećim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teškoćama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nesposoban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plaćanje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insolventan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otvoren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stečajni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667752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osnovan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subjektom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teškoćama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izuzev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reč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malom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srednjem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subjektu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ispunjava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2A066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A066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otvaranje</w:t>
      </w:r>
      <w:r w:rsidR="002A066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stečajnog</w:t>
      </w:r>
      <w:r w:rsidR="002A066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postupka</w:t>
      </w:r>
      <w:r w:rsidR="002A0660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597CF0" w:rsidRPr="00667752" w:rsidRDefault="00667752" w:rsidP="00597CF0">
      <w:pPr>
        <w:pStyle w:val="ListParagraph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tekućoj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fiskalnoj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B1F1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201</w:t>
      </w:r>
      <w:r w:rsidR="006C21F0" w:rsidRPr="00667752">
        <w:rPr>
          <w:rFonts w:ascii="Times New Roman" w:hAnsi="Times New Roman"/>
          <w:noProof/>
          <w:sz w:val="24"/>
          <w:szCs w:val="24"/>
          <w:lang w:val="sr-Latn-CS"/>
        </w:rPr>
        <w:t>4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, 201</w:t>
      </w:r>
      <w:r w:rsidR="006C21F0" w:rsidRPr="00667752">
        <w:rPr>
          <w:rFonts w:ascii="Times New Roman" w:hAnsi="Times New Roman"/>
          <w:noProof/>
          <w:sz w:val="24"/>
          <w:szCs w:val="24"/>
          <w:lang w:val="sr-Latn-CS"/>
        </w:rPr>
        <w:t>5</w:t>
      </w:r>
      <w:r w:rsidR="003B1F1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B1F1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201</w:t>
      </w:r>
      <w:r w:rsidR="006C21F0" w:rsidRPr="00667752">
        <w:rPr>
          <w:rFonts w:ascii="Times New Roman" w:hAnsi="Times New Roman"/>
          <w:noProof/>
          <w:sz w:val="24"/>
          <w:szCs w:val="24"/>
          <w:lang w:val="sr-Latn-CS"/>
        </w:rPr>
        <w:t>6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primili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traženim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sredstvima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prekoračila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evra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dinarskoj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protivvrednosti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97CF0" w:rsidRPr="00667752" w:rsidRDefault="00667752" w:rsidP="00597CF0">
      <w:pPr>
        <w:pStyle w:val="ListParagraph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primili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bespovratna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F5693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prethodnoj</w:t>
      </w:r>
      <w:r w:rsidR="004F5693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F5693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tekućoj</w:t>
      </w:r>
      <w:r w:rsidR="004F5693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4F5693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2F2592" w:rsidP="00597CF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 </w:t>
      </w:r>
    </w:p>
    <w:p w:rsidR="002F2592" w:rsidRPr="00667752" w:rsidRDefault="00667752" w:rsidP="002F2592">
      <w:pPr>
        <w:numPr>
          <w:ilvl w:val="1"/>
          <w:numId w:val="9"/>
        </w:numPr>
        <w:tabs>
          <w:tab w:val="left" w:pos="1134"/>
        </w:tabs>
        <w:spacing w:after="0" w:line="240" w:lineRule="auto"/>
        <w:ind w:firstLine="349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Podnošenje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</w:p>
    <w:p w:rsidR="002F2592" w:rsidRPr="00667752" w:rsidRDefault="002F2592" w:rsidP="002F2592">
      <w:pPr>
        <w:spacing w:after="0" w:line="240" w:lineRule="auto"/>
        <w:ind w:left="2771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Pr="00667752">
        <w:rPr>
          <w:rFonts w:ascii="Times New Roman" w:hAnsi="Times New Roman"/>
          <w:b/>
          <w:noProof/>
          <w:sz w:val="24"/>
          <w:szCs w:val="24"/>
          <w:lang w:val="sr-Latn-CS"/>
        </w:rPr>
        <w:tab/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4D63C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D63C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4D63C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distribuira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celoj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informacija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izabranih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4D63C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D63C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4D63C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="001559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objavljeni</w:t>
      </w:r>
      <w:r w:rsidR="001559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559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="001559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stranici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2F2592" w:rsidRPr="00667752">
        <w:rPr>
          <w:rFonts w:ascii="Times New Roman" w:hAnsi="Times New Roman"/>
          <w:noProof/>
          <w:color w:val="1F497D"/>
          <w:sz w:val="24"/>
          <w:szCs w:val="24"/>
          <w:lang w:val="sr-Latn-CS"/>
        </w:rPr>
        <w:t xml:space="preserve"> </w:t>
      </w:r>
      <w:hyperlink r:id="rId8" w:history="1">
        <w:r w:rsidR="00B643BF" w:rsidRPr="00667752">
          <w:rPr>
            <w:rStyle w:val="Hyperlink"/>
            <w:rFonts w:ascii="Times New Roman" w:hAnsi="Times New Roman"/>
            <w:noProof/>
            <w:sz w:val="24"/>
            <w:szCs w:val="24"/>
            <w:lang w:val="sr-Latn-CS"/>
          </w:rPr>
          <w:t>www.privreda.gov.rs</w:t>
        </w:r>
      </w:hyperlink>
      <w:r w:rsidR="002F2592" w:rsidRPr="00667752">
        <w:rPr>
          <w:rFonts w:ascii="Times New Roman" w:hAnsi="Times New Roman"/>
          <w:noProof/>
          <w:color w:val="1F497D"/>
          <w:sz w:val="24"/>
          <w:szCs w:val="24"/>
          <w:lang w:val="sr-Latn-CS"/>
        </w:rPr>
        <w:t xml:space="preserve"> </w:t>
      </w:r>
      <w:r w:rsidR="002F2592" w:rsidRPr="00667752">
        <w:rPr>
          <w:rFonts w:ascii="Times New Roman" w:hAnsi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hyperlink r:id="rId9" w:history="1">
        <w:r w:rsidR="007460C5" w:rsidRPr="00667752">
          <w:rPr>
            <w:rStyle w:val="Hyperlink"/>
            <w:rFonts w:ascii="Times New Roman" w:hAnsi="Times New Roman"/>
            <w:noProof/>
            <w:sz w:val="24"/>
            <w:szCs w:val="24"/>
            <w:lang w:val="sr-Latn-CS"/>
          </w:rPr>
          <w:t>www.ras.gov.rs</w:t>
        </w:r>
      </w:hyperlink>
      <w:r w:rsidR="00A8295C" w:rsidRPr="00667752">
        <w:rPr>
          <w:noProof/>
          <w:sz w:val="24"/>
          <w:szCs w:val="24"/>
          <w:lang w:val="sr-Latn-CS"/>
        </w:rPr>
        <w:t>.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Javni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otvoren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utroše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istovremeno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</w:t>
      </w:r>
      <w:r w:rsidR="004D63C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D63C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="006D6107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ekspozituri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filijali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4D63C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D63C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4D63C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dostavljanjem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popunjenog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obrasca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prateće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dokazuje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ispunjenost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15595E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5.1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5.2</w:t>
      </w:r>
      <w:r w:rsidR="001559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559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15595E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87025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7025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87025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zadovoljavaju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predali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konkursnu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87025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7025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87025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87025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87025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87025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87025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87025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87025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87025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87025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uzet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razmatranje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odbijen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prvobitan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2F259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667752" w:rsidP="002F2592">
      <w:pPr>
        <w:numPr>
          <w:ilvl w:val="1"/>
          <w:numId w:val="9"/>
        </w:numPr>
        <w:tabs>
          <w:tab w:val="left" w:pos="1134"/>
        </w:tabs>
        <w:spacing w:after="0" w:line="240" w:lineRule="auto"/>
        <w:ind w:firstLine="34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</w:p>
    <w:p w:rsidR="002F2592" w:rsidRPr="00667752" w:rsidRDefault="002F2592" w:rsidP="002F2592">
      <w:pPr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</w:t>
      </w:r>
      <w:r w:rsidR="004D42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4D42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="000118F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4D42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4D42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4D42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ocenjuje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podneti</w:t>
      </w:r>
      <w:r w:rsidR="004D42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subjekta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donose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preliminarnu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odluku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prihvatanju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odbijanju</w:t>
      </w:r>
      <w:r w:rsidR="00597CF0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Informacije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primljenim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zahtevima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odobrenjem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odbijanjem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kreditnog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obrazloženje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odbijanja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1968F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1968F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1968F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nedeljnom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obrazuje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460C5" w:rsidRPr="00667752" w:rsidRDefault="00667752" w:rsidP="007460C5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pregledanje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formalne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ispravnosti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prihvatanju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redosledu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A8295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formalno</w:t>
      </w:r>
      <w:r w:rsidR="00A8295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ispravnih</w:t>
      </w:r>
      <w:r w:rsidR="00A8295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A8295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naknadnim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zahtevima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izmenama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usled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nastupanja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neplaniranih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okolnosti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460C5" w:rsidRPr="00667752" w:rsidRDefault="00667752" w:rsidP="007460C5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Kriterijumi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E46D1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E46D1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E46D1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ispravnosti</w:t>
      </w:r>
      <w:r w:rsidR="00E46D1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1559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definisani</w:t>
      </w:r>
      <w:r w:rsidR="001559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1559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559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15595E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5.1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5.2</w:t>
      </w:r>
      <w:r w:rsidR="001559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5595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15595E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667752" w:rsidP="002F25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noProof/>
          <w:sz w:val="24"/>
          <w:szCs w:val="24"/>
          <w:lang w:val="sr-Latn-CS" w:eastAsia="en-US"/>
        </w:rPr>
      </w:pP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Radi</w:t>
      </w:r>
      <w:r w:rsidR="002F2592"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potpunijeg</w:t>
      </w:r>
      <w:r w:rsidR="002F2592"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sagledavanja</w:t>
      </w:r>
      <w:r w:rsidR="002F2592"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ispunjenosti</w:t>
      </w:r>
      <w:r w:rsidR="00E46D1A"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kriterijuma</w:t>
      </w:r>
      <w:r w:rsidR="002F2592"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Komisija</w:t>
      </w:r>
      <w:r w:rsidR="002F2592"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zatraži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pojašnjenja</w:t>
      </w:r>
      <w:r w:rsidR="002F2592"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predloga</w:t>
      </w:r>
      <w:r w:rsidR="002F2592"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naknadnu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verifikaciju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dokumentacije</w:t>
      </w:r>
      <w:r w:rsidR="007460C5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85350" w:rsidRPr="00667752">
        <w:rPr>
          <w:noProof/>
          <w:sz w:val="24"/>
          <w:szCs w:val="24"/>
          <w:lang w:val="sr-Latn-CS"/>
        </w:rPr>
        <w:t xml:space="preserve"> 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prihvatanju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odbijanju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poslovnoj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1777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71777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kompaniji</w:t>
      </w:r>
      <w:r w:rsidR="0071777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podnet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2F2592" w:rsidRPr="00667752">
        <w:rPr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prihvatanju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obaveštenje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dodeljuje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de minimis </w:t>
      </w:r>
      <w:r>
        <w:rPr>
          <w:rFonts w:ascii="Times New Roman" w:hAnsi="Times New Roman"/>
          <w:noProof/>
          <w:sz w:val="24"/>
          <w:szCs w:val="24"/>
          <w:lang w:val="sr-Latn-CS"/>
        </w:rPr>
        <w:t>drž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vna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2F259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osam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poslovna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0A583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0A583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0A583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obaveštavaju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CB1FF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dostavljanja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zaključuju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kreditu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ili</w:t>
      </w:r>
      <w:r w:rsidR="0082583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finansijskom</w:t>
      </w:r>
      <w:r w:rsidR="000118F8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lizingu</w:t>
      </w:r>
      <w:r w:rsidR="00AD1D2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subjektom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Kandidati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dobiti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primeraka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potpisivanja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vratiti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Datumom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onaj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datum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potpisan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zaveden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potpisali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CB1FF6" w:rsidRPr="0066775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odustali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dodeljenih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potpiše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92327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92327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92327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2327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finansijskom</w:t>
      </w:r>
      <w:r w:rsidR="000118F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lizingu</w:t>
      </w:r>
      <w:r w:rsidR="0092327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2327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92327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kompanijom</w:t>
      </w:r>
      <w:r w:rsidR="000118F8" w:rsidRPr="0066775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sklopljen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Razvojnom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ništavim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0C7DA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C7DA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0C7DA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0C7DA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dodeljuje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dodeljuju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iskoristi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namenski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EA0B33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EA0B33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ista</w:t>
      </w:r>
      <w:r w:rsidR="00EA0B33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vrati</w:t>
      </w:r>
      <w:r w:rsidR="00EA0B33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A0B33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EA0B33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EA0B33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nabavku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okonča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zaključenja</w:t>
      </w:r>
      <w:r w:rsidR="00EA0B33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vremenski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okvir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kupljenu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dodeljenih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otuđi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prilaže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blanko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menica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nenamensko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trošenje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eventualne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zloupotrebe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roku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pet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zaključenja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ugovora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bankom</w:t>
      </w:r>
      <w:r w:rsidR="0057423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57423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lizing</w:t>
      </w:r>
      <w:r w:rsidR="00EE6E2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kompanijom</w:t>
      </w:r>
      <w:r w:rsidR="00EA0B33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privredni</w:t>
      </w:r>
      <w:r w:rsidR="00EA0B33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subjekt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dužan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uplati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ugovoreno</w:t>
      </w:r>
      <w:r w:rsidR="00EA0B33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učešće</w:t>
      </w:r>
      <w:r w:rsidR="0057423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odnosno</w:t>
      </w:r>
      <w:r w:rsidR="0057423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učešće</w:t>
      </w:r>
      <w:r w:rsidR="00085F95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određeno</w:t>
      </w:r>
      <w:r w:rsidR="00085F95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085F95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skladu</w:t>
      </w:r>
      <w:r w:rsidR="00085F95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085F95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glavom</w:t>
      </w:r>
      <w:r w:rsidR="00022F83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085F95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4</w:t>
      </w:r>
      <w:r w:rsidR="00022F83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Finansijski</w:t>
      </w:r>
      <w:r w:rsidR="00022F83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okvir</w:t>
      </w:r>
      <w:r w:rsidR="00022F83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82583C" w:rsidRPr="00667752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ab/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zaključenju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ugovora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dodeli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bespovratnih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Razvojna</w:t>
      </w:r>
      <w:r w:rsidR="00460AF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agencija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će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roku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15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dana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uplate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učešća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strane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privrednih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subjekata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preneti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odobrena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bespovratna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sredstva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poseban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namenski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račun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privrednog</w:t>
      </w:r>
      <w:r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subjekta</w:t>
      </w:r>
      <w:r w:rsidR="00A8295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452A7F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452A7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slučaju</w:t>
      </w:r>
      <w:r w:rsidR="00452A7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kredita</w:t>
      </w:r>
      <w:r w:rsidR="00452A7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banke</w:t>
      </w:r>
      <w:r w:rsidR="00452A7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dužan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82583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dostavi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kopiju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fakture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ugovora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kojoj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izvršena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nabavka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opreme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1E6D5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obavezi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kopiju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iste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proslede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Ministarstvu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Razvojnoj</w:t>
      </w:r>
      <w:r w:rsidR="00460AF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agenciji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  <w:r w:rsidR="00452A7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082B1F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452A7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slučaju</w:t>
      </w:r>
      <w:r w:rsidR="00452A7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finansijskog</w:t>
      </w:r>
      <w:r w:rsidR="00452A7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lizinga</w:t>
      </w:r>
      <w:r w:rsidR="00452A7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lizing</w:t>
      </w:r>
      <w:r w:rsidR="003B1EA1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kompanija</w:t>
      </w:r>
      <w:r w:rsidR="00082B1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je</w:t>
      </w:r>
      <w:r w:rsidR="00082B1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082B1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obavezi</w:t>
      </w:r>
      <w:r w:rsidR="00082B1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da</w:t>
      </w:r>
      <w:r w:rsidR="00082B1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kopiju</w:t>
      </w:r>
      <w:r w:rsidR="00082B1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fakture</w:t>
      </w:r>
      <w:r w:rsidR="00082B1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082B1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ugovora</w:t>
      </w:r>
      <w:r w:rsidR="009202C0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sa</w:t>
      </w:r>
      <w:r w:rsidR="009202C0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korisnikom</w:t>
      </w:r>
      <w:r w:rsidR="00082B1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prosledi</w:t>
      </w:r>
      <w:r w:rsidR="00082B1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Ministarstvu</w:t>
      </w:r>
      <w:r w:rsidR="00082B1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082B1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Razvojnoj</w:t>
      </w:r>
      <w:r w:rsidR="00082B1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ageniciji</w:t>
      </w:r>
      <w:r w:rsidR="00082B1F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</w:t>
      </w:r>
      <w:r w:rsidR="003B1EA1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4C5AAB" w:rsidRPr="00667752" w:rsidRDefault="004C5AAB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2F2592" w:rsidP="004C5AA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5.5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prigovoru</w:t>
      </w:r>
    </w:p>
    <w:p w:rsidR="00EB3682" w:rsidRPr="00667752" w:rsidRDefault="00EB3682" w:rsidP="004C5AA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Kandidati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odbila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prigovor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osam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Prigovor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ministru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preporučenom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Kneza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Miloša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20, 11000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prigovoru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prigovora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F156D8" w:rsidRPr="00667752" w:rsidRDefault="00F156D8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667752" w:rsidP="004C5AAB">
      <w:pPr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</w:p>
    <w:p w:rsidR="00EB3682" w:rsidRPr="00667752" w:rsidRDefault="00EB3682" w:rsidP="002F2592">
      <w:pPr>
        <w:spacing w:after="0" w:line="240" w:lineRule="auto"/>
        <w:ind w:left="180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667752" w:rsidP="00237CF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Odabir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2327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92327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92327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2F2592" w:rsidRPr="00667752" w:rsidRDefault="002F2592" w:rsidP="002F2592">
      <w:pPr>
        <w:spacing w:after="0" w:line="240" w:lineRule="auto"/>
        <w:ind w:left="360"/>
        <w:jc w:val="both"/>
        <w:rPr>
          <w:rFonts w:ascii="Times New Roman" w:hAnsi="Times New Roman"/>
          <w:b/>
          <w:noProof/>
          <w:sz w:val="24"/>
          <w:szCs w:val="24"/>
          <w:shd w:val="clear" w:color="auto" w:fill="FFFFFF"/>
          <w:lang w:val="sr-Latn-CS"/>
        </w:rPr>
      </w:pP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shd w:val="clear" w:color="auto" w:fill="FFFFFF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usvajanju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raspisati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2327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92327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92327D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primati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poziva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listu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distribuira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celoj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poziv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dokumentacija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objavljeni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internet</w:t>
      </w:r>
      <w:r w:rsidR="00831A97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stranici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:</w:t>
      </w:r>
      <w:r w:rsidR="002F2592" w:rsidRPr="00667752">
        <w:rPr>
          <w:rFonts w:ascii="Times New Roman" w:hAnsi="Times New Roman"/>
          <w:noProof/>
          <w:color w:val="1F497D"/>
          <w:sz w:val="24"/>
          <w:szCs w:val="24"/>
          <w:lang w:val="sr-Latn-CS"/>
        </w:rPr>
        <w:t xml:space="preserve"> </w:t>
      </w:r>
      <w:hyperlink r:id="rId10" w:history="1">
        <w:r w:rsidR="00B643BF" w:rsidRPr="00667752">
          <w:rPr>
            <w:rStyle w:val="Hyperlink"/>
            <w:rFonts w:ascii="Times New Roman" w:hAnsi="Times New Roman"/>
            <w:noProof/>
            <w:sz w:val="24"/>
            <w:szCs w:val="24"/>
            <w:lang w:val="sr-Latn-CS"/>
          </w:rPr>
          <w:t>www.privreda.gov.rs</w:t>
        </w:r>
      </w:hyperlink>
      <w:r w:rsidR="002F2592" w:rsidRPr="00667752">
        <w:rPr>
          <w:rFonts w:ascii="Times New Roman" w:hAnsi="Times New Roman"/>
          <w:noProof/>
          <w:color w:val="1F497D"/>
          <w:sz w:val="24"/>
          <w:szCs w:val="24"/>
          <w:lang w:val="sr-Latn-CS"/>
        </w:rPr>
        <w:t xml:space="preserve"> </w:t>
      </w:r>
      <w:r w:rsidR="002F2592" w:rsidRPr="00667752">
        <w:rPr>
          <w:rFonts w:ascii="Times New Roman" w:hAnsi="Times New Roman"/>
          <w:noProof/>
          <w:color w:val="FF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hyperlink r:id="rId11" w:history="1">
        <w:r w:rsidR="00460AFC" w:rsidRPr="00667752">
          <w:rPr>
            <w:rStyle w:val="Hyperlink"/>
            <w:rFonts w:ascii="Times New Roman" w:hAnsi="Times New Roman"/>
            <w:noProof/>
            <w:sz w:val="24"/>
            <w:szCs w:val="24"/>
            <w:lang w:val="sr-Latn-CS"/>
          </w:rPr>
          <w:t>www.ras.gov.rs</w:t>
        </w:r>
      </w:hyperlink>
      <w:r w:rsidR="002F2592" w:rsidRPr="00667752">
        <w:rPr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upućeni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elektronskom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879A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9879A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kompanijama</w:t>
      </w:r>
      <w:r w:rsidR="009879A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posluju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trenutno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dozvolu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pozivom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bliže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propisana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dokumentacija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A3D9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3A3D9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3A3D9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dostavljaju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podnošenja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prijave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2F2592" w:rsidRPr="00667752" w:rsidRDefault="00667752" w:rsidP="002F2592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Pregledanje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formalne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ispravnosti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ocenjivanje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rangiranje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E3FC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FE3FC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FE3FC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učestvovati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ocenjivanje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selekciju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0118F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0118F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0118F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obrazuje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2F2592" w:rsidP="002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Latn-CS" w:eastAsia="en-US"/>
        </w:rPr>
      </w:pPr>
      <w:r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ab/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Radi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potpunijeg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sagledavanja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kvaliteta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predložene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aktivnosti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,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Komisija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ocenjivanje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selekciju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prijava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71561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1561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71561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može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tražiti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dodatna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pojašnjenja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predloga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i</w:t>
      </w:r>
      <w:r w:rsidR="00831A97"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/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ili</w:t>
      </w:r>
      <w:r w:rsidR="00831A97"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obaviti</w:t>
      </w:r>
      <w:r w:rsidR="00831A97"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intervju</w:t>
      </w:r>
      <w:r w:rsidR="00831A97"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sa</w:t>
      </w:r>
      <w:r w:rsidR="00831A97"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bankom</w:t>
      </w:r>
      <w:r w:rsidR="0071561A"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ili</w:t>
      </w:r>
      <w:r w:rsidR="0071561A"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lizing</w:t>
      </w:r>
      <w:r w:rsidR="0071561A"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kompanijom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podnosiocem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 xml:space="preserve"> </w:t>
      </w:r>
      <w:r w:rsid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prijave</w:t>
      </w:r>
      <w:r w:rsidRPr="00667752">
        <w:rPr>
          <w:rFonts w:ascii="Times New Roman" w:eastAsia="Calibri" w:hAnsi="Times New Roman"/>
          <w:noProof/>
          <w:sz w:val="24"/>
          <w:szCs w:val="24"/>
          <w:lang w:val="sr-Latn-CS" w:eastAsia="en-US"/>
        </w:rPr>
        <w:t>.</w:t>
      </w:r>
    </w:p>
    <w:p w:rsidR="002F2592" w:rsidRPr="00667752" w:rsidRDefault="00667752" w:rsidP="002F25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Pravo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konkursu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B0A83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BB0A83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BB0A83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ispunjavaju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obavljanje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delatnosti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teritoriji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Obavezujući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zainteresovane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krediti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odobravaju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sledećim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2F2592" w:rsidRPr="00667752" w:rsidRDefault="00667752" w:rsidP="002F25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2F2592" w:rsidRPr="00667752" w:rsidRDefault="00667752" w:rsidP="002F259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primarno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zaloga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kupljenom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opremom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pokretnoj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kupovine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isključuje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hipoteka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2F2592" w:rsidRPr="00667752" w:rsidRDefault="00667752" w:rsidP="002F2592">
      <w:pPr>
        <w:numPr>
          <w:ilvl w:val="0"/>
          <w:numId w:val="5"/>
        </w:num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potencijalni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troškovi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naknade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ukupnom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iznosu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</w:t>
      </w:r>
      <w:r w:rsidR="002F2592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1%;</w:t>
      </w:r>
    </w:p>
    <w:p w:rsidR="009757FF" w:rsidRPr="00667752" w:rsidRDefault="00667752" w:rsidP="006E4C1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otplatiti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prevremeno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bankom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831A97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831A97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prevremenu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otplatu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prve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trećine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trajanja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perioda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otplate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vrate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celokupan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odobrenih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BE3DC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8E054A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D52CF" w:rsidRPr="00667752" w:rsidRDefault="000D52CF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D641E9" w:rsidRPr="00667752" w:rsidRDefault="00667752" w:rsidP="0041407F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potencijalni</w:t>
      </w:r>
      <w:r w:rsidR="00D641E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D641E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D641E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zasebno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iskazani</w:t>
      </w:r>
      <w:r w:rsidR="00082B1F" w:rsidRPr="0066775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C10C5D" w:rsidRPr="00667752" w:rsidRDefault="00667752" w:rsidP="00C10C5D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D74E69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10C5D" w:rsidRPr="00667752" w:rsidRDefault="00667752" w:rsidP="00C10C5D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D641E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otvaranja</w:t>
      </w:r>
      <w:r w:rsidR="00D641E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vođenja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namenskog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računa</w:t>
      </w:r>
      <w:r w:rsidR="00D74E69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10C5D" w:rsidRPr="00667752" w:rsidRDefault="00667752" w:rsidP="00C10C5D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D641E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pribavljanja</w:t>
      </w:r>
      <w:r w:rsidR="00D641E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kreditnog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biroa</w:t>
      </w:r>
      <w:r w:rsidR="00D74E69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10C5D" w:rsidRPr="00667752" w:rsidRDefault="00667752" w:rsidP="00C10C5D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D641E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menica</w:t>
      </w:r>
      <w:r w:rsidR="00D74E69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10C5D" w:rsidRPr="00667752" w:rsidRDefault="00667752" w:rsidP="00C10C5D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overe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založne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izjave</w:t>
      </w:r>
      <w:r w:rsidR="00D74E69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10C5D" w:rsidRPr="00667752" w:rsidRDefault="00667752" w:rsidP="00C10C5D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D641E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pokretne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zaloge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202C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APR</w:t>
      </w:r>
      <w:r w:rsidR="00D74E69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10C5D" w:rsidRPr="00667752" w:rsidRDefault="00667752" w:rsidP="00C10C5D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ostali</w:t>
      </w:r>
      <w:r w:rsidR="00D641E9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ukoliko</w:t>
      </w:r>
      <w:r w:rsidR="00D641E9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D641E9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predviđeni</w:t>
      </w:r>
      <w:r w:rsidR="00D74E69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9F515B" w:rsidRPr="00667752" w:rsidRDefault="00667752" w:rsidP="004C5AA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Obavezujući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lizing</w:t>
      </w:r>
      <w:r w:rsidR="009F515B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kompanije</w:t>
      </w:r>
      <w:r w:rsidR="009F515B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koje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zainteresovane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</w:t>
      </w:r>
      <w:r w:rsidR="00C913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odobrava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sledećim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9F515B" w:rsidRPr="00667752" w:rsidRDefault="00667752" w:rsidP="00F156D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počeka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meseci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</w:p>
    <w:p w:rsidR="009F515B" w:rsidRPr="00667752" w:rsidRDefault="00667752" w:rsidP="0082583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primarna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82583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</w:t>
      </w:r>
      <w:r w:rsidR="0082583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menice</w:t>
      </w:r>
      <w:r w:rsidR="0047731B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privrednog</w:t>
      </w:r>
      <w:r w:rsidR="0082583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subjekta</w:t>
      </w:r>
      <w:r w:rsidR="00D6437D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D6437D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puno</w:t>
      </w:r>
      <w:r w:rsidR="00D6437D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imovinsko</w:t>
      </w:r>
      <w:r w:rsidR="00D6437D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osiguranje</w:t>
      </w:r>
      <w:r w:rsidR="0082583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opreme</w:t>
      </w:r>
      <w:r w:rsidR="0082583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predmeta</w:t>
      </w:r>
      <w:r w:rsidR="0082583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lizinga</w:t>
      </w:r>
      <w:r w:rsidR="0082583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82583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ostaje</w:t>
      </w:r>
      <w:r w:rsidR="0082583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82583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vlasništvu</w:t>
      </w:r>
      <w:r w:rsidR="0082583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lizing</w:t>
      </w:r>
      <w:r w:rsidR="0082583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kompanije</w:t>
      </w:r>
      <w:r w:rsidR="0082583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</w:t>
      </w:r>
      <w:r w:rsidR="0082583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isplate</w:t>
      </w:r>
      <w:r w:rsidR="0082583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ukupnog</w:t>
      </w:r>
      <w:r w:rsidR="0047731B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iznosa</w:t>
      </w:r>
      <w:r w:rsidR="0047731B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lizing</w:t>
      </w:r>
      <w:r w:rsidR="0082583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naknada</w:t>
      </w:r>
      <w:r w:rsidR="00545E0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definisanih</w:t>
      </w:r>
      <w:r w:rsidR="00545E0C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ugovorom</w:t>
      </w:r>
      <w:r w:rsidR="0047731B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o</w:t>
      </w:r>
      <w:r w:rsidR="0047731B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finansijskom</w:t>
      </w:r>
      <w:r w:rsidR="0047731B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lizingu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74B11" w:rsidRPr="00667752" w:rsidRDefault="00667752" w:rsidP="00864840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svojine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predmetom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lizinga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prenosi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istekom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roka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izvršenoj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isplati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ugovorenog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</w:t>
      </w:r>
      <w:r w:rsidR="00BB38C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ugovoreni</w:t>
      </w:r>
      <w:r w:rsidR="00BB38C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BB38C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BB38C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BB38C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</w:t>
      </w:r>
      <w:r w:rsidR="00BB38C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obuhvatati</w:t>
      </w:r>
      <w:r w:rsidR="00BB38C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kompletnu</w:t>
      </w:r>
      <w:r w:rsidR="00BB38C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BB38C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predmeta</w:t>
      </w:r>
      <w:r w:rsidR="00BB38C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lizinga</w:t>
      </w:r>
      <w:r w:rsidR="00BB38C1" w:rsidRPr="00667752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774B11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F515B" w:rsidRPr="00667752" w:rsidRDefault="00667752" w:rsidP="009F51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isključuje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hipoteka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moguće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sredstvo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9F515B" w:rsidRPr="00667752" w:rsidRDefault="00667752" w:rsidP="009F515B">
      <w:pPr>
        <w:numPr>
          <w:ilvl w:val="0"/>
          <w:numId w:val="5"/>
        </w:numPr>
        <w:spacing w:after="0" w:line="240" w:lineRule="auto"/>
        <w:jc w:val="both"/>
        <w:rPr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potencijalni</w:t>
      </w:r>
      <w:r w:rsidR="009F515B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troškovi</w:t>
      </w:r>
      <w:r w:rsidR="009F515B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9F515B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naknade</w:t>
      </w:r>
      <w:r w:rsidR="009F515B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9F515B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ukupnom</w:t>
      </w:r>
      <w:r w:rsidR="009F515B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iznosu</w:t>
      </w:r>
      <w:r w:rsidR="009F515B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do</w:t>
      </w:r>
      <w:r w:rsidR="009F515B" w:rsidRPr="00667752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1%;</w:t>
      </w:r>
    </w:p>
    <w:p w:rsidR="00540B00" w:rsidRPr="00667752" w:rsidRDefault="00667752" w:rsidP="00DB72E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privredni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subjekti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otplatiti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C913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="00C913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lizinga</w:t>
      </w:r>
      <w:r w:rsidR="00C913B6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prevremeno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ugovoru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9757F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kompanijom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9F515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540B0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prevremenu</w:t>
      </w:r>
      <w:r w:rsidR="00540B0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otplatu</w:t>
      </w:r>
      <w:r w:rsidR="00540B0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</w:t>
      </w:r>
      <w:r w:rsidR="00540B0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540B0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toku</w:t>
      </w:r>
      <w:r w:rsidR="00540B0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prve</w:t>
      </w:r>
      <w:r w:rsidR="00540B0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trećine</w:t>
      </w:r>
      <w:r w:rsidR="00540B0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trajanja</w:t>
      </w:r>
      <w:r w:rsidR="00540B0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3E7C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finansijskom</w:t>
      </w:r>
      <w:r w:rsidR="00044D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44D2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lizingu</w:t>
      </w:r>
      <w:r w:rsidR="00540B0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540B0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540B0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540B0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vrate</w:t>
      </w:r>
      <w:r w:rsidR="00540B0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celokupan</w:t>
      </w:r>
      <w:r w:rsidR="00540B0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540B0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odobrenih</w:t>
      </w:r>
      <w:r w:rsidR="00540B0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540B0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540B00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9F515B" w:rsidRPr="00667752" w:rsidRDefault="009F515B" w:rsidP="00540B00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B94119" w:rsidRPr="00667752" w:rsidRDefault="00667752" w:rsidP="004C5AAB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sledeći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potencijalni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zasebno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iskazani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C10C5D" w:rsidRPr="00667752" w:rsidRDefault="00667752" w:rsidP="00C10C5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065120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10C5D" w:rsidRPr="00667752" w:rsidRDefault="00667752" w:rsidP="00C10C5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pribavljanja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izveštaja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kreditnog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biroa</w:t>
      </w:r>
      <w:r w:rsidR="00065120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10C5D" w:rsidRPr="00667752" w:rsidRDefault="00667752" w:rsidP="00C10C5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menica</w:t>
      </w:r>
      <w:r w:rsidR="00065120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10C5D" w:rsidRPr="00667752" w:rsidRDefault="00667752" w:rsidP="00C10C5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upisa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registar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lizinga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APR</w:t>
      </w:r>
      <w:r w:rsidR="00065120" w:rsidRPr="00667752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C10C5D" w:rsidRPr="00667752" w:rsidRDefault="00667752" w:rsidP="00C10C5D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ostali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</w:t>
      </w:r>
      <w:r w:rsidR="00065120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B9411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B94119" w:rsidRPr="00667752" w:rsidRDefault="00B94119" w:rsidP="00540B00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864840" w:rsidP="002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Kriterijum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izbor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predložena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definisane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čnosti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</w:p>
    <w:p w:rsidR="002F2592" w:rsidRPr="00667752" w:rsidRDefault="002F2592" w:rsidP="002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1639"/>
        <w:gridCol w:w="1667"/>
        <w:gridCol w:w="2641"/>
      </w:tblGrid>
      <w:tr w:rsidR="002F2592" w:rsidRPr="00667752" w:rsidTr="009757FF">
        <w:trPr>
          <w:gridAfter w:val="3"/>
          <w:wAfter w:w="3396" w:type="pct"/>
          <w:trHeight w:val="276"/>
        </w:trPr>
        <w:tc>
          <w:tcPr>
            <w:tcW w:w="1604" w:type="pct"/>
            <w:vMerge w:val="restart"/>
            <w:shd w:val="clear" w:color="auto" w:fill="D9D9D9"/>
            <w:vAlign w:val="center"/>
          </w:tcPr>
          <w:p w:rsidR="002F2592" w:rsidRPr="00667752" w:rsidRDefault="00667752" w:rsidP="009757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Ročnost</w:t>
            </w:r>
          </w:p>
        </w:tc>
      </w:tr>
      <w:tr w:rsidR="002F2592" w:rsidRPr="00667752" w:rsidTr="009757FF">
        <w:tc>
          <w:tcPr>
            <w:tcW w:w="1604" w:type="pct"/>
            <w:vMerge/>
            <w:shd w:val="clear" w:color="auto" w:fill="D9D9D9"/>
            <w:vAlign w:val="center"/>
          </w:tcPr>
          <w:p w:rsidR="002F2592" w:rsidRPr="00667752" w:rsidRDefault="002F2592" w:rsidP="009757F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3396" w:type="pct"/>
            <w:gridSpan w:val="3"/>
            <w:shd w:val="clear" w:color="auto" w:fill="D9D9D9"/>
            <w:vAlign w:val="center"/>
          </w:tcPr>
          <w:p w:rsidR="002F2592" w:rsidRPr="00667752" w:rsidRDefault="00667752" w:rsidP="00FD610B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Efektivna</w:t>
            </w:r>
            <w:r w:rsidR="002F2592"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kamatna</w:t>
            </w:r>
            <w:r w:rsidR="002F2592"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stopa</w:t>
            </w:r>
            <w:r w:rsidR="002F2592"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EKS</w:t>
            </w:r>
            <w:r w:rsidR="002F2592"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2F2592" w:rsidRPr="00667752" w:rsidTr="009757FF">
        <w:tc>
          <w:tcPr>
            <w:tcW w:w="1604" w:type="pct"/>
            <w:vMerge/>
            <w:shd w:val="clear" w:color="auto" w:fill="D9D9D9"/>
            <w:vAlign w:val="center"/>
          </w:tcPr>
          <w:p w:rsidR="002F2592" w:rsidRPr="00667752" w:rsidRDefault="002F2592" w:rsidP="009757F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88" w:type="pct"/>
            <w:gridSpan w:val="2"/>
            <w:shd w:val="clear" w:color="auto" w:fill="D9D9D9"/>
            <w:vAlign w:val="center"/>
          </w:tcPr>
          <w:p w:rsidR="002F2592" w:rsidRPr="00667752" w:rsidRDefault="00667752" w:rsidP="009757F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Dinarski</w:t>
            </w:r>
          </w:p>
        </w:tc>
        <w:tc>
          <w:tcPr>
            <w:tcW w:w="1508" w:type="pct"/>
            <w:shd w:val="clear" w:color="auto" w:fill="D9D9D9"/>
            <w:vAlign w:val="center"/>
          </w:tcPr>
          <w:p w:rsidR="002F2592" w:rsidRPr="00667752" w:rsidRDefault="00667752" w:rsidP="009757FF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Valutna</w:t>
            </w:r>
            <w:r w:rsidR="002F2592"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klauzula</w:t>
            </w:r>
            <w:r w:rsidR="002F2592"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</w:t>
            </w:r>
            <w:r w:rsidR="002F2592"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2F2592" w:rsidRPr="00667752" w:rsidTr="009757FF">
        <w:tc>
          <w:tcPr>
            <w:tcW w:w="1604" w:type="pct"/>
            <w:vMerge/>
            <w:shd w:val="clear" w:color="auto" w:fill="D9D9D9"/>
            <w:vAlign w:val="center"/>
          </w:tcPr>
          <w:p w:rsidR="002F2592" w:rsidRPr="00667752" w:rsidRDefault="002F2592" w:rsidP="009757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6" w:type="pct"/>
            <w:shd w:val="clear" w:color="auto" w:fill="D9D9D9"/>
            <w:vAlign w:val="center"/>
          </w:tcPr>
          <w:p w:rsidR="002F2592" w:rsidRPr="00667752" w:rsidRDefault="00667752" w:rsidP="009757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fiksna</w:t>
            </w:r>
          </w:p>
        </w:tc>
        <w:tc>
          <w:tcPr>
            <w:tcW w:w="952" w:type="pct"/>
            <w:shd w:val="clear" w:color="auto" w:fill="D9D9D9"/>
            <w:vAlign w:val="center"/>
          </w:tcPr>
          <w:p w:rsidR="002F2592" w:rsidRPr="00667752" w:rsidRDefault="00667752" w:rsidP="009757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varijabilna</w:t>
            </w:r>
            <w:r w:rsidR="002F2592"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508" w:type="pct"/>
            <w:shd w:val="clear" w:color="auto" w:fill="D9D9D9"/>
            <w:vAlign w:val="center"/>
          </w:tcPr>
          <w:p w:rsidR="002F2592" w:rsidRPr="00667752" w:rsidRDefault="00667752" w:rsidP="009757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fiksna</w:t>
            </w:r>
          </w:p>
        </w:tc>
      </w:tr>
      <w:tr w:rsidR="002F2592" w:rsidRPr="00667752" w:rsidTr="009757FF">
        <w:tc>
          <w:tcPr>
            <w:tcW w:w="1604" w:type="pct"/>
          </w:tcPr>
          <w:p w:rsidR="002F2592" w:rsidRPr="00667752" w:rsidRDefault="002F2592" w:rsidP="002F259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18</w:t>
            </w:r>
            <w:r w:rsidR="00153B2B"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936" w:type="pct"/>
          </w:tcPr>
          <w:p w:rsidR="002F2592" w:rsidRPr="00667752" w:rsidRDefault="002F2592" w:rsidP="009757FF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952" w:type="pct"/>
          </w:tcPr>
          <w:p w:rsidR="002F2592" w:rsidRPr="00667752" w:rsidRDefault="002F2592" w:rsidP="009757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1508" w:type="pct"/>
          </w:tcPr>
          <w:p w:rsidR="002F2592" w:rsidRPr="00667752" w:rsidRDefault="002F2592" w:rsidP="009757FF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</w:tr>
      <w:tr w:rsidR="00ED33F7" w:rsidRPr="00667752" w:rsidTr="009757FF">
        <w:tc>
          <w:tcPr>
            <w:tcW w:w="1604" w:type="pct"/>
          </w:tcPr>
          <w:p w:rsidR="00ED33F7" w:rsidRPr="00667752" w:rsidRDefault="00ED33F7" w:rsidP="002F259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24 </w:t>
            </w:r>
            <w:r w:rsid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meseca</w:t>
            </w:r>
          </w:p>
        </w:tc>
        <w:tc>
          <w:tcPr>
            <w:tcW w:w="936" w:type="pct"/>
          </w:tcPr>
          <w:p w:rsidR="00ED33F7" w:rsidRPr="00667752" w:rsidRDefault="00ED33F7" w:rsidP="009757FF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952" w:type="pct"/>
          </w:tcPr>
          <w:p w:rsidR="00ED33F7" w:rsidRPr="00667752" w:rsidRDefault="00ED33F7" w:rsidP="009757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1508" w:type="pct"/>
          </w:tcPr>
          <w:p w:rsidR="00ED33F7" w:rsidRPr="00667752" w:rsidRDefault="00ED33F7" w:rsidP="009757FF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</w:tr>
      <w:tr w:rsidR="002F2592" w:rsidRPr="00667752" w:rsidTr="009757FF">
        <w:tc>
          <w:tcPr>
            <w:tcW w:w="1604" w:type="pct"/>
          </w:tcPr>
          <w:p w:rsidR="002F2592" w:rsidRPr="00667752" w:rsidRDefault="00153B2B" w:rsidP="002F259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36 </w:t>
            </w:r>
            <w:r w:rsid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936" w:type="pct"/>
          </w:tcPr>
          <w:p w:rsidR="002F2592" w:rsidRPr="00667752" w:rsidRDefault="002F2592" w:rsidP="009757FF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952" w:type="pct"/>
          </w:tcPr>
          <w:p w:rsidR="002F2592" w:rsidRPr="00667752" w:rsidRDefault="002F2592" w:rsidP="009757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1508" w:type="pct"/>
          </w:tcPr>
          <w:p w:rsidR="002F2592" w:rsidRPr="00667752" w:rsidRDefault="002F2592" w:rsidP="009757FF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</w:tr>
      <w:tr w:rsidR="00ED33F7" w:rsidRPr="00667752" w:rsidTr="009757FF">
        <w:tc>
          <w:tcPr>
            <w:tcW w:w="1604" w:type="pct"/>
          </w:tcPr>
          <w:p w:rsidR="00ED33F7" w:rsidRPr="00667752" w:rsidRDefault="00ED33F7" w:rsidP="002F259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48 </w:t>
            </w:r>
            <w:r w:rsid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936" w:type="pct"/>
          </w:tcPr>
          <w:p w:rsidR="00ED33F7" w:rsidRPr="00667752" w:rsidRDefault="00ED33F7" w:rsidP="009757FF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952" w:type="pct"/>
          </w:tcPr>
          <w:p w:rsidR="00ED33F7" w:rsidRPr="00667752" w:rsidRDefault="00ED33F7" w:rsidP="009757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1508" w:type="pct"/>
          </w:tcPr>
          <w:p w:rsidR="00ED33F7" w:rsidRPr="00667752" w:rsidRDefault="00ED33F7" w:rsidP="009757FF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</w:tr>
      <w:tr w:rsidR="006914B4" w:rsidRPr="00667752" w:rsidTr="009757FF">
        <w:tc>
          <w:tcPr>
            <w:tcW w:w="1604" w:type="pct"/>
          </w:tcPr>
          <w:p w:rsidR="006914B4" w:rsidRPr="00667752" w:rsidRDefault="00153B2B" w:rsidP="002F2592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60 </w:t>
            </w:r>
            <w:r w:rsid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936" w:type="pct"/>
          </w:tcPr>
          <w:p w:rsidR="006914B4" w:rsidRPr="00667752" w:rsidRDefault="006914B4" w:rsidP="009757FF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952" w:type="pct"/>
          </w:tcPr>
          <w:p w:rsidR="006914B4" w:rsidRPr="00667752" w:rsidRDefault="006914B4" w:rsidP="009757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1508" w:type="pct"/>
          </w:tcPr>
          <w:p w:rsidR="006914B4" w:rsidRPr="00667752" w:rsidRDefault="006914B4" w:rsidP="009757FF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</w:tr>
    </w:tbl>
    <w:p w:rsidR="000C09DC" w:rsidRPr="00667752" w:rsidRDefault="000C09DC" w:rsidP="002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914B4" w:rsidRPr="00667752" w:rsidRDefault="00667752" w:rsidP="00F450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Napomena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dostavile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ponudu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navedenim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kriterijumima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Tabele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1, </w:t>
      </w:r>
      <w:r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diskvalifikovane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FD610B" w:rsidRPr="00667752">
        <w:rPr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raspon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bodovanje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A6497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uzima</w:t>
      </w:r>
      <w:r w:rsidR="00A6497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najviša</w:t>
      </w:r>
      <w:r w:rsidR="00A6497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A6497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</w:t>
      </w:r>
      <w:r w:rsidR="00A6497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efektivne</w:t>
      </w:r>
      <w:r w:rsidR="00A6497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A6497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Odluku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efektivne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izgledu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sadržini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obrazaca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uručuju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korisniku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>(</w:t>
      </w:r>
      <w:r w:rsidR="00A6497C" w:rsidRPr="00667752">
        <w:rPr>
          <w:rFonts w:ascii="Times New Roman" w:hAnsi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A6497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A6497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A6497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ˮ,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6497C" w:rsidRPr="00667752">
        <w:rPr>
          <w:rFonts w:ascii="Times New Roman" w:hAnsi="Times New Roman"/>
          <w:noProof/>
          <w:sz w:val="24"/>
          <w:szCs w:val="24"/>
          <w:lang w:val="sr-Latn-CS"/>
        </w:rPr>
        <w:t>65/11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>).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punog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imovinskog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predmetu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zaloge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bankarskog</w:t>
      </w:r>
      <w:r w:rsidR="00D81C9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="00D81C9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D81C9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ulaze</w:t>
      </w:r>
      <w:r w:rsidR="00D81C9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1C9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</w:t>
      </w:r>
      <w:r w:rsidR="00D81C9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efektivne</w:t>
      </w:r>
      <w:r w:rsidR="00D81C9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D81C9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4224B" w:rsidRPr="00667752" w:rsidRDefault="0024224B" w:rsidP="002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B3682" w:rsidRPr="00667752" w:rsidRDefault="00EB3682" w:rsidP="002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4224B" w:rsidRPr="00667752" w:rsidRDefault="0024224B" w:rsidP="002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6914B4" w:rsidRPr="00667752" w:rsidRDefault="00667752" w:rsidP="00951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Kriterijum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predložena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definisane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ročnosti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6914B4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A83736" w:rsidRPr="00667752" w:rsidRDefault="00A83736" w:rsidP="002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ED33F7" w:rsidRPr="00667752" w:rsidRDefault="00ED33F7" w:rsidP="002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tbl>
      <w:tblPr>
        <w:tblW w:w="48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1639"/>
        <w:gridCol w:w="1667"/>
        <w:gridCol w:w="2641"/>
      </w:tblGrid>
      <w:tr w:rsidR="00ED33F7" w:rsidRPr="00667752" w:rsidTr="006F6009">
        <w:trPr>
          <w:gridAfter w:val="3"/>
          <w:wAfter w:w="3396" w:type="pct"/>
          <w:trHeight w:val="276"/>
        </w:trPr>
        <w:tc>
          <w:tcPr>
            <w:tcW w:w="1604" w:type="pct"/>
            <w:vMerge w:val="restart"/>
            <w:shd w:val="clear" w:color="auto" w:fill="D9D9D9"/>
            <w:vAlign w:val="center"/>
          </w:tcPr>
          <w:p w:rsidR="00ED33F7" w:rsidRPr="00667752" w:rsidRDefault="00667752" w:rsidP="006F60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Ročnost</w:t>
            </w:r>
          </w:p>
        </w:tc>
      </w:tr>
      <w:tr w:rsidR="00ED33F7" w:rsidRPr="00667752" w:rsidTr="006F6009">
        <w:tc>
          <w:tcPr>
            <w:tcW w:w="1604" w:type="pct"/>
            <w:vMerge/>
            <w:shd w:val="clear" w:color="auto" w:fill="D9D9D9"/>
            <w:vAlign w:val="center"/>
          </w:tcPr>
          <w:p w:rsidR="00ED33F7" w:rsidRPr="00667752" w:rsidRDefault="00ED33F7" w:rsidP="006F600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3396" w:type="pct"/>
            <w:gridSpan w:val="3"/>
            <w:shd w:val="clear" w:color="auto" w:fill="D9D9D9"/>
            <w:vAlign w:val="center"/>
          </w:tcPr>
          <w:p w:rsidR="00ED33F7" w:rsidRPr="00667752" w:rsidRDefault="00667752" w:rsidP="00FD610B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Efektivna</w:t>
            </w:r>
            <w:r w:rsidR="00ED33F7"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kamatna</w:t>
            </w:r>
            <w:r w:rsidR="00ED33F7"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stopa</w:t>
            </w:r>
            <w:r w:rsidR="00ED33F7"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EKS</w:t>
            </w:r>
            <w:r w:rsidR="00ED33F7"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ED33F7" w:rsidRPr="00667752" w:rsidTr="006F6009">
        <w:tc>
          <w:tcPr>
            <w:tcW w:w="1604" w:type="pct"/>
            <w:vMerge/>
            <w:shd w:val="clear" w:color="auto" w:fill="D9D9D9"/>
            <w:vAlign w:val="center"/>
          </w:tcPr>
          <w:p w:rsidR="00ED33F7" w:rsidRPr="00667752" w:rsidRDefault="00ED33F7" w:rsidP="006F600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88" w:type="pct"/>
            <w:gridSpan w:val="2"/>
            <w:shd w:val="clear" w:color="auto" w:fill="D9D9D9"/>
            <w:vAlign w:val="center"/>
          </w:tcPr>
          <w:p w:rsidR="00ED33F7" w:rsidRPr="00667752" w:rsidRDefault="00667752" w:rsidP="006F600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Dinarski</w:t>
            </w:r>
          </w:p>
        </w:tc>
        <w:tc>
          <w:tcPr>
            <w:tcW w:w="1508" w:type="pct"/>
            <w:shd w:val="clear" w:color="auto" w:fill="D9D9D9"/>
            <w:vAlign w:val="center"/>
          </w:tcPr>
          <w:p w:rsidR="00ED33F7" w:rsidRPr="00667752" w:rsidRDefault="00667752" w:rsidP="006F6009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Valutna</w:t>
            </w:r>
            <w:r w:rsidR="00ED33F7"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klauzula</w:t>
            </w:r>
            <w:r w:rsidR="00ED33F7"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</w:t>
            </w:r>
            <w:r w:rsidR="00ED33F7"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ED33F7" w:rsidRPr="00667752" w:rsidTr="006F6009">
        <w:tc>
          <w:tcPr>
            <w:tcW w:w="1604" w:type="pct"/>
            <w:vMerge/>
            <w:shd w:val="clear" w:color="auto" w:fill="D9D9D9"/>
            <w:vAlign w:val="center"/>
          </w:tcPr>
          <w:p w:rsidR="00ED33F7" w:rsidRPr="00667752" w:rsidRDefault="00ED33F7" w:rsidP="006F60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6" w:type="pct"/>
            <w:shd w:val="clear" w:color="auto" w:fill="D9D9D9"/>
            <w:vAlign w:val="center"/>
          </w:tcPr>
          <w:p w:rsidR="00ED33F7" w:rsidRPr="00667752" w:rsidRDefault="00667752" w:rsidP="006F60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fiksna</w:t>
            </w:r>
          </w:p>
        </w:tc>
        <w:tc>
          <w:tcPr>
            <w:tcW w:w="952" w:type="pct"/>
            <w:shd w:val="clear" w:color="auto" w:fill="D9D9D9"/>
            <w:vAlign w:val="center"/>
          </w:tcPr>
          <w:p w:rsidR="00ED33F7" w:rsidRPr="00667752" w:rsidRDefault="00667752" w:rsidP="006F60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varijabilna</w:t>
            </w:r>
            <w:r w:rsidR="00ED33F7"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508" w:type="pct"/>
            <w:shd w:val="clear" w:color="auto" w:fill="D9D9D9"/>
            <w:vAlign w:val="center"/>
          </w:tcPr>
          <w:p w:rsidR="00ED33F7" w:rsidRPr="00667752" w:rsidRDefault="00667752" w:rsidP="006F60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fiksna</w:t>
            </w:r>
          </w:p>
        </w:tc>
      </w:tr>
      <w:tr w:rsidR="00ED33F7" w:rsidRPr="00667752" w:rsidTr="006F6009">
        <w:tc>
          <w:tcPr>
            <w:tcW w:w="1604" w:type="pct"/>
          </w:tcPr>
          <w:p w:rsidR="00ED33F7" w:rsidRPr="00667752" w:rsidRDefault="00ED33F7" w:rsidP="00ED33F7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18  </w:t>
            </w:r>
            <w:r w:rsid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936" w:type="pct"/>
          </w:tcPr>
          <w:p w:rsidR="00ED33F7" w:rsidRPr="00667752" w:rsidRDefault="00ED33F7" w:rsidP="006F6009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952" w:type="pct"/>
          </w:tcPr>
          <w:p w:rsidR="00ED33F7" w:rsidRPr="00667752" w:rsidRDefault="00ED33F7" w:rsidP="006F60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1508" w:type="pct"/>
          </w:tcPr>
          <w:p w:rsidR="00ED33F7" w:rsidRPr="00667752" w:rsidRDefault="00ED33F7" w:rsidP="006F6009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</w:tr>
      <w:tr w:rsidR="00ED33F7" w:rsidRPr="00667752" w:rsidTr="006F6009">
        <w:tc>
          <w:tcPr>
            <w:tcW w:w="1604" w:type="pct"/>
          </w:tcPr>
          <w:p w:rsidR="00ED33F7" w:rsidRPr="00667752" w:rsidRDefault="00ED33F7" w:rsidP="00ED33F7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24 </w:t>
            </w:r>
            <w:r w:rsid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meseca</w:t>
            </w:r>
          </w:p>
        </w:tc>
        <w:tc>
          <w:tcPr>
            <w:tcW w:w="936" w:type="pct"/>
          </w:tcPr>
          <w:p w:rsidR="00ED33F7" w:rsidRPr="00667752" w:rsidRDefault="00ED33F7" w:rsidP="006F6009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952" w:type="pct"/>
          </w:tcPr>
          <w:p w:rsidR="00ED33F7" w:rsidRPr="00667752" w:rsidRDefault="00ED33F7" w:rsidP="006F60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1508" w:type="pct"/>
          </w:tcPr>
          <w:p w:rsidR="00ED33F7" w:rsidRPr="00667752" w:rsidRDefault="00ED33F7" w:rsidP="006F6009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</w:tr>
      <w:tr w:rsidR="00ED33F7" w:rsidRPr="00667752" w:rsidTr="006F6009">
        <w:tc>
          <w:tcPr>
            <w:tcW w:w="1604" w:type="pct"/>
          </w:tcPr>
          <w:p w:rsidR="00ED33F7" w:rsidRPr="00667752" w:rsidRDefault="00ED33F7" w:rsidP="00ED33F7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36 </w:t>
            </w:r>
            <w:r w:rsid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936" w:type="pct"/>
          </w:tcPr>
          <w:p w:rsidR="00ED33F7" w:rsidRPr="00667752" w:rsidRDefault="00ED33F7" w:rsidP="006F6009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952" w:type="pct"/>
          </w:tcPr>
          <w:p w:rsidR="00ED33F7" w:rsidRPr="00667752" w:rsidRDefault="00ED33F7" w:rsidP="006F60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1508" w:type="pct"/>
          </w:tcPr>
          <w:p w:rsidR="00ED33F7" w:rsidRPr="00667752" w:rsidRDefault="00ED33F7" w:rsidP="006F6009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</w:tr>
      <w:tr w:rsidR="00ED33F7" w:rsidRPr="00667752" w:rsidTr="006F6009">
        <w:tc>
          <w:tcPr>
            <w:tcW w:w="1604" w:type="pct"/>
          </w:tcPr>
          <w:p w:rsidR="00ED33F7" w:rsidRPr="00667752" w:rsidRDefault="00ED33F7" w:rsidP="00ED33F7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48 </w:t>
            </w:r>
            <w:r w:rsid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936" w:type="pct"/>
          </w:tcPr>
          <w:p w:rsidR="00ED33F7" w:rsidRPr="00667752" w:rsidRDefault="00ED33F7" w:rsidP="006F6009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952" w:type="pct"/>
          </w:tcPr>
          <w:p w:rsidR="00ED33F7" w:rsidRPr="00667752" w:rsidRDefault="00ED33F7" w:rsidP="006F60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1508" w:type="pct"/>
          </w:tcPr>
          <w:p w:rsidR="00ED33F7" w:rsidRPr="00667752" w:rsidRDefault="00ED33F7" w:rsidP="006F6009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</w:tr>
      <w:tr w:rsidR="00ED33F7" w:rsidRPr="00667752" w:rsidTr="006F6009">
        <w:tc>
          <w:tcPr>
            <w:tcW w:w="1604" w:type="pct"/>
          </w:tcPr>
          <w:p w:rsidR="00ED33F7" w:rsidRPr="00667752" w:rsidRDefault="00ED33F7" w:rsidP="00ED33F7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60 </w:t>
            </w:r>
            <w:r w:rsidR="00667752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meseci</w:t>
            </w:r>
          </w:p>
        </w:tc>
        <w:tc>
          <w:tcPr>
            <w:tcW w:w="936" w:type="pct"/>
          </w:tcPr>
          <w:p w:rsidR="00ED33F7" w:rsidRPr="00667752" w:rsidRDefault="00ED33F7" w:rsidP="006F6009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952" w:type="pct"/>
          </w:tcPr>
          <w:p w:rsidR="00ED33F7" w:rsidRPr="00667752" w:rsidRDefault="00ED33F7" w:rsidP="006F600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  <w:tc>
          <w:tcPr>
            <w:tcW w:w="1508" w:type="pct"/>
          </w:tcPr>
          <w:p w:rsidR="00ED33F7" w:rsidRPr="00667752" w:rsidRDefault="00ED33F7" w:rsidP="006F6009">
            <w:pPr>
              <w:spacing w:after="0"/>
              <w:jc w:val="center"/>
              <w:rPr>
                <w:rFonts w:ascii="Times New Roman" w:hAnsi="Times New Roman"/>
                <w:noProof/>
                <w:color w:val="365F91"/>
                <w:sz w:val="24"/>
                <w:szCs w:val="24"/>
                <w:lang w:val="sr-Latn-CS"/>
              </w:rPr>
            </w:pPr>
          </w:p>
        </w:tc>
      </w:tr>
    </w:tbl>
    <w:p w:rsidR="002F2592" w:rsidRPr="00667752" w:rsidRDefault="00672C5C" w:rsidP="002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Napomena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F156D8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budu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dostavile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ponudu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navedenim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kriterijumima</w:t>
      </w:r>
      <w:r w:rsidR="00E6092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E6092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Tabele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biće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diskvalifikovane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FD610B" w:rsidRPr="00667752">
        <w:rPr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daje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raspon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bodovanje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uzima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najviša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obračun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efektivne</w:t>
      </w:r>
      <w:r w:rsidR="00D81C9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D81C9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D81C9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Odluku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načinu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obračuna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efektivne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izgledu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sadržini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obrazaca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uručuju</w:t>
      </w:r>
      <w:r w:rsidR="0076217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korisniku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puno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imovinsko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D81C9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D81C9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D81C9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ulazi</w:t>
      </w:r>
      <w:r w:rsidR="00D81C9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D81C9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obračun</w:t>
      </w:r>
      <w:r w:rsidR="00D81C9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efektivne</w:t>
      </w:r>
      <w:r w:rsidR="00D81C9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D81C9E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FD610B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2F2592" w:rsidP="002F2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FB2741" w:rsidRPr="00667752" w:rsidRDefault="00394A50" w:rsidP="00394A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Ponude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efektivne</w:t>
      </w:r>
      <w:r w:rsidR="00DD149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DD149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DD149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međusobno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porede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rangiraju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istu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ročnost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valutu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navedenu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82583C" w:rsidRPr="00667752" w:rsidRDefault="00394A50" w:rsidP="00394A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Ponude</w:t>
      </w:r>
      <w:r w:rsidR="0038259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efektivne</w:t>
      </w:r>
      <w:r w:rsidR="00DD149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DD149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DD149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38259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38259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38259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8259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međusobno</w:t>
      </w:r>
      <w:r w:rsidR="0038259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porede</w:t>
      </w:r>
      <w:r w:rsidR="0038259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8259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rangiraju</w:t>
      </w:r>
      <w:r w:rsidR="0038259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8259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istu</w:t>
      </w:r>
      <w:r w:rsidR="0038259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ročnost</w:t>
      </w:r>
      <w:r w:rsidR="0038259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8259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valutu</w:t>
      </w:r>
      <w:r w:rsidR="0038259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navedenu</w:t>
      </w:r>
      <w:r w:rsidR="0038259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8259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38259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72C5C" w:rsidRPr="00667752">
        <w:rPr>
          <w:rFonts w:ascii="Times New Roman" w:hAnsi="Times New Roman"/>
          <w:noProof/>
          <w:sz w:val="24"/>
          <w:szCs w:val="24"/>
          <w:lang w:val="sr-Latn-CS"/>
        </w:rPr>
        <w:t>2</w:t>
      </w:r>
      <w:r w:rsidR="00382590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9757F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FB2741" w:rsidRPr="00667752" w:rsidRDefault="00394A50" w:rsidP="00394A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Ponude</w:t>
      </w:r>
      <w:r w:rsidR="00FB274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FB274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B274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ponude</w:t>
      </w:r>
      <w:r w:rsidR="00FB274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FB274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FB274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FB274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FB274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rangiraju</w:t>
      </w:r>
      <w:r w:rsidR="00FB2741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5E2CB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BB4D4A" w:rsidRPr="00667752" w:rsidRDefault="00BB4D4A" w:rsidP="00BB4D4A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Calibri" w:hAnsi="Times New Roman"/>
          <w:noProof/>
          <w:sz w:val="24"/>
          <w:szCs w:val="24"/>
          <w:lang w:val="sr-Latn-CS"/>
        </w:rPr>
      </w:pPr>
    </w:p>
    <w:p w:rsidR="002F2592" w:rsidRPr="00667752" w:rsidRDefault="00382590" w:rsidP="002F2592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Sabiranjem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dobijenih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rangova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formira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finalna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rang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lista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ocenjivanje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selekciju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prijava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C806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F44DC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C806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donosi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Odluku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izboru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C806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806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C806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maksimalno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FB274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najbolje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rangirane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C806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C806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maksimalno</w:t>
      </w:r>
      <w:r w:rsidR="00FB274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FB274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najbolje</w:t>
      </w:r>
      <w:r w:rsidR="00FB274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rangirane</w:t>
      </w:r>
      <w:r w:rsidR="00FB274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C806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5E2CB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Kandidati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ocenjivanje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selekciju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5032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032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5032F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odbila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prigovor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osam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Prigovor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podnosi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ministru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neposredno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preporučenom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poštom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adresu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Kneza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Miloša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20, 11000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prigovoru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odlučuje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prigovora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2F259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2F2592" w:rsidP="002F259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6.2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programa</w:t>
      </w:r>
    </w:p>
    <w:p w:rsidR="002F2592" w:rsidRPr="00667752" w:rsidRDefault="002F2592" w:rsidP="002F2592">
      <w:pPr>
        <w:spacing w:after="0" w:line="240" w:lineRule="auto"/>
        <w:ind w:left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usvajanju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potpisati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Razvojnom</w:t>
      </w:r>
      <w:r w:rsidR="000665A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Razvojnu</w:t>
      </w:r>
      <w:r w:rsidR="000665A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agenciju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preneti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zaključivanja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korišćenju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privrednim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subjektima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namenske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račune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drugostepena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namenskog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nakon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prijema</w:t>
      </w:r>
      <w:r w:rsidR="00082B1F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pisanog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obaveštenja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FC6977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FC6977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FC6977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mogućim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nepravilnostima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namenskog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prevremeno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otplatili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29172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kredita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FC6977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FC6977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595BF5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="0029172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lizinga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2F2592" w:rsidRPr="00667752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2F2592" w:rsidRPr="00667752" w:rsidRDefault="00667752" w:rsidP="002F2592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izboru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7763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F7763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F7763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učešće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potpisati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trojni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njegovoj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Razvojnom</w:t>
      </w:r>
      <w:r w:rsidR="000665A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izabranih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banaka</w:t>
      </w:r>
      <w:r w:rsidR="00F7763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F7763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F7763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Ugovorima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F7763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7763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F7763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preneta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prikupljanja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obrade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zahteva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dodelu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bespovratnih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namenske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redovnog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izveštavanja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Razvojne</w:t>
      </w:r>
      <w:r w:rsidR="000665A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eventualnim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nepravilnostima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zloupotrebama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2F2592" w:rsidRPr="00667752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zaključenju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Razvojnom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agencijom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bankama</w:t>
      </w:r>
      <w:r w:rsidR="00F7763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F7763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F7763A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kompanijama</w:t>
      </w:r>
      <w:r w:rsidR="001105B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preneti</w:t>
      </w:r>
      <w:r w:rsidR="001105B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celokupna</w:t>
      </w:r>
      <w:r w:rsidR="001105B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realizaciju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podračun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posebne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1105B1" w:rsidRPr="00667752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9013C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Uprave</w:t>
      </w:r>
      <w:r w:rsidR="009013C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9013C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trezor</w:t>
      </w:r>
      <w:r w:rsidR="009013C1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4C5AAB" w:rsidRPr="00667752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2F2592" w:rsidRPr="00667752" w:rsidRDefault="004C5AAB" w:rsidP="004C5AAB">
      <w:pPr>
        <w:ind w:firstLine="708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7.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PRAĆENJE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PROGRAMA</w:t>
      </w:r>
    </w:p>
    <w:p w:rsidR="002F2592" w:rsidRPr="00667752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namenskog</w:t>
      </w:r>
      <w:r w:rsidR="003362A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vrše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367CB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67CB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lizing</w:t>
      </w:r>
      <w:r w:rsidR="00367CBB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kompanije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saradnji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Ministarstvom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746329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2F2592" w:rsidRPr="00667752" w:rsidRDefault="002F2592" w:rsidP="002F259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667752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Razvojnoj</w:t>
      </w:r>
      <w:r w:rsidR="00460AFC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agenciji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Komisiji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državne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praćenja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korišćenja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omogući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svakoj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fazi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svakom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momentu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omogućena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kontrola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uvid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finansijsku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67752">
        <w:rPr>
          <w:rFonts w:ascii="Times New Roman" w:hAnsi="Times New Roman"/>
          <w:noProof/>
          <w:sz w:val="24"/>
          <w:szCs w:val="24"/>
          <w:lang w:val="sr-Latn-CS"/>
        </w:rPr>
        <w:t>dokumentaciju</w:t>
      </w:r>
      <w:r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106D00" w:rsidRPr="00667752" w:rsidRDefault="00667752" w:rsidP="003F71B3">
      <w:pPr>
        <w:spacing w:after="0" w:line="240" w:lineRule="auto"/>
        <w:ind w:firstLine="720"/>
        <w:jc w:val="both"/>
        <w:rPr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Razvojna</w:t>
      </w:r>
      <w:r w:rsidR="000665A0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završetku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/>
          <w:noProof/>
          <w:sz w:val="24"/>
          <w:szCs w:val="24"/>
          <w:lang w:val="sr-Latn-CS"/>
        </w:rPr>
        <w:t>januara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201</w:t>
      </w:r>
      <w:r w:rsidR="0075237C" w:rsidRPr="00667752">
        <w:rPr>
          <w:rFonts w:ascii="Times New Roman" w:hAnsi="Times New Roman"/>
          <w:noProof/>
          <w:sz w:val="24"/>
          <w:szCs w:val="24"/>
          <w:lang w:val="sr-Latn-CS"/>
        </w:rPr>
        <w:t>7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Ministarstvu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informisanja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dostaviti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Vladi</w:t>
      </w:r>
      <w:r w:rsidR="002F2592" w:rsidRPr="00667752">
        <w:rPr>
          <w:rFonts w:ascii="Times New Roman" w:hAnsi="Times New Roman"/>
          <w:noProof/>
          <w:sz w:val="24"/>
          <w:szCs w:val="24"/>
          <w:lang w:val="sr-Latn-CS"/>
        </w:rPr>
        <w:t>.</w:t>
      </w:r>
      <w:bookmarkStart w:id="0" w:name="_GoBack"/>
      <w:bookmarkEnd w:id="0"/>
      <w:r w:rsidR="00722C67" w:rsidRPr="00667752">
        <w:rPr>
          <w:noProof/>
          <w:sz w:val="24"/>
          <w:szCs w:val="24"/>
          <w:lang w:val="sr-Latn-CS"/>
        </w:rPr>
        <w:t xml:space="preserve"> </w:t>
      </w:r>
    </w:p>
    <w:sectPr w:rsidR="00106D00" w:rsidRPr="00667752" w:rsidSect="00AF61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9DA" w:rsidRDefault="00EE09DA" w:rsidP="0018198C">
      <w:pPr>
        <w:spacing w:after="0" w:line="240" w:lineRule="auto"/>
      </w:pPr>
      <w:r>
        <w:separator/>
      </w:r>
    </w:p>
  </w:endnote>
  <w:endnote w:type="continuationSeparator" w:id="0">
    <w:p w:rsidR="00EE09DA" w:rsidRDefault="00EE09DA" w:rsidP="0018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52" w:rsidRDefault="00667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1762444278"/>
      <w:docPartObj>
        <w:docPartGallery w:val="Page Numbers (Bottom of Page)"/>
        <w:docPartUnique/>
      </w:docPartObj>
    </w:sdtPr>
    <w:sdtEndPr/>
    <w:sdtContent>
      <w:p w:rsidR="00AF61A4" w:rsidRPr="00667752" w:rsidRDefault="00AF61A4">
        <w:pPr>
          <w:pStyle w:val="Footer"/>
          <w:jc w:val="right"/>
          <w:rPr>
            <w:noProof/>
            <w:lang w:val="sr-Latn-CS"/>
          </w:rPr>
        </w:pPr>
        <w:r w:rsidRPr="00667752">
          <w:rPr>
            <w:noProof/>
            <w:lang w:val="sr-Latn-CS"/>
          </w:rPr>
          <w:fldChar w:fldCharType="begin"/>
        </w:r>
        <w:r w:rsidRPr="00667752">
          <w:rPr>
            <w:noProof/>
            <w:lang w:val="sr-Latn-CS"/>
          </w:rPr>
          <w:instrText xml:space="preserve"> PAGE   \* MERGEFORMAT </w:instrText>
        </w:r>
        <w:r w:rsidRPr="00667752">
          <w:rPr>
            <w:noProof/>
            <w:lang w:val="sr-Latn-CS"/>
          </w:rPr>
          <w:fldChar w:fldCharType="separate"/>
        </w:r>
        <w:r w:rsidR="00667752">
          <w:rPr>
            <w:noProof/>
            <w:lang w:val="sr-Latn-CS"/>
          </w:rPr>
          <w:t>10</w:t>
        </w:r>
        <w:r w:rsidRPr="00667752">
          <w:rPr>
            <w:noProof/>
            <w:lang w:val="sr-Latn-CS"/>
          </w:rPr>
          <w:fldChar w:fldCharType="end"/>
        </w:r>
      </w:p>
    </w:sdtContent>
  </w:sdt>
  <w:p w:rsidR="00A8295C" w:rsidRPr="00667752" w:rsidRDefault="00A8295C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52" w:rsidRDefault="00667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9DA" w:rsidRDefault="00EE09DA" w:rsidP="0018198C">
      <w:pPr>
        <w:spacing w:after="0" w:line="240" w:lineRule="auto"/>
      </w:pPr>
      <w:r>
        <w:separator/>
      </w:r>
    </w:p>
  </w:footnote>
  <w:footnote w:type="continuationSeparator" w:id="0">
    <w:p w:rsidR="00EE09DA" w:rsidRDefault="00EE09DA" w:rsidP="0018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52" w:rsidRDefault="00667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52" w:rsidRDefault="006677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52" w:rsidRDefault="00667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5F7"/>
    <w:multiLevelType w:val="hybridMultilevel"/>
    <w:tmpl w:val="42D676CE"/>
    <w:lvl w:ilvl="0" w:tplc="040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75859A7"/>
    <w:multiLevelType w:val="hybridMultilevel"/>
    <w:tmpl w:val="1EB4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3B5B"/>
    <w:multiLevelType w:val="hybridMultilevel"/>
    <w:tmpl w:val="A1A47AD8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D3428FC"/>
    <w:multiLevelType w:val="multilevel"/>
    <w:tmpl w:val="44EA3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CA2FB6"/>
    <w:multiLevelType w:val="hybridMultilevel"/>
    <w:tmpl w:val="2E5A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0170B"/>
    <w:multiLevelType w:val="multilevel"/>
    <w:tmpl w:val="44EA3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E66BB7"/>
    <w:multiLevelType w:val="hybridMultilevel"/>
    <w:tmpl w:val="445E20C4"/>
    <w:lvl w:ilvl="0" w:tplc="23B079C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A0731"/>
    <w:multiLevelType w:val="hybridMultilevel"/>
    <w:tmpl w:val="4BE2970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8917C8"/>
    <w:multiLevelType w:val="hybridMultilevel"/>
    <w:tmpl w:val="0846B6E6"/>
    <w:lvl w:ilvl="0" w:tplc="B4C43992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966A0"/>
    <w:multiLevelType w:val="multilevel"/>
    <w:tmpl w:val="062C478E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2FAE6DD5"/>
    <w:multiLevelType w:val="multilevel"/>
    <w:tmpl w:val="8D94F6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" w15:restartNumberingAfterBreak="0">
    <w:nsid w:val="317637DD"/>
    <w:multiLevelType w:val="hybridMultilevel"/>
    <w:tmpl w:val="5B9A81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B76DEC"/>
    <w:multiLevelType w:val="multilevel"/>
    <w:tmpl w:val="6F7A19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4D0E6A"/>
    <w:multiLevelType w:val="hybridMultilevel"/>
    <w:tmpl w:val="2CC25A9C"/>
    <w:lvl w:ilvl="0" w:tplc="C54EEF68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8A3942"/>
    <w:multiLevelType w:val="hybridMultilevel"/>
    <w:tmpl w:val="170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F7287"/>
    <w:multiLevelType w:val="hybridMultilevel"/>
    <w:tmpl w:val="240C6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41A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73247"/>
    <w:multiLevelType w:val="hybridMultilevel"/>
    <w:tmpl w:val="E0E08F2A"/>
    <w:lvl w:ilvl="0" w:tplc="241A0011">
      <w:start w:val="1"/>
      <w:numFmt w:val="decimal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D725BE6"/>
    <w:multiLevelType w:val="hybridMultilevel"/>
    <w:tmpl w:val="8AF2D946"/>
    <w:lvl w:ilvl="0" w:tplc="23B079C8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623D7"/>
    <w:multiLevelType w:val="hybridMultilevel"/>
    <w:tmpl w:val="7BF87702"/>
    <w:lvl w:ilvl="0" w:tplc="23B079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A87011"/>
    <w:multiLevelType w:val="hybridMultilevel"/>
    <w:tmpl w:val="170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4223C"/>
    <w:multiLevelType w:val="hybridMultilevel"/>
    <w:tmpl w:val="C040DE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4C4399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C3716"/>
    <w:multiLevelType w:val="hybridMultilevel"/>
    <w:tmpl w:val="741CF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A3328"/>
    <w:multiLevelType w:val="hybridMultilevel"/>
    <w:tmpl w:val="1708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80DB4"/>
    <w:multiLevelType w:val="hybridMultilevel"/>
    <w:tmpl w:val="CBFE5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3B079C8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9"/>
  </w:num>
  <w:num w:numId="5">
    <w:abstractNumId w:val="18"/>
  </w:num>
  <w:num w:numId="6">
    <w:abstractNumId w:val="13"/>
  </w:num>
  <w:num w:numId="7">
    <w:abstractNumId w:val="16"/>
  </w:num>
  <w:num w:numId="8">
    <w:abstractNumId w:val="14"/>
  </w:num>
  <w:num w:numId="9">
    <w:abstractNumId w:val="12"/>
  </w:num>
  <w:num w:numId="10">
    <w:abstractNumId w:val="21"/>
  </w:num>
  <w:num w:numId="11">
    <w:abstractNumId w:val="2"/>
  </w:num>
  <w:num w:numId="12">
    <w:abstractNumId w:val="7"/>
  </w:num>
  <w:num w:numId="13">
    <w:abstractNumId w:val="19"/>
  </w:num>
  <w:num w:numId="14">
    <w:abstractNumId w:val="1"/>
  </w:num>
  <w:num w:numId="15">
    <w:abstractNumId w:val="11"/>
  </w:num>
  <w:num w:numId="16">
    <w:abstractNumId w:val="3"/>
  </w:num>
  <w:num w:numId="17">
    <w:abstractNumId w:val="5"/>
  </w:num>
  <w:num w:numId="18">
    <w:abstractNumId w:val="10"/>
  </w:num>
  <w:num w:numId="19">
    <w:abstractNumId w:val="2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2"/>
  </w:num>
  <w:num w:numId="23">
    <w:abstractNumId w:val="4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8A"/>
    <w:rsid w:val="00006213"/>
    <w:rsid w:val="000072BC"/>
    <w:rsid w:val="000118F8"/>
    <w:rsid w:val="00022F83"/>
    <w:rsid w:val="0002787A"/>
    <w:rsid w:val="00027B00"/>
    <w:rsid w:val="00027BC6"/>
    <w:rsid w:val="00033F77"/>
    <w:rsid w:val="00035AC6"/>
    <w:rsid w:val="0004361F"/>
    <w:rsid w:val="00044D28"/>
    <w:rsid w:val="00044E7B"/>
    <w:rsid w:val="0005690E"/>
    <w:rsid w:val="00065120"/>
    <w:rsid w:val="00065150"/>
    <w:rsid w:val="000665A0"/>
    <w:rsid w:val="0006794E"/>
    <w:rsid w:val="00082B1F"/>
    <w:rsid w:val="00085350"/>
    <w:rsid w:val="00085F95"/>
    <w:rsid w:val="0009324F"/>
    <w:rsid w:val="000973B8"/>
    <w:rsid w:val="00097D93"/>
    <w:rsid w:val="000A29C5"/>
    <w:rsid w:val="000A5832"/>
    <w:rsid w:val="000B04B5"/>
    <w:rsid w:val="000B08A7"/>
    <w:rsid w:val="000C09DC"/>
    <w:rsid w:val="000C2369"/>
    <w:rsid w:val="000C29F1"/>
    <w:rsid w:val="000C7DA5"/>
    <w:rsid w:val="000D359E"/>
    <w:rsid w:val="000D52CF"/>
    <w:rsid w:val="000E228E"/>
    <w:rsid w:val="000F304D"/>
    <w:rsid w:val="00100210"/>
    <w:rsid w:val="00104C4F"/>
    <w:rsid w:val="00104F45"/>
    <w:rsid w:val="00106D00"/>
    <w:rsid w:val="001105B1"/>
    <w:rsid w:val="001111F9"/>
    <w:rsid w:val="00112868"/>
    <w:rsid w:val="00112E19"/>
    <w:rsid w:val="001177DE"/>
    <w:rsid w:val="00126F51"/>
    <w:rsid w:val="001433BF"/>
    <w:rsid w:val="0015384F"/>
    <w:rsid w:val="00153B2B"/>
    <w:rsid w:val="0015595E"/>
    <w:rsid w:val="001734FF"/>
    <w:rsid w:val="0018198C"/>
    <w:rsid w:val="00183A29"/>
    <w:rsid w:val="001955D3"/>
    <w:rsid w:val="001968FD"/>
    <w:rsid w:val="001974F6"/>
    <w:rsid w:val="001B0B35"/>
    <w:rsid w:val="001B0E27"/>
    <w:rsid w:val="001D5913"/>
    <w:rsid w:val="001E6D5D"/>
    <w:rsid w:val="001E71FF"/>
    <w:rsid w:val="0021485E"/>
    <w:rsid w:val="002171BF"/>
    <w:rsid w:val="002327DF"/>
    <w:rsid w:val="00233E88"/>
    <w:rsid w:val="00237CD2"/>
    <w:rsid w:val="00237CFC"/>
    <w:rsid w:val="0024064D"/>
    <w:rsid w:val="0024224B"/>
    <w:rsid w:val="00246DA5"/>
    <w:rsid w:val="00247C47"/>
    <w:rsid w:val="00256F04"/>
    <w:rsid w:val="00265C2A"/>
    <w:rsid w:val="00274B5F"/>
    <w:rsid w:val="00277605"/>
    <w:rsid w:val="00277881"/>
    <w:rsid w:val="0029172B"/>
    <w:rsid w:val="00296533"/>
    <w:rsid w:val="002A0660"/>
    <w:rsid w:val="002A726C"/>
    <w:rsid w:val="002B4058"/>
    <w:rsid w:val="002C2B2C"/>
    <w:rsid w:val="002C59AA"/>
    <w:rsid w:val="002C7E23"/>
    <w:rsid w:val="002D13A9"/>
    <w:rsid w:val="002D1D2E"/>
    <w:rsid w:val="002D2060"/>
    <w:rsid w:val="002D6690"/>
    <w:rsid w:val="002F2592"/>
    <w:rsid w:val="00302E59"/>
    <w:rsid w:val="00305B15"/>
    <w:rsid w:val="003116F3"/>
    <w:rsid w:val="003362AB"/>
    <w:rsid w:val="00350B38"/>
    <w:rsid w:val="00353DF0"/>
    <w:rsid w:val="00363D76"/>
    <w:rsid w:val="00367CBB"/>
    <w:rsid w:val="0037305C"/>
    <w:rsid w:val="003737F8"/>
    <w:rsid w:val="00382590"/>
    <w:rsid w:val="003879EE"/>
    <w:rsid w:val="00394A50"/>
    <w:rsid w:val="003A3D96"/>
    <w:rsid w:val="003A731E"/>
    <w:rsid w:val="003B1EA1"/>
    <w:rsid w:val="003B1F10"/>
    <w:rsid w:val="003B42C1"/>
    <w:rsid w:val="003C0299"/>
    <w:rsid w:val="003C0D9C"/>
    <w:rsid w:val="003C1077"/>
    <w:rsid w:val="003C3DBB"/>
    <w:rsid w:val="003D0672"/>
    <w:rsid w:val="003D3728"/>
    <w:rsid w:val="003E07D6"/>
    <w:rsid w:val="003E240E"/>
    <w:rsid w:val="003E7C0B"/>
    <w:rsid w:val="003F71B3"/>
    <w:rsid w:val="0041407F"/>
    <w:rsid w:val="004220B6"/>
    <w:rsid w:val="00424519"/>
    <w:rsid w:val="004334EC"/>
    <w:rsid w:val="00434256"/>
    <w:rsid w:val="00441E53"/>
    <w:rsid w:val="00452A7F"/>
    <w:rsid w:val="00452F16"/>
    <w:rsid w:val="0045354A"/>
    <w:rsid w:val="00460AFC"/>
    <w:rsid w:val="004641C1"/>
    <w:rsid w:val="0046728A"/>
    <w:rsid w:val="00475045"/>
    <w:rsid w:val="0047731B"/>
    <w:rsid w:val="00491F1E"/>
    <w:rsid w:val="0049540D"/>
    <w:rsid w:val="004A20AD"/>
    <w:rsid w:val="004A24AF"/>
    <w:rsid w:val="004B3AFA"/>
    <w:rsid w:val="004C058C"/>
    <w:rsid w:val="004C5AAB"/>
    <w:rsid w:val="004C6392"/>
    <w:rsid w:val="004D42C8"/>
    <w:rsid w:val="004D5A7D"/>
    <w:rsid w:val="004D63C2"/>
    <w:rsid w:val="004F5693"/>
    <w:rsid w:val="005032F0"/>
    <w:rsid w:val="0050342B"/>
    <w:rsid w:val="0051059F"/>
    <w:rsid w:val="0051159A"/>
    <w:rsid w:val="00524434"/>
    <w:rsid w:val="00535E48"/>
    <w:rsid w:val="00540B00"/>
    <w:rsid w:val="00545E0C"/>
    <w:rsid w:val="00546706"/>
    <w:rsid w:val="00551113"/>
    <w:rsid w:val="0057423F"/>
    <w:rsid w:val="005840C0"/>
    <w:rsid w:val="00585085"/>
    <w:rsid w:val="00595BF5"/>
    <w:rsid w:val="00597CF0"/>
    <w:rsid w:val="005A2F48"/>
    <w:rsid w:val="005A69BB"/>
    <w:rsid w:val="005A74F1"/>
    <w:rsid w:val="005B2E5A"/>
    <w:rsid w:val="005C47F6"/>
    <w:rsid w:val="005C5B36"/>
    <w:rsid w:val="005C5E29"/>
    <w:rsid w:val="005C6D5A"/>
    <w:rsid w:val="005D0793"/>
    <w:rsid w:val="005D0D09"/>
    <w:rsid w:val="005D58AE"/>
    <w:rsid w:val="005E050F"/>
    <w:rsid w:val="005E1C4F"/>
    <w:rsid w:val="005E2CBA"/>
    <w:rsid w:val="005E6BE6"/>
    <w:rsid w:val="005F3532"/>
    <w:rsid w:val="0062599B"/>
    <w:rsid w:val="00625BD7"/>
    <w:rsid w:val="006412F9"/>
    <w:rsid w:val="00667752"/>
    <w:rsid w:val="00670502"/>
    <w:rsid w:val="00672C5C"/>
    <w:rsid w:val="006914B4"/>
    <w:rsid w:val="006921E4"/>
    <w:rsid w:val="00695761"/>
    <w:rsid w:val="0069663F"/>
    <w:rsid w:val="006A12FD"/>
    <w:rsid w:val="006A2E4F"/>
    <w:rsid w:val="006A40AE"/>
    <w:rsid w:val="006B1DED"/>
    <w:rsid w:val="006B4B79"/>
    <w:rsid w:val="006B59CF"/>
    <w:rsid w:val="006C21F0"/>
    <w:rsid w:val="006D2A70"/>
    <w:rsid w:val="006D6107"/>
    <w:rsid w:val="006E4C11"/>
    <w:rsid w:val="006F0DAE"/>
    <w:rsid w:val="006F7B5F"/>
    <w:rsid w:val="0070124C"/>
    <w:rsid w:val="00707C9A"/>
    <w:rsid w:val="007153F1"/>
    <w:rsid w:val="0071561A"/>
    <w:rsid w:val="0071777F"/>
    <w:rsid w:val="00722C67"/>
    <w:rsid w:val="00730073"/>
    <w:rsid w:val="007460C5"/>
    <w:rsid w:val="00746329"/>
    <w:rsid w:val="00750F64"/>
    <w:rsid w:val="0075237C"/>
    <w:rsid w:val="00760AE0"/>
    <w:rsid w:val="00762179"/>
    <w:rsid w:val="0076363F"/>
    <w:rsid w:val="007658D8"/>
    <w:rsid w:val="007734FB"/>
    <w:rsid w:val="00774B11"/>
    <w:rsid w:val="007830E0"/>
    <w:rsid w:val="00795E65"/>
    <w:rsid w:val="00797028"/>
    <w:rsid w:val="007C1908"/>
    <w:rsid w:val="007C1FEF"/>
    <w:rsid w:val="007D491E"/>
    <w:rsid w:val="007E4CA7"/>
    <w:rsid w:val="007E51BF"/>
    <w:rsid w:val="007F1B32"/>
    <w:rsid w:val="007F1EEE"/>
    <w:rsid w:val="007F5B3D"/>
    <w:rsid w:val="00802896"/>
    <w:rsid w:val="008115B5"/>
    <w:rsid w:val="00820D5D"/>
    <w:rsid w:val="0082583C"/>
    <w:rsid w:val="0082660C"/>
    <w:rsid w:val="00826B88"/>
    <w:rsid w:val="00831A97"/>
    <w:rsid w:val="00833EB8"/>
    <w:rsid w:val="00836A9F"/>
    <w:rsid w:val="00836C21"/>
    <w:rsid w:val="0084725A"/>
    <w:rsid w:val="0085306E"/>
    <w:rsid w:val="00864840"/>
    <w:rsid w:val="00864AA9"/>
    <w:rsid w:val="008657D8"/>
    <w:rsid w:val="00866461"/>
    <w:rsid w:val="0087025C"/>
    <w:rsid w:val="00872CF0"/>
    <w:rsid w:val="0088359A"/>
    <w:rsid w:val="008A57DF"/>
    <w:rsid w:val="008B4379"/>
    <w:rsid w:val="008C5051"/>
    <w:rsid w:val="008C5640"/>
    <w:rsid w:val="008C680F"/>
    <w:rsid w:val="008E054A"/>
    <w:rsid w:val="008E2EEA"/>
    <w:rsid w:val="009013C1"/>
    <w:rsid w:val="00902B24"/>
    <w:rsid w:val="00902D4A"/>
    <w:rsid w:val="00902F16"/>
    <w:rsid w:val="009047D1"/>
    <w:rsid w:val="00905E14"/>
    <w:rsid w:val="0091581F"/>
    <w:rsid w:val="00917012"/>
    <w:rsid w:val="00917CBD"/>
    <w:rsid w:val="009202C0"/>
    <w:rsid w:val="00920E72"/>
    <w:rsid w:val="0092327D"/>
    <w:rsid w:val="00934810"/>
    <w:rsid w:val="00934D4E"/>
    <w:rsid w:val="00940578"/>
    <w:rsid w:val="00945C9C"/>
    <w:rsid w:val="00947552"/>
    <w:rsid w:val="00951066"/>
    <w:rsid w:val="009570B7"/>
    <w:rsid w:val="00970D82"/>
    <w:rsid w:val="009716DA"/>
    <w:rsid w:val="00971EA8"/>
    <w:rsid w:val="0097364D"/>
    <w:rsid w:val="009757FF"/>
    <w:rsid w:val="00975A4F"/>
    <w:rsid w:val="009879A4"/>
    <w:rsid w:val="009879D4"/>
    <w:rsid w:val="009A3643"/>
    <w:rsid w:val="009A4647"/>
    <w:rsid w:val="009B58E3"/>
    <w:rsid w:val="009C0109"/>
    <w:rsid w:val="009C6A82"/>
    <w:rsid w:val="009D324B"/>
    <w:rsid w:val="009E0B51"/>
    <w:rsid w:val="009E10E6"/>
    <w:rsid w:val="009E1608"/>
    <w:rsid w:val="009F3664"/>
    <w:rsid w:val="009F515B"/>
    <w:rsid w:val="00A10A59"/>
    <w:rsid w:val="00A113AC"/>
    <w:rsid w:val="00A11DB9"/>
    <w:rsid w:val="00A14BA3"/>
    <w:rsid w:val="00A27F8A"/>
    <w:rsid w:val="00A3526E"/>
    <w:rsid w:val="00A4088B"/>
    <w:rsid w:val="00A56468"/>
    <w:rsid w:val="00A56807"/>
    <w:rsid w:val="00A6078C"/>
    <w:rsid w:val="00A61386"/>
    <w:rsid w:val="00A6449F"/>
    <w:rsid w:val="00A6497C"/>
    <w:rsid w:val="00A653FF"/>
    <w:rsid w:val="00A65B8C"/>
    <w:rsid w:val="00A67F18"/>
    <w:rsid w:val="00A74B90"/>
    <w:rsid w:val="00A8295C"/>
    <w:rsid w:val="00A83736"/>
    <w:rsid w:val="00A913FB"/>
    <w:rsid w:val="00A94D05"/>
    <w:rsid w:val="00A95AEF"/>
    <w:rsid w:val="00AB0730"/>
    <w:rsid w:val="00AB16AC"/>
    <w:rsid w:val="00AB3BCC"/>
    <w:rsid w:val="00AD1D24"/>
    <w:rsid w:val="00AE7E65"/>
    <w:rsid w:val="00AF33B2"/>
    <w:rsid w:val="00AF61A4"/>
    <w:rsid w:val="00B020C2"/>
    <w:rsid w:val="00B10366"/>
    <w:rsid w:val="00B10533"/>
    <w:rsid w:val="00B27348"/>
    <w:rsid w:val="00B42BF4"/>
    <w:rsid w:val="00B643BF"/>
    <w:rsid w:val="00B661B8"/>
    <w:rsid w:val="00B66E67"/>
    <w:rsid w:val="00B70E4A"/>
    <w:rsid w:val="00B71749"/>
    <w:rsid w:val="00B759D2"/>
    <w:rsid w:val="00B7778C"/>
    <w:rsid w:val="00B82D51"/>
    <w:rsid w:val="00B94119"/>
    <w:rsid w:val="00B948F3"/>
    <w:rsid w:val="00B96B13"/>
    <w:rsid w:val="00BB0A83"/>
    <w:rsid w:val="00BB329E"/>
    <w:rsid w:val="00BB38C1"/>
    <w:rsid w:val="00BB4D4A"/>
    <w:rsid w:val="00BB67C9"/>
    <w:rsid w:val="00BC5424"/>
    <w:rsid w:val="00BD5D8F"/>
    <w:rsid w:val="00BE341A"/>
    <w:rsid w:val="00BE3DC8"/>
    <w:rsid w:val="00C06621"/>
    <w:rsid w:val="00C10C5D"/>
    <w:rsid w:val="00C14591"/>
    <w:rsid w:val="00C20298"/>
    <w:rsid w:val="00C21B05"/>
    <w:rsid w:val="00C35F3F"/>
    <w:rsid w:val="00C37391"/>
    <w:rsid w:val="00C37BC3"/>
    <w:rsid w:val="00C40574"/>
    <w:rsid w:val="00C558CB"/>
    <w:rsid w:val="00C67AC8"/>
    <w:rsid w:val="00C806AB"/>
    <w:rsid w:val="00C81376"/>
    <w:rsid w:val="00C8372E"/>
    <w:rsid w:val="00C913B6"/>
    <w:rsid w:val="00CA0053"/>
    <w:rsid w:val="00CA458E"/>
    <w:rsid w:val="00CA5D92"/>
    <w:rsid w:val="00CB1FF6"/>
    <w:rsid w:val="00CC31C0"/>
    <w:rsid w:val="00CC459C"/>
    <w:rsid w:val="00CD4591"/>
    <w:rsid w:val="00CF5429"/>
    <w:rsid w:val="00D06082"/>
    <w:rsid w:val="00D062C0"/>
    <w:rsid w:val="00D0778A"/>
    <w:rsid w:val="00D203F7"/>
    <w:rsid w:val="00D32958"/>
    <w:rsid w:val="00D40193"/>
    <w:rsid w:val="00D45A64"/>
    <w:rsid w:val="00D56BCA"/>
    <w:rsid w:val="00D641E9"/>
    <w:rsid w:val="00D6437D"/>
    <w:rsid w:val="00D653CF"/>
    <w:rsid w:val="00D72D57"/>
    <w:rsid w:val="00D744C1"/>
    <w:rsid w:val="00D74E69"/>
    <w:rsid w:val="00D7762A"/>
    <w:rsid w:val="00D81C9E"/>
    <w:rsid w:val="00D84B38"/>
    <w:rsid w:val="00D955A3"/>
    <w:rsid w:val="00D97A34"/>
    <w:rsid w:val="00DA36FE"/>
    <w:rsid w:val="00DB6F6A"/>
    <w:rsid w:val="00DC0E2E"/>
    <w:rsid w:val="00DC6FC3"/>
    <w:rsid w:val="00DD149A"/>
    <w:rsid w:val="00DE0365"/>
    <w:rsid w:val="00DE3BB2"/>
    <w:rsid w:val="00DE4DB7"/>
    <w:rsid w:val="00DF6A66"/>
    <w:rsid w:val="00E03E69"/>
    <w:rsid w:val="00E10287"/>
    <w:rsid w:val="00E10605"/>
    <w:rsid w:val="00E13030"/>
    <w:rsid w:val="00E21D7E"/>
    <w:rsid w:val="00E46D1A"/>
    <w:rsid w:val="00E50A9D"/>
    <w:rsid w:val="00E5465A"/>
    <w:rsid w:val="00E6092B"/>
    <w:rsid w:val="00E64AA1"/>
    <w:rsid w:val="00E66BBA"/>
    <w:rsid w:val="00E719D8"/>
    <w:rsid w:val="00E86035"/>
    <w:rsid w:val="00E87AC6"/>
    <w:rsid w:val="00EA0B33"/>
    <w:rsid w:val="00EA2C3B"/>
    <w:rsid w:val="00EB3682"/>
    <w:rsid w:val="00EB56F1"/>
    <w:rsid w:val="00EC549F"/>
    <w:rsid w:val="00ED0B67"/>
    <w:rsid w:val="00ED33F7"/>
    <w:rsid w:val="00ED5614"/>
    <w:rsid w:val="00ED6375"/>
    <w:rsid w:val="00ED795C"/>
    <w:rsid w:val="00EE09DA"/>
    <w:rsid w:val="00EE50CD"/>
    <w:rsid w:val="00EE6E2C"/>
    <w:rsid w:val="00EF0653"/>
    <w:rsid w:val="00EF07ED"/>
    <w:rsid w:val="00EF1736"/>
    <w:rsid w:val="00EF5372"/>
    <w:rsid w:val="00F007A2"/>
    <w:rsid w:val="00F029AB"/>
    <w:rsid w:val="00F12587"/>
    <w:rsid w:val="00F156D8"/>
    <w:rsid w:val="00F15960"/>
    <w:rsid w:val="00F165FF"/>
    <w:rsid w:val="00F33CA2"/>
    <w:rsid w:val="00F35220"/>
    <w:rsid w:val="00F36270"/>
    <w:rsid w:val="00F37F41"/>
    <w:rsid w:val="00F44828"/>
    <w:rsid w:val="00F44DCA"/>
    <w:rsid w:val="00F450DF"/>
    <w:rsid w:val="00F46C7F"/>
    <w:rsid w:val="00F51DAF"/>
    <w:rsid w:val="00F57623"/>
    <w:rsid w:val="00F60C9A"/>
    <w:rsid w:val="00F610B8"/>
    <w:rsid w:val="00F623F8"/>
    <w:rsid w:val="00F7763A"/>
    <w:rsid w:val="00F8041A"/>
    <w:rsid w:val="00F86151"/>
    <w:rsid w:val="00F8799B"/>
    <w:rsid w:val="00FA3BD9"/>
    <w:rsid w:val="00FA3CFD"/>
    <w:rsid w:val="00FA5B03"/>
    <w:rsid w:val="00FA791C"/>
    <w:rsid w:val="00FA7BDD"/>
    <w:rsid w:val="00FB2741"/>
    <w:rsid w:val="00FB7D36"/>
    <w:rsid w:val="00FC3BE5"/>
    <w:rsid w:val="00FC6977"/>
    <w:rsid w:val="00FD0A84"/>
    <w:rsid w:val="00FD5320"/>
    <w:rsid w:val="00FD610B"/>
    <w:rsid w:val="00FE2CDE"/>
    <w:rsid w:val="00FE3FCB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E18D45-D911-482F-87E3-B3331408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F41"/>
    <w:pPr>
      <w:spacing w:after="200" w:line="276" w:lineRule="auto"/>
    </w:pPr>
    <w:rPr>
      <w:rFonts w:eastAsia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2F2592"/>
  </w:style>
  <w:style w:type="paragraph" w:styleId="ListParagraph">
    <w:name w:val="List Paragraph"/>
    <w:basedOn w:val="Normal"/>
    <w:uiPriority w:val="34"/>
    <w:qFormat/>
    <w:rsid w:val="002F2592"/>
    <w:pPr>
      <w:ind w:left="720"/>
      <w:contextualSpacing/>
    </w:pPr>
  </w:style>
  <w:style w:type="character" w:styleId="Hyperlink">
    <w:name w:val="Hyperlink"/>
    <w:uiPriority w:val="99"/>
    <w:unhideWhenUsed/>
    <w:rsid w:val="002F2592"/>
    <w:rPr>
      <w:color w:val="0000FF"/>
      <w:u w:val="single"/>
    </w:rPr>
  </w:style>
  <w:style w:type="paragraph" w:customStyle="1" w:styleId="Text1">
    <w:name w:val="Text 1"/>
    <w:basedOn w:val="Normal"/>
    <w:rsid w:val="002F2592"/>
    <w:pPr>
      <w:spacing w:after="240" w:line="240" w:lineRule="auto"/>
      <w:ind w:left="482"/>
      <w:jc w:val="both"/>
    </w:pPr>
    <w:rPr>
      <w:rFonts w:ascii="Times New Roman" w:hAnsi="Times New Roman"/>
      <w:snapToGrid w:val="0"/>
      <w:sz w:val="24"/>
      <w:szCs w:val="20"/>
      <w:lang w:val="sr-Latn-CS" w:eastAsia="en-US"/>
    </w:rPr>
  </w:style>
  <w:style w:type="character" w:styleId="CommentReference">
    <w:name w:val="annotation reference"/>
    <w:uiPriority w:val="99"/>
    <w:semiHidden/>
    <w:unhideWhenUsed/>
    <w:rsid w:val="00DC0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C0E2E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E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C0E2E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0E2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1819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198C"/>
    <w:rPr>
      <w:rFonts w:eastAsia="Times New Roman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8198C"/>
    <w:rPr>
      <w:vertAlign w:val="superscript"/>
    </w:rPr>
  </w:style>
  <w:style w:type="paragraph" w:customStyle="1" w:styleId="rvps1">
    <w:name w:val="rvps1"/>
    <w:basedOn w:val="Normal"/>
    <w:rsid w:val="00106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106D00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06D00"/>
    <w:rPr>
      <w:rFonts w:ascii="Consolas" w:hAnsi="Consolas"/>
      <w:sz w:val="21"/>
      <w:szCs w:val="21"/>
      <w:lang w:val="en-GB"/>
    </w:rPr>
  </w:style>
  <w:style w:type="paragraph" w:customStyle="1" w:styleId="1tekst">
    <w:name w:val="1tekst"/>
    <w:basedOn w:val="Normal"/>
    <w:rsid w:val="00106D00"/>
    <w:pPr>
      <w:spacing w:after="0" w:line="240" w:lineRule="auto"/>
      <w:ind w:left="250" w:right="250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106D00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06D00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8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95C"/>
    <w:rPr>
      <w:rFonts w:eastAsia="Times New Roman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8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5C"/>
    <w:rPr>
      <w:rFonts w:eastAsia="Times New Roman"/>
      <w:sz w:val="22"/>
      <w:szCs w:val="22"/>
      <w:lang w:val="en-GB" w:eastAsia="en-GB"/>
    </w:rPr>
  </w:style>
  <w:style w:type="paragraph" w:customStyle="1" w:styleId="stil1tekst">
    <w:name w:val="stil_1tekst"/>
    <w:basedOn w:val="Normal"/>
    <w:rsid w:val="0006794E"/>
    <w:pPr>
      <w:spacing w:after="0" w:line="240" w:lineRule="auto"/>
      <w:ind w:left="525" w:right="525" w:firstLine="24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5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s.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ivreda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as.gov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B4FE-5587-4045-9428-60D17CCE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3977</Words>
  <Characters>22673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26597</CharactersWithSpaces>
  <SharedDoc>false</SharedDoc>
  <HLinks>
    <vt:vector size="30" baseType="variant">
      <vt:variant>
        <vt:i4>2818080</vt:i4>
      </vt:variant>
      <vt:variant>
        <vt:i4>12</vt:i4>
      </vt:variant>
      <vt:variant>
        <vt:i4>0</vt:i4>
      </vt:variant>
      <vt:variant>
        <vt:i4>5</vt:i4>
      </vt:variant>
      <vt:variant>
        <vt:lpwstr>http://www.narr.gov.rs/</vt:lpwstr>
      </vt:variant>
      <vt:variant>
        <vt:lpwstr/>
      </vt:variant>
      <vt:variant>
        <vt:i4>3670067</vt:i4>
      </vt:variant>
      <vt:variant>
        <vt:i4>9</vt:i4>
      </vt:variant>
      <vt:variant>
        <vt:i4>0</vt:i4>
      </vt:variant>
      <vt:variant>
        <vt:i4>5</vt:i4>
      </vt:variant>
      <vt:variant>
        <vt:lpwstr>http://www.privreda.gov.rs/</vt:lpwstr>
      </vt:variant>
      <vt:variant>
        <vt:lpwstr/>
      </vt:variant>
      <vt:variant>
        <vt:i4>7798911</vt:i4>
      </vt:variant>
      <vt:variant>
        <vt:i4>6</vt:i4>
      </vt:variant>
      <vt:variant>
        <vt:i4>0</vt:i4>
      </vt:variant>
      <vt:variant>
        <vt:i4>5</vt:i4>
      </vt:variant>
      <vt:variant>
        <vt:lpwstr>http://www.preduzetnickiservis.rs/</vt:lpwstr>
      </vt:variant>
      <vt:variant>
        <vt:lpwstr/>
      </vt:variant>
      <vt:variant>
        <vt:i4>2818080</vt:i4>
      </vt:variant>
      <vt:variant>
        <vt:i4>3</vt:i4>
      </vt:variant>
      <vt:variant>
        <vt:i4>0</vt:i4>
      </vt:variant>
      <vt:variant>
        <vt:i4>5</vt:i4>
      </vt:variant>
      <vt:variant>
        <vt:lpwstr>http://www.narr.gov.rs/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http://www.privreda.gov.rs/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Savovic</dc:creator>
  <cp:lastModifiedBy>Bojan Grgic</cp:lastModifiedBy>
  <cp:revision>2</cp:revision>
  <cp:lastPrinted>2016-02-29T11:34:00Z</cp:lastPrinted>
  <dcterms:created xsi:type="dcterms:W3CDTF">2016-03-28T11:30:00Z</dcterms:created>
  <dcterms:modified xsi:type="dcterms:W3CDTF">2016-03-28T11:30:00Z</dcterms:modified>
</cp:coreProperties>
</file>