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5C" w:rsidRPr="00A530AD" w:rsidRDefault="00C5335C" w:rsidP="00C5335C">
      <w:pPr>
        <w:ind w:right="566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vanish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vanish/>
          <w:sz w:val="24"/>
          <w:szCs w:val="24"/>
          <w:lang w:val="sr-Latn-CS"/>
        </w:rPr>
        <w:t>ПРЕДЛОГ</w:t>
      </w:r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25/13)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. 55/05, 71/05 -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101/07, 65/08, 16/11, 68/12 -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72/12, 7/14 -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44/14), </w:t>
      </w:r>
    </w:p>
    <w:p w:rsidR="00390D5A" w:rsidRPr="00A530AD" w:rsidRDefault="00390D5A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D878B3" w:rsidRPr="00A530AD" w:rsidRDefault="00A530AD" w:rsidP="00156EF5">
      <w:pPr>
        <w:ind w:right="566" w:firstLine="709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</w:p>
    <w:p w:rsidR="00D878B3" w:rsidRPr="00A530AD" w:rsidRDefault="00D878B3" w:rsidP="00156EF5">
      <w:pPr>
        <w:ind w:right="566" w:firstLine="709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D878B3"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D878B3"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D878B3"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390D5A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90D5A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18. </w:t>
      </w:r>
      <w:r>
        <w:rPr>
          <w:rFonts w:ascii="Times New Roman" w:hAnsi="Times New Roman"/>
          <w:noProof/>
          <w:sz w:val="24"/>
          <w:szCs w:val="24"/>
          <w:lang w:val="sr-Latn-CS"/>
        </w:rPr>
        <w:t>februara</w:t>
      </w:r>
      <w:r w:rsidR="00390D5A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VLADA</w:t>
      </w:r>
    </w:p>
    <w:p w:rsidR="00D878B3" w:rsidRPr="00A530AD" w:rsidRDefault="00D878B3" w:rsidP="00156EF5">
      <w:pPr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390D5A" w:rsidRPr="00A530AD" w:rsidRDefault="00390D5A" w:rsidP="00156EF5">
      <w:pPr>
        <w:ind w:right="566" w:firstLine="709"/>
        <w:jc w:val="right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390D5A" w:rsidRPr="00A530AD" w:rsidRDefault="00390D5A" w:rsidP="00156EF5">
      <w:pPr>
        <w:ind w:right="566" w:firstLine="709"/>
        <w:jc w:val="right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D878B3" w:rsidRPr="00A530AD" w:rsidRDefault="00A530AD" w:rsidP="00390D5A">
      <w:pPr>
        <w:tabs>
          <w:tab w:val="left" w:pos="709"/>
        </w:tabs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Aleksandar</w:t>
      </w:r>
      <w:r w:rsidR="00D878B3"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Vučić</w:t>
      </w:r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center"/>
        <w:rPr>
          <w:rFonts w:ascii="Times New Roman" w:hAnsi="Times New Roman"/>
          <w:noProof/>
          <w:spacing w:val="20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lastRenderedPageBreak/>
        <w:t>PROGRAM</w:t>
      </w:r>
      <w:r w:rsidR="00D878B3" w:rsidRPr="00A530AD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t>FINANSIRANJA</w:t>
      </w:r>
      <w:r w:rsidR="00D878B3" w:rsidRPr="00A530AD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t>AKTIVNOSTI</w:t>
      </w:r>
      <w:r w:rsidR="00D878B3" w:rsidRPr="00A530AD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t>MERA</w:t>
      </w:r>
      <w:r w:rsidR="00D878B3" w:rsidRPr="00A530AD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t>EFIKASNOG</w:t>
      </w:r>
      <w:r w:rsidR="00D878B3" w:rsidRPr="00A530AD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t>KORIŠĆENJA</w:t>
      </w:r>
      <w:r w:rsidR="00D878B3" w:rsidRPr="00A530AD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pacing w:val="20"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pacing w:val="20"/>
          <w:sz w:val="24"/>
          <w:szCs w:val="24"/>
          <w:lang w:val="sr-Latn-CS"/>
        </w:rPr>
        <w:t>GODINI</w:t>
      </w:r>
    </w:p>
    <w:p w:rsidR="00D878B3" w:rsidRPr="00A530AD" w:rsidRDefault="00D878B3" w:rsidP="00156EF5">
      <w:pPr>
        <w:ind w:right="566" w:firstLine="709"/>
        <w:jc w:val="center"/>
        <w:rPr>
          <w:rFonts w:ascii="Times New Roman" w:hAnsi="Times New Roman"/>
          <w:noProof/>
          <w:spacing w:val="20"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center"/>
        <w:rPr>
          <w:rFonts w:ascii="Times New Roman" w:hAnsi="Times New Roman"/>
          <w:noProof/>
          <w:spacing w:val="20"/>
          <w:sz w:val="24"/>
          <w:szCs w:val="24"/>
          <w:lang w:val="sr-Latn-CS"/>
        </w:rPr>
      </w:pP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I.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UVOD</w:t>
      </w: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Strategijom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2025.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projekcijama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2030.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101/15),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obnovljivih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svrstani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prepoznato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ključnih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snabdevanja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staklene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bašte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Zakonodavno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uređivanje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uspostavljen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25/13</w:t>
      </w:r>
      <w:r w:rsidR="00390D5A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90D5A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390D5A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390D5A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72/09, 81/09 -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64/10 -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24/11, 121/12, 42/13 -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50/13 -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98/13 -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132/14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145/14),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Pravilnika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61/11)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Pravilnika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svojstvima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69/12).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proističu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Ministarskog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2009/05/MC-Enc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prihvatila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2006/32/EC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Zaključak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a</w:t>
      </w:r>
      <w:r>
        <w:rPr>
          <w:rFonts w:ascii="Times New Roman" w:hAnsi="Times New Roman"/>
          <w:noProof/>
          <w:sz w:val="24"/>
          <w:szCs w:val="24"/>
          <w:lang w:val="sr-Latn-CS"/>
        </w:rPr>
        <w:t>kcionog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98/13 -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domaćinstva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indikativni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3,5%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2008.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(0,2952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toe). 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efikasan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plasiranje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sufinansiranja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tehničkih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efikasnog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potrošnje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energetskog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menadžmenta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subjekte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obveznici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promovisanje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proizvodnih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kombinovanu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toplotne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električne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ispunjeni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zahtevi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propisani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investitor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toplotnu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električnu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obnovljivih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električne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toplotne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otvaranju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92/13) </w:t>
      </w:r>
      <w:r>
        <w:rPr>
          <w:rFonts w:ascii="Times New Roman" w:hAnsi="Times New Roman"/>
          <w:noProof/>
          <w:sz w:val="24"/>
          <w:szCs w:val="24"/>
          <w:lang w:val="sr-Latn-CS"/>
        </w:rPr>
        <w:t>otvoren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evidencioni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knjige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trezora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razdela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Projektnim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Uklanjanje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prepreka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promovisanje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menadžmenta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potpisanim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/>
          <w:noProof/>
          <w:sz w:val="24"/>
          <w:szCs w:val="24"/>
          <w:lang w:val="sr-Latn-CS"/>
        </w:rPr>
        <w:t>oktobra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Vlade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Ujedinjenih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UNDP)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nosioci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II.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CILJEVI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PROGRAMA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FINANSIRANJA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AKTIVNOSTI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MERA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UNAPREĐENJA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EFIKASNOG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KORIŠĆENJA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ENERGIJE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2016.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GODINI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mehanizmima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UNDP,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postignuti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uštede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njeno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racionalno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proverenih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savremenih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tehnologija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opravdano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obnovljivih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uposlenost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smanjene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gasova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efekat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staklene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bašte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GHG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gasovi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svesti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značaju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III.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NOSIOCI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PROGRAMA</w:t>
      </w: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Nosioci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D878B3" w:rsidRPr="00A530AD" w:rsidRDefault="00A530AD" w:rsidP="00156EF5">
      <w:pPr>
        <w:pStyle w:val="ListParagraph"/>
        <w:numPr>
          <w:ilvl w:val="0"/>
          <w:numId w:val="1"/>
        </w:numPr>
        <w:ind w:left="0"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autonomna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pokrajina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IV.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MERE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UNAPREĐENJA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ENERGETSKE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EFIKASNOSTI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sufinansiraju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zgradama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sanacija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omotača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zamena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spoljnih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prozora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vrata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zamena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ugradnja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grejanje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hlađenje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zamena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modernizacija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unutrašnjeg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osvetljenja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uvođenje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automatsko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energijom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.); 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potrošača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postojeći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daljinskog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grejanja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potrošača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električnu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grejanje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neefikasne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kotlove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peći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ugalj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grejanje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postojeću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gasnu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distributivnu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mrežu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instalacija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toplotnih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pumpi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manjeg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visokim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koeficijentom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učinka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(COP); 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instalacija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kotlova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biomasu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instalacija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solarnih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kolektora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grejanje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potrošne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tople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promovisanje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uređaja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domaćinstvima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modernizacija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osvetljenja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gradovima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opštinama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industrije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10)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podizanje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svesti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značaju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informativnih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kampanja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edukacija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radionica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konferencija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izrada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alata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komunikaciju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izrada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softverskih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projektne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sufinansirati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donacijama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V.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FINANSIRANJE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MERA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UNAPREĐENJA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ENERGETSKE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EFIKASNOSTI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SREDSTVIMA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BUDŽETSKOG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FONDA</w:t>
      </w: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poboljšanje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zamenu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spoljnih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prozora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vrata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poboljšanje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termičke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izolacije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zidova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krova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tavanica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iznad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otvorenih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prolaza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zidova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podova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tlu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zidova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negrejanom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prostoru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termički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omotač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zamenu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ugradnju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klimatizaciju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modernizaciju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unutrašnjeg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osvetljenja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zamenu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grejanja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efikasnijim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zamena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kotla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efikasnijim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ugradnja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pumpi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promenljivim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obrtaja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ugradnja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uređaja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automatsku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regulaciju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grejanja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itd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.); 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opremanje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grejne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instalacije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termostatskim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ventilima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uređajima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merenje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predate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količine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toplote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instalaciju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kotlova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biomasu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instalaciju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solarnih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kolektora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grejanje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potrošne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tople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instalaciju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toplotnih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pumpi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manjeg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visokim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koeficijentom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učinka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(COP)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modernizaciju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osvetljenja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gradovima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opštinama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ugradnju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uređaja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specifičnih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IT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alata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daljinsku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automatsku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regulaciju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energetskih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sufinansirati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VI.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Pr="00A530A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A530AD">
        <w:rPr>
          <w:rFonts w:ascii="Times New Roman" w:hAnsi="Times New Roman"/>
          <w:bCs/>
          <w:noProof/>
          <w:sz w:val="24"/>
          <w:szCs w:val="24"/>
          <w:lang w:val="sr-Latn-CS"/>
        </w:rPr>
        <w:t>FINANSIRANJA</w:t>
      </w:r>
    </w:p>
    <w:p w:rsidR="00D878B3" w:rsidRPr="00A530AD" w:rsidRDefault="00D878B3" w:rsidP="00156EF5">
      <w:pPr>
        <w:shd w:val="clear" w:color="auto" w:fill="FFFFFF"/>
        <w:ind w:right="566" w:firstLine="709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D878B3" w:rsidRPr="00A530AD" w:rsidRDefault="00A530AD" w:rsidP="00156EF5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BF39EC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39EC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BF39EC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8A62B0" w:rsidRPr="00A530AD">
        <w:rPr>
          <w:rFonts w:ascii="Times New Roman" w:hAnsi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75/15)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8A62B0" w:rsidRPr="00A530AD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103/15)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160.000.000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donacija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500.000 USD,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UNDP,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opredeliti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878B3" w:rsidRPr="00A530AD" w:rsidRDefault="00A530AD" w:rsidP="00AB4AC1">
      <w:pPr>
        <w:ind w:right="56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raspodelu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raspodele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namenskog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ugovorenih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878B3" w:rsidRPr="00A530AD">
        <w:rPr>
          <w:rFonts w:ascii="Times New Roman" w:hAnsi="Times New Roman"/>
          <w:noProof/>
          <w:sz w:val="24"/>
          <w:szCs w:val="24"/>
          <w:lang w:val="sr-Latn-CS"/>
        </w:rPr>
        <w:t xml:space="preserve"> UNDP.</w:t>
      </w:r>
    </w:p>
    <w:p w:rsidR="00D878B3" w:rsidRPr="00A530AD" w:rsidRDefault="00D878B3" w:rsidP="00156EF5">
      <w:pPr>
        <w:ind w:right="566" w:firstLine="709"/>
        <w:rPr>
          <w:rFonts w:ascii="Times New Roman" w:hAnsi="Times New Roman"/>
          <w:noProof/>
          <w:sz w:val="24"/>
          <w:szCs w:val="24"/>
          <w:lang w:val="sr-Latn-CS"/>
        </w:rPr>
      </w:pPr>
    </w:p>
    <w:sectPr w:rsidR="00D878B3" w:rsidRPr="00A530AD" w:rsidSect="00156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709" w:header="454" w:footer="454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B5" w:rsidRDefault="00391EB5" w:rsidP="00CF679A">
      <w:r>
        <w:separator/>
      </w:r>
    </w:p>
  </w:endnote>
  <w:endnote w:type="continuationSeparator" w:id="0">
    <w:p w:rsidR="00391EB5" w:rsidRDefault="00391EB5" w:rsidP="00CF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AD" w:rsidRDefault="00A53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AD" w:rsidRDefault="00A530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AD" w:rsidRDefault="00A53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B5" w:rsidRDefault="00391EB5" w:rsidP="00CF679A">
      <w:r>
        <w:separator/>
      </w:r>
    </w:p>
  </w:footnote>
  <w:footnote w:type="continuationSeparator" w:id="0">
    <w:p w:rsidR="00391EB5" w:rsidRDefault="00391EB5" w:rsidP="00CF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AD" w:rsidRDefault="00A53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AD" w:rsidRDefault="00A530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AD" w:rsidRDefault="00A53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078B8"/>
    <w:multiLevelType w:val="hybridMultilevel"/>
    <w:tmpl w:val="8AB6FBB8"/>
    <w:lvl w:ilvl="0" w:tplc="331C4968">
      <w:start w:val="1"/>
      <w:numFmt w:val="decimal"/>
      <w:suff w:val="space"/>
      <w:lvlText w:val="%1)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6F"/>
    <w:rsid w:val="00000EBB"/>
    <w:rsid w:val="00043CCE"/>
    <w:rsid w:val="000667AF"/>
    <w:rsid w:val="00086A88"/>
    <w:rsid w:val="000B1C93"/>
    <w:rsid w:val="000B74C7"/>
    <w:rsid w:val="000C05B6"/>
    <w:rsid w:val="00100CE5"/>
    <w:rsid w:val="00104D3E"/>
    <w:rsid w:val="00116F51"/>
    <w:rsid w:val="001536FC"/>
    <w:rsid w:val="001560C3"/>
    <w:rsid w:val="00156EF5"/>
    <w:rsid w:val="001625B4"/>
    <w:rsid w:val="001A37C5"/>
    <w:rsid w:val="001F684E"/>
    <w:rsid w:val="002776F2"/>
    <w:rsid w:val="002D5089"/>
    <w:rsid w:val="002D595C"/>
    <w:rsid w:val="00320CEB"/>
    <w:rsid w:val="00331D1E"/>
    <w:rsid w:val="00350747"/>
    <w:rsid w:val="0035425B"/>
    <w:rsid w:val="0037403F"/>
    <w:rsid w:val="00390D5A"/>
    <w:rsid w:val="00391EB5"/>
    <w:rsid w:val="003C2AFE"/>
    <w:rsid w:val="00417C14"/>
    <w:rsid w:val="00423A3E"/>
    <w:rsid w:val="0050547D"/>
    <w:rsid w:val="00513421"/>
    <w:rsid w:val="005373C8"/>
    <w:rsid w:val="00566A5D"/>
    <w:rsid w:val="005B5897"/>
    <w:rsid w:val="005C6CD2"/>
    <w:rsid w:val="00620A6E"/>
    <w:rsid w:val="00660011"/>
    <w:rsid w:val="00663F4A"/>
    <w:rsid w:val="006821BE"/>
    <w:rsid w:val="00710B4A"/>
    <w:rsid w:val="007C7218"/>
    <w:rsid w:val="007E055F"/>
    <w:rsid w:val="007E192A"/>
    <w:rsid w:val="00835791"/>
    <w:rsid w:val="0085297A"/>
    <w:rsid w:val="008A366F"/>
    <w:rsid w:val="008A62B0"/>
    <w:rsid w:val="008D0D5B"/>
    <w:rsid w:val="008E1855"/>
    <w:rsid w:val="0090105C"/>
    <w:rsid w:val="009217C9"/>
    <w:rsid w:val="0092785E"/>
    <w:rsid w:val="00972A85"/>
    <w:rsid w:val="00972E7F"/>
    <w:rsid w:val="009E0232"/>
    <w:rsid w:val="00A000F2"/>
    <w:rsid w:val="00A071D3"/>
    <w:rsid w:val="00A104EA"/>
    <w:rsid w:val="00A330E3"/>
    <w:rsid w:val="00A43937"/>
    <w:rsid w:val="00A43E7F"/>
    <w:rsid w:val="00A513AC"/>
    <w:rsid w:val="00A530AD"/>
    <w:rsid w:val="00A53F23"/>
    <w:rsid w:val="00A65364"/>
    <w:rsid w:val="00A829C3"/>
    <w:rsid w:val="00AA25D3"/>
    <w:rsid w:val="00AB1E9F"/>
    <w:rsid w:val="00AB4AC1"/>
    <w:rsid w:val="00AB7174"/>
    <w:rsid w:val="00B141F5"/>
    <w:rsid w:val="00B16037"/>
    <w:rsid w:val="00B20AF4"/>
    <w:rsid w:val="00B2293A"/>
    <w:rsid w:val="00B40593"/>
    <w:rsid w:val="00B84934"/>
    <w:rsid w:val="00BA6431"/>
    <w:rsid w:val="00BF329A"/>
    <w:rsid w:val="00BF39EC"/>
    <w:rsid w:val="00C00BAD"/>
    <w:rsid w:val="00C05269"/>
    <w:rsid w:val="00C5335C"/>
    <w:rsid w:val="00C67519"/>
    <w:rsid w:val="00C7459A"/>
    <w:rsid w:val="00C77565"/>
    <w:rsid w:val="00C97FE5"/>
    <w:rsid w:val="00CA77E9"/>
    <w:rsid w:val="00CC1527"/>
    <w:rsid w:val="00CD77C0"/>
    <w:rsid w:val="00CF1D21"/>
    <w:rsid w:val="00CF679A"/>
    <w:rsid w:val="00D76CDB"/>
    <w:rsid w:val="00D878B3"/>
    <w:rsid w:val="00DE6DF0"/>
    <w:rsid w:val="00E140D7"/>
    <w:rsid w:val="00E334EA"/>
    <w:rsid w:val="00EA7393"/>
    <w:rsid w:val="00EE118E"/>
    <w:rsid w:val="00F43186"/>
    <w:rsid w:val="00F71E69"/>
    <w:rsid w:val="00FB7883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6B9174-7224-4B6B-A6F2-C7EC237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A366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A366F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A366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A366F"/>
    <w:rPr>
      <w:rFonts w:ascii="Arial" w:hAnsi="Arial"/>
      <w:vanish/>
      <w:sz w:val="16"/>
    </w:rPr>
  </w:style>
  <w:style w:type="paragraph" w:customStyle="1" w:styleId="stil1tekst">
    <w:name w:val="stil_1tekst"/>
    <w:basedOn w:val="Normal"/>
    <w:uiPriority w:val="99"/>
    <w:rsid w:val="008A366F"/>
    <w:pPr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uiPriority w:val="99"/>
    <w:rsid w:val="008A366F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33CC"/>
      <w:sz w:val="53"/>
      <w:szCs w:val="53"/>
    </w:rPr>
  </w:style>
  <w:style w:type="paragraph" w:customStyle="1" w:styleId="stil6naslov">
    <w:name w:val="stil_6naslov"/>
    <w:basedOn w:val="Normal"/>
    <w:uiPriority w:val="99"/>
    <w:rsid w:val="008A366F"/>
    <w:pPr>
      <w:spacing w:before="240" w:after="240"/>
      <w:jc w:val="center"/>
    </w:pPr>
    <w:rPr>
      <w:rFonts w:ascii="Times New Roman" w:eastAsia="Times New Roman" w:hAnsi="Times New Roman"/>
      <w:spacing w:val="20"/>
      <w:sz w:val="36"/>
      <w:szCs w:val="36"/>
    </w:rPr>
  </w:style>
  <w:style w:type="paragraph" w:customStyle="1" w:styleId="stil7podnas">
    <w:name w:val="stil_7podnas"/>
    <w:basedOn w:val="Normal"/>
    <w:uiPriority w:val="99"/>
    <w:rsid w:val="008A366F"/>
    <w:pPr>
      <w:shd w:val="clear" w:color="auto" w:fill="FFFFFF"/>
      <w:spacing w:before="240" w:after="2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il3mesto">
    <w:name w:val="stil_3mesto"/>
    <w:basedOn w:val="Normal"/>
    <w:uiPriority w:val="99"/>
    <w:rsid w:val="008A366F"/>
    <w:pPr>
      <w:ind w:left="1650" w:right="1650"/>
      <w:jc w:val="center"/>
    </w:pPr>
    <w:rPr>
      <w:rFonts w:ascii="Times New Roman" w:eastAsia="Times New Roman" w:hAnsi="Times New Roman"/>
      <w:i/>
      <w:iCs/>
      <w:sz w:val="29"/>
      <w:szCs w:val="29"/>
    </w:rPr>
  </w:style>
  <w:style w:type="paragraph" w:customStyle="1" w:styleId="stil4clan">
    <w:name w:val="stil_4clan"/>
    <w:basedOn w:val="Normal"/>
    <w:uiPriority w:val="99"/>
    <w:rsid w:val="008A366F"/>
    <w:pPr>
      <w:spacing w:before="240" w:after="2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C6CD2"/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CD2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5C6C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217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217C9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17C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1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17C9"/>
    <w:rPr>
      <w:b/>
      <w:sz w:val="20"/>
    </w:rPr>
  </w:style>
  <w:style w:type="paragraph" w:styleId="Header">
    <w:name w:val="header"/>
    <w:basedOn w:val="Normal"/>
    <w:link w:val="HeaderChar"/>
    <w:uiPriority w:val="99"/>
    <w:rsid w:val="00CF679A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679A"/>
  </w:style>
  <w:style w:type="paragraph" w:styleId="Footer">
    <w:name w:val="footer"/>
    <w:basedOn w:val="Normal"/>
    <w:link w:val="FooterChar"/>
    <w:uiPriority w:val="99"/>
    <w:rsid w:val="00CF679A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679A"/>
  </w:style>
  <w:style w:type="paragraph" w:styleId="Revision">
    <w:name w:val="Revision"/>
    <w:hidden/>
    <w:uiPriority w:val="99"/>
    <w:semiHidden/>
    <w:rsid w:val="00B8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081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25334084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253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Biljana Mlinar</dc:creator>
  <cp:lastModifiedBy>Bojan Grgic</cp:lastModifiedBy>
  <cp:revision>2</cp:revision>
  <cp:lastPrinted>2016-02-18T14:34:00Z</cp:lastPrinted>
  <dcterms:created xsi:type="dcterms:W3CDTF">2016-02-19T11:45:00Z</dcterms:created>
  <dcterms:modified xsi:type="dcterms:W3CDTF">2016-02-19T11:45:00Z</dcterms:modified>
</cp:coreProperties>
</file>