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6" w:rsidRPr="004D6977" w:rsidRDefault="00D07176" w:rsidP="00D07176">
      <w:pPr>
        <w:spacing w:before="100" w:beforeAutospacing="1" w:after="100" w:afterAutospacing="1"/>
        <w:rPr>
          <w:noProof/>
          <w:lang w:val="sr-Latn-CS"/>
        </w:rPr>
      </w:pPr>
      <w:bookmarkStart w:id="0" w:name="_GoBack"/>
      <w:bookmarkEnd w:id="0"/>
    </w:p>
    <w:p w:rsidR="00DF3EB6" w:rsidRPr="004D6977" w:rsidRDefault="00DF3EB6" w:rsidP="00DF3EB6">
      <w:pPr>
        <w:spacing w:before="100" w:beforeAutospacing="1" w:after="100" w:afterAutospacing="1"/>
        <w:jc w:val="both"/>
        <w:outlineLvl w:val="0"/>
        <w:rPr>
          <w:bCs/>
          <w:noProof/>
          <w:kern w:val="36"/>
          <w:szCs w:val="36"/>
          <w:u w:val="single"/>
          <w:lang w:val="sr-Latn-CS"/>
        </w:rPr>
      </w:pP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osnovu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člana</w:t>
      </w:r>
      <w:r w:rsidRPr="004D6977">
        <w:rPr>
          <w:noProof/>
          <w:lang w:val="sr-Latn-CS"/>
        </w:rPr>
        <w:t xml:space="preserve"> 43. </w:t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1.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člana</w:t>
      </w:r>
      <w:r w:rsidRPr="004D6977">
        <w:rPr>
          <w:noProof/>
          <w:lang w:val="sr-Latn-CS"/>
        </w:rPr>
        <w:t xml:space="preserve"> 45. </w:t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1. </w:t>
      </w:r>
      <w:r w:rsidR="004D6977">
        <w:rPr>
          <w:noProof/>
          <w:lang w:val="sr-Latn-CS"/>
        </w:rPr>
        <w:t>Zakona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Vladi</w:t>
      </w:r>
      <w:r w:rsidRPr="004D6977">
        <w:rPr>
          <w:noProof/>
          <w:lang w:val="sr-Latn-CS"/>
        </w:rPr>
        <w:t xml:space="preserve">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</w:t>
      </w:r>
      <w:r w:rsidRPr="004D6977">
        <w:rPr>
          <w:noProof/>
          <w:lang w:val="sr-Latn-CS"/>
        </w:rPr>
        <w:t>. 55/05, 71/05</w:t>
      </w:r>
      <w:r w:rsidRPr="004D6977">
        <w:rPr>
          <w:noProof/>
          <w:color w:val="FF0000"/>
          <w:lang w:val="sr-Latn-CS"/>
        </w:rPr>
        <w:t xml:space="preserve"> </w:t>
      </w:r>
      <w:r w:rsidRPr="004D6977">
        <w:rPr>
          <w:noProof/>
          <w:lang w:val="sr-Latn-CS"/>
        </w:rPr>
        <w:t xml:space="preserve"> –  </w:t>
      </w:r>
      <w:r w:rsidR="004D6977">
        <w:rPr>
          <w:noProof/>
          <w:lang w:val="sr-Latn-CS"/>
        </w:rPr>
        <w:t>ispravka</w:t>
      </w:r>
      <w:r w:rsidRPr="004D6977">
        <w:rPr>
          <w:noProof/>
          <w:lang w:val="sr-Latn-CS"/>
        </w:rPr>
        <w:t xml:space="preserve">, 101/07, 65/08, 16/11, 68/12 – </w:t>
      </w:r>
      <w:r w:rsidR="004D6977">
        <w:rPr>
          <w:noProof/>
          <w:lang w:val="sr-Latn-CS"/>
        </w:rPr>
        <w:t>US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72/12),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Vlada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donosi</w:t>
      </w:r>
    </w:p>
    <w:p w:rsidR="00DF3EB6" w:rsidRPr="004D6977" w:rsidRDefault="004D6977" w:rsidP="00DF3EB6">
      <w:pPr>
        <w:spacing w:before="100" w:beforeAutospacing="1" w:after="100" w:afterAutospacing="1"/>
        <w:jc w:val="center"/>
        <w:outlineLvl w:val="0"/>
        <w:rPr>
          <w:b/>
          <w:bCs/>
          <w:noProof/>
          <w:kern w:val="36"/>
          <w:szCs w:val="36"/>
          <w:lang w:val="sr-Latn-CS"/>
        </w:rPr>
      </w:pPr>
      <w:r>
        <w:rPr>
          <w:b/>
          <w:bCs/>
          <w:noProof/>
          <w:kern w:val="36"/>
          <w:szCs w:val="36"/>
          <w:lang w:val="sr-Latn-CS"/>
        </w:rPr>
        <w:t>ODLUKU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 w:rsidR="00DF3EB6" w:rsidRPr="004D6977">
        <w:rPr>
          <w:b/>
          <w:bCs/>
          <w:noProof/>
          <w:kern w:val="36"/>
          <w:szCs w:val="36"/>
          <w:lang w:val="sr-Latn-CS"/>
        </w:rPr>
        <w:br/>
      </w:r>
      <w:r>
        <w:rPr>
          <w:b/>
          <w:bCs/>
          <w:noProof/>
          <w:kern w:val="36"/>
          <w:szCs w:val="36"/>
          <w:lang w:val="sr-Latn-CS"/>
        </w:rPr>
        <w:t>O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IZMENAMA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STRATEGIJE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ZA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PRELAZAK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SA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ANALOGNOG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NA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DIGITALNO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EMITOVANJE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RADIO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I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TELEVIZIJSKOG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PROGRAMA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U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REPUBLICI</w:t>
      </w:r>
      <w:r w:rsidR="00DF3EB6" w:rsidRPr="004D6977">
        <w:rPr>
          <w:b/>
          <w:bCs/>
          <w:noProof/>
          <w:kern w:val="36"/>
          <w:szCs w:val="36"/>
          <w:lang w:val="sr-Latn-CS"/>
        </w:rPr>
        <w:t xml:space="preserve"> </w:t>
      </w:r>
      <w:r>
        <w:rPr>
          <w:b/>
          <w:bCs/>
          <w:noProof/>
          <w:kern w:val="36"/>
          <w:szCs w:val="36"/>
          <w:lang w:val="sr-Latn-CS"/>
        </w:rPr>
        <w:t>SRBIJI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1.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Strategiji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prelazak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analognog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Republici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Srbiji</w:t>
      </w:r>
      <w:r w:rsidRPr="004D6977">
        <w:rPr>
          <w:noProof/>
          <w:lang w:val="sr-Latn-CS"/>
        </w:rPr>
        <w:t xml:space="preserve">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</w:t>
      </w:r>
      <w:r w:rsidRPr="004D6977">
        <w:rPr>
          <w:noProof/>
          <w:lang w:val="sr-Latn-CS"/>
        </w:rPr>
        <w:t xml:space="preserve"> 52/09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18/12),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Glavi</w:t>
      </w:r>
      <w:r w:rsidRPr="004D6977">
        <w:rPr>
          <w:noProof/>
          <w:lang w:val="sr-Latn-CS"/>
        </w:rPr>
        <w:t xml:space="preserve"> I. </w:t>
      </w:r>
      <w:r w:rsidR="004D6977">
        <w:rPr>
          <w:noProof/>
          <w:lang w:val="sr-Latn-CS"/>
        </w:rPr>
        <w:t>UVOD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stavu</w:t>
      </w:r>
      <w:r w:rsidRPr="004D6977">
        <w:rPr>
          <w:noProof/>
          <w:lang w:val="sr-Latn-CS"/>
        </w:rPr>
        <w:t xml:space="preserve"> 5. </w:t>
      </w:r>
      <w:r w:rsidR="004D6977">
        <w:rPr>
          <w:noProof/>
          <w:lang w:val="sr-Latn-CS"/>
        </w:rPr>
        <w:t>reči</w:t>
      </w:r>
      <w:r w:rsidRPr="004D6977">
        <w:rPr>
          <w:noProof/>
          <w:lang w:val="sr-Latn-CS"/>
        </w:rPr>
        <w:t>: „</w:t>
      </w:r>
      <w:r w:rsidR="004D6977">
        <w:rPr>
          <w:noProof/>
          <w:lang w:val="sr-Latn-CS"/>
        </w:rPr>
        <w:t>MKID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Ministarstvo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kulture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informisanja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informacionog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društva</w:t>
      </w:r>
      <w:r w:rsidRPr="004D6977">
        <w:rPr>
          <w:noProof/>
          <w:lang w:val="sr-Latn-CS"/>
        </w:rPr>
        <w:t xml:space="preserve">” </w:t>
      </w:r>
      <w:r w:rsidR="004D6977">
        <w:rPr>
          <w:noProof/>
          <w:lang w:val="sr-Latn-CS"/>
        </w:rPr>
        <w:t>zamenjuju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rečima</w:t>
      </w:r>
      <w:r w:rsidRPr="004D6977">
        <w:rPr>
          <w:noProof/>
          <w:lang w:val="sr-Latn-CS"/>
        </w:rPr>
        <w:t>: „</w:t>
      </w:r>
      <w:r w:rsidR="004D6977">
        <w:rPr>
          <w:noProof/>
          <w:lang w:val="sr-Latn-CS"/>
        </w:rPr>
        <w:t>MTT</w:t>
      </w:r>
      <w:r w:rsidRPr="004D6977">
        <w:rPr>
          <w:noProof/>
          <w:lang w:val="sr-Latn-CS"/>
        </w:rPr>
        <w:t xml:space="preserve"> – </w:t>
      </w:r>
      <w:r w:rsidR="004D6977">
        <w:rPr>
          <w:noProof/>
          <w:lang w:val="sr-Latn-CS"/>
        </w:rPr>
        <w:t>Ministarstvo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spoljne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unutrašnje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trgovine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telekomunikacija</w:t>
      </w:r>
      <w:r w:rsidRPr="004D6977">
        <w:rPr>
          <w:noProof/>
          <w:lang w:val="sr-Latn-CS"/>
        </w:rPr>
        <w:t xml:space="preserve">”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„</w:t>
      </w:r>
      <w:r w:rsidR="004D6977">
        <w:rPr>
          <w:noProof/>
          <w:lang w:val="sr-Latn-CS"/>
        </w:rPr>
        <w:t>MKI</w:t>
      </w:r>
      <w:r w:rsidRPr="004D6977">
        <w:rPr>
          <w:noProof/>
          <w:lang w:val="sr-Latn-CS"/>
        </w:rPr>
        <w:t xml:space="preserve"> – </w:t>
      </w:r>
      <w:r w:rsidR="004D6977">
        <w:rPr>
          <w:noProof/>
          <w:lang w:val="sr-Latn-CS"/>
        </w:rPr>
        <w:t>Ministarstvo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kulture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informisanja</w:t>
      </w:r>
      <w:r w:rsidRPr="004D6977">
        <w:rPr>
          <w:noProof/>
          <w:lang w:val="sr-Latn-CS"/>
        </w:rPr>
        <w:t>”.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2.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Glavi</w:t>
      </w:r>
      <w:r w:rsidRPr="004D6977">
        <w:rPr>
          <w:noProof/>
          <w:lang w:val="sr-Latn-CS"/>
        </w:rPr>
        <w:t xml:space="preserve"> II. </w:t>
      </w:r>
      <w:r w:rsidR="004D6977">
        <w:rPr>
          <w:noProof/>
          <w:lang w:val="sr-Latn-CS"/>
        </w:rPr>
        <w:t>REGULATORNI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OKVIR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odeljak</w:t>
      </w:r>
      <w:r w:rsidRPr="004D6977">
        <w:rPr>
          <w:noProof/>
          <w:lang w:val="sr-Latn-CS"/>
        </w:rPr>
        <w:t xml:space="preserve"> 2. </w:t>
      </w:r>
      <w:r w:rsidR="004D6977">
        <w:rPr>
          <w:noProof/>
          <w:lang w:val="sr-Latn-CS"/>
        </w:rPr>
        <w:t>Relevantni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međunarodni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dokumenti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1. </w:t>
      </w:r>
      <w:r w:rsidR="004D6977">
        <w:rPr>
          <w:noProof/>
          <w:lang w:val="sr-Latn-CS"/>
        </w:rPr>
        <w:t>menja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glasi</w:t>
      </w:r>
      <w:r w:rsidRPr="004D6977">
        <w:rPr>
          <w:noProof/>
          <w:lang w:val="sr-Latn-CS"/>
        </w:rPr>
        <w:t xml:space="preserve">: </w:t>
      </w:r>
    </w:p>
    <w:p w:rsidR="00DF3EB6" w:rsidRPr="004D6977" w:rsidRDefault="00DF3EB6" w:rsidP="00DF3EB6">
      <w:pPr>
        <w:spacing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>„</w:t>
      </w:r>
      <w:r w:rsidR="004D6977">
        <w:rPr>
          <w:noProof/>
          <w:lang w:val="sr-Latn-CS"/>
        </w:rPr>
        <w:t>Relevantni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međunarodni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dokumenti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odnose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oblast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radiodifuzije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su</w:t>
      </w:r>
      <w:r w:rsidRPr="004D6977">
        <w:rPr>
          <w:noProof/>
          <w:lang w:val="sr-Latn-CS"/>
        </w:rPr>
        <w:t>:</w:t>
      </w:r>
    </w:p>
    <w:p w:rsidR="00DF3EB6" w:rsidRPr="004D6977" w:rsidRDefault="00DF3EB6" w:rsidP="00DF3EB6">
      <w:pPr>
        <w:pStyle w:val="Plain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D6977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Završnih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Regionalne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konferencije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radio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komunikacijama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digitalne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terestrijalne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radiodifuzne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delovima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Regiona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3,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frekvencijskim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opsezima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174-230 MHz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470-862 MHz (RRC 06) (</w:t>
      </w:r>
      <w:r w:rsidRPr="004D6977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4D697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 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Pr="004D6977">
        <w:rPr>
          <w:rFonts w:ascii="Times New Roman" w:eastAsia="Times New Roman" w:hAnsi="Times New Roman"/>
          <w:noProof/>
          <w:sz w:val="24"/>
          <w:szCs w:val="24"/>
          <w:lang w:val="sr-Latn-CS"/>
        </w:rPr>
        <w:t>”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D697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4D6977">
        <w:rPr>
          <w:rFonts w:ascii="Times New Roman" w:hAnsi="Times New Roman"/>
          <w:noProof/>
          <w:sz w:val="24"/>
          <w:szCs w:val="24"/>
          <w:lang w:val="sr-Latn-CS"/>
        </w:rPr>
        <w:t xml:space="preserve"> 4/10);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2) </w:t>
      </w:r>
      <w:r w:rsidR="004D6977">
        <w:rPr>
          <w:noProof/>
          <w:lang w:val="sr-Latn-CS"/>
        </w:rPr>
        <w:t>Zakon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potvrđivanju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Protokola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izmenama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dopunama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određenih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delova</w:t>
      </w:r>
      <w:r w:rsidRPr="004D6977">
        <w:rPr>
          <w:noProof/>
          <w:lang w:val="sr-Latn-CS"/>
        </w:rPr>
        <w:t xml:space="preserve">  </w:t>
      </w:r>
      <w:r w:rsidR="004D6977">
        <w:rPr>
          <w:noProof/>
          <w:lang w:val="sr-Latn-CS"/>
        </w:rPr>
        <w:t>Regionalnog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sporazuma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Evropsku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radiodifuznu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zonu</w:t>
      </w:r>
      <w:r w:rsidRPr="004D6977">
        <w:rPr>
          <w:noProof/>
          <w:lang w:val="sr-Latn-CS"/>
        </w:rPr>
        <w:t xml:space="preserve"> (</w:t>
      </w:r>
      <w:r w:rsidR="004D6977">
        <w:rPr>
          <w:noProof/>
          <w:lang w:val="sr-Latn-CS"/>
        </w:rPr>
        <w:t>Štokholm</w:t>
      </w:r>
      <w:r w:rsidRPr="004D6977">
        <w:rPr>
          <w:noProof/>
          <w:lang w:val="sr-Latn-CS"/>
        </w:rPr>
        <w:t xml:space="preserve">, 1961.)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Rezolucijama</w:t>
      </w:r>
      <w:r w:rsidRPr="004D6977">
        <w:rPr>
          <w:noProof/>
          <w:lang w:val="sr-Latn-CS"/>
        </w:rPr>
        <w:t xml:space="preserve"> (RRC-06-Rev. ST61)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  –  </w:t>
      </w:r>
      <w:r w:rsidR="004D6977">
        <w:rPr>
          <w:noProof/>
          <w:lang w:val="sr-Latn-CS"/>
        </w:rPr>
        <w:t>Međunarodni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ugovori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broj</w:t>
      </w:r>
      <w:r w:rsidRPr="004D6977">
        <w:rPr>
          <w:noProof/>
          <w:lang w:val="sr-Latn-CS"/>
        </w:rPr>
        <w:t xml:space="preserve"> 1/10);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lastRenderedPageBreak/>
        <w:tab/>
        <w:t xml:space="preserve">3) </w:t>
      </w:r>
      <w:r w:rsidR="004D6977">
        <w:rPr>
          <w:noProof/>
          <w:lang w:val="sr-Latn-CS"/>
        </w:rPr>
        <w:t>Zakon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potvrđivanju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Evropske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konvencije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prekograničnoj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televiziji</w:t>
      </w:r>
      <w:r w:rsidRPr="004D6977">
        <w:rPr>
          <w:noProof/>
          <w:lang w:val="sr-Latn-CS"/>
        </w:rPr>
        <w:t xml:space="preserve"> –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  –  </w:t>
      </w:r>
      <w:r w:rsidR="004D6977">
        <w:rPr>
          <w:noProof/>
          <w:lang w:val="sr-Latn-CS"/>
        </w:rPr>
        <w:t>Međunarodni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ugovori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broj</w:t>
      </w:r>
      <w:r w:rsidRPr="004D6977">
        <w:rPr>
          <w:noProof/>
          <w:lang w:val="sr-Latn-CS"/>
        </w:rPr>
        <w:t xml:space="preserve"> 42/09);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4) </w:t>
      </w:r>
      <w:r w:rsidR="004D6977">
        <w:rPr>
          <w:noProof/>
          <w:lang w:val="sr-Latn-CS"/>
        </w:rPr>
        <w:t>Evropska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konvencija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zaštitu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audio</w:t>
      </w:r>
      <w:r w:rsidRPr="004D6977">
        <w:rPr>
          <w:noProof/>
          <w:lang w:val="sr-Latn-CS"/>
        </w:rPr>
        <w:t>-</w:t>
      </w:r>
      <w:r w:rsidR="004D6977">
        <w:rPr>
          <w:noProof/>
          <w:lang w:val="sr-Latn-CS"/>
        </w:rPr>
        <w:t>vizuelne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baštine</w:t>
      </w:r>
      <w:r w:rsidRPr="004D6977">
        <w:rPr>
          <w:noProof/>
          <w:lang w:val="sr-Latn-CS"/>
        </w:rPr>
        <w:t xml:space="preserve"> (ETS no. 183); </w:t>
      </w:r>
    </w:p>
    <w:p w:rsidR="00DF3EB6" w:rsidRPr="004D6977" w:rsidRDefault="00DF3EB6" w:rsidP="00DF3EB6">
      <w:pPr>
        <w:spacing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5) </w:t>
      </w:r>
      <w:r w:rsidR="004D6977">
        <w:rPr>
          <w:noProof/>
          <w:lang w:val="sr-Latn-CS"/>
        </w:rPr>
        <w:t>Zakon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potvrđivanju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Završnih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akata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Svetske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konferencije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>-</w:t>
      </w:r>
      <w:r w:rsidR="004D6977">
        <w:rPr>
          <w:noProof/>
          <w:lang w:val="sr-Latn-CS"/>
        </w:rPr>
        <w:t>komunikacijama</w:t>
      </w:r>
      <w:r w:rsidRPr="004D6977">
        <w:rPr>
          <w:noProof/>
          <w:lang w:val="sr-Latn-CS"/>
        </w:rPr>
        <w:t xml:space="preserve"> (WRC-07)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 – </w:t>
      </w:r>
      <w:r w:rsidR="004D6977">
        <w:rPr>
          <w:noProof/>
          <w:lang w:val="sr-Latn-CS"/>
        </w:rPr>
        <w:t>Međunarodni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ugovori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broj</w:t>
      </w:r>
      <w:r w:rsidRPr="004D6977">
        <w:rPr>
          <w:noProof/>
          <w:lang w:val="sr-Latn-CS"/>
        </w:rPr>
        <w:t xml:space="preserve"> 2/11).”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3.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Glavi</w:t>
      </w:r>
      <w:r w:rsidRPr="004D6977">
        <w:rPr>
          <w:noProof/>
          <w:lang w:val="sr-Latn-CS"/>
        </w:rPr>
        <w:t xml:space="preserve"> III. </w:t>
      </w:r>
      <w:r w:rsidR="004D6977">
        <w:rPr>
          <w:noProof/>
          <w:lang w:val="sr-Latn-CS"/>
        </w:rPr>
        <w:t>TEHNIČKO</w:t>
      </w:r>
      <w:r w:rsidRPr="004D6977">
        <w:rPr>
          <w:noProof/>
          <w:lang w:val="sr-Latn-CS"/>
        </w:rPr>
        <w:t>-</w:t>
      </w:r>
      <w:r w:rsidR="004D6977">
        <w:rPr>
          <w:noProof/>
          <w:lang w:val="sr-Latn-CS"/>
        </w:rPr>
        <w:t>TEHNOLOŠKI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OKVIR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TRANZICIJE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odeljku</w:t>
      </w:r>
      <w:r w:rsidRPr="004D6977">
        <w:rPr>
          <w:noProof/>
          <w:lang w:val="sr-Latn-CS"/>
        </w:rPr>
        <w:t xml:space="preserve"> 3. </w:t>
      </w:r>
      <w:r w:rsidR="004D6977">
        <w:rPr>
          <w:noProof/>
          <w:lang w:val="sr-Latn-CS"/>
        </w:rPr>
        <w:t>Digitalna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tranzicija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Slika</w:t>
      </w:r>
      <w:r w:rsidRPr="004D6977">
        <w:rPr>
          <w:noProof/>
          <w:lang w:val="sr-Latn-CS"/>
        </w:rPr>
        <w:t xml:space="preserve"> 8. 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3. </w:t>
      </w:r>
      <w:r w:rsidR="004D6977">
        <w:rPr>
          <w:noProof/>
          <w:lang w:val="sr-Latn-CS"/>
        </w:rPr>
        <w:t>menjaju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</w:t>
      </w:r>
      <w:r w:rsidRPr="004D6977">
        <w:rPr>
          <w:noProof/>
          <w:lang w:val="sr-Latn-CS"/>
        </w:rPr>
        <w:t>e: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</w:p>
    <w:p w:rsidR="00DF3EB6" w:rsidRPr="004D6977" w:rsidRDefault="00DF3EB6" w:rsidP="00DF3EB6">
      <w:pPr>
        <w:spacing w:before="100" w:beforeAutospacing="1" w:after="100" w:afterAutospacing="1"/>
        <w:jc w:val="center"/>
        <w:rPr>
          <w:noProof/>
          <w:lang w:val="sr-Latn-CS"/>
        </w:rPr>
      </w:pPr>
      <w:r w:rsidRPr="004D6977">
        <w:rPr>
          <w:noProof/>
          <w:lang w:val="sr-Latn-CS"/>
        </w:rPr>
        <w:drawing>
          <wp:inline distT="0" distB="0" distL="0" distR="0">
            <wp:extent cx="3965575" cy="3099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>„</w:t>
      </w:r>
      <w:r w:rsidR="004D6977">
        <w:rPr>
          <w:noProof/>
          <w:lang w:val="sr-Latn-CS"/>
        </w:rPr>
        <w:t>Slika</w:t>
      </w:r>
      <w:r w:rsidRPr="004D6977">
        <w:rPr>
          <w:noProof/>
          <w:lang w:val="sr-Latn-CS"/>
        </w:rPr>
        <w:t xml:space="preserve"> 8. </w:t>
      </w:r>
      <w:r w:rsidR="004D6977">
        <w:rPr>
          <w:noProof/>
          <w:lang w:val="sr-Latn-CS"/>
        </w:rPr>
        <w:t>Prelazak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Evropi</w:t>
      </w:r>
      <w:r w:rsidRPr="004D6977">
        <w:rPr>
          <w:noProof/>
          <w:lang w:val="sr-Latn-CS"/>
        </w:rPr>
        <w:t xml:space="preserve">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lastRenderedPageBreak/>
        <w:tab/>
      </w:r>
      <w:r w:rsidR="004D6977">
        <w:rPr>
          <w:noProof/>
          <w:lang w:val="sr-Latn-CS"/>
        </w:rPr>
        <w:t>Osnovna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pretpostavka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tranzicije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zasnovana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konfiguraciji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zona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raspodele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opisanih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prethodnom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poglavlju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Projektovanje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konačnih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radiodifuznih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signala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vršiće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osnovu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jednofrekvencijskog</w:t>
      </w:r>
      <w:r w:rsidRPr="004D6977">
        <w:rPr>
          <w:noProof/>
          <w:lang w:val="sr-Latn-CS"/>
        </w:rPr>
        <w:t xml:space="preserve"> (</w:t>
      </w:r>
      <w:r w:rsidR="004D6977">
        <w:rPr>
          <w:noProof/>
          <w:lang w:val="sr-Latn-CS"/>
        </w:rPr>
        <w:t>istokanalnog</w:t>
      </w:r>
      <w:r w:rsidRPr="004D6977">
        <w:rPr>
          <w:noProof/>
          <w:lang w:val="sr-Latn-CS"/>
        </w:rPr>
        <w:t xml:space="preserve">) </w:t>
      </w:r>
      <w:r w:rsidR="004D6977">
        <w:rPr>
          <w:noProof/>
          <w:lang w:val="sr-Latn-CS"/>
        </w:rPr>
        <w:t>tipa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(SFN) </w:t>
      </w:r>
      <w:r w:rsidR="004D6977">
        <w:rPr>
          <w:noProof/>
          <w:lang w:val="sr-Latn-CS"/>
        </w:rPr>
        <w:t>unutar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svake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zona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raspodele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Projektovanje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Inicijalne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testiranje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TV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signala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može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vršiti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osnovu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višefrekvencijskog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tipa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(MFN).” 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9. </w:t>
      </w:r>
      <w:r w:rsidR="004D6977">
        <w:rPr>
          <w:noProof/>
          <w:lang w:val="sr-Latn-CS"/>
        </w:rPr>
        <w:t>menja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glasi</w:t>
      </w:r>
      <w:r w:rsidRPr="004D6977">
        <w:rPr>
          <w:noProof/>
          <w:lang w:val="sr-Latn-CS"/>
        </w:rPr>
        <w:t xml:space="preserve">: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>„</w:t>
      </w:r>
      <w:r w:rsidR="004D6977">
        <w:rPr>
          <w:noProof/>
          <w:lang w:val="sr-Latn-CS"/>
        </w:rPr>
        <w:t>Pre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usvajanja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prelaska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MTT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sprovodi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konsultacije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Ratelom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RRA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Javnim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preduzećem</w:t>
      </w:r>
      <w:r w:rsidRPr="004D6977">
        <w:rPr>
          <w:noProof/>
          <w:lang w:val="sr-Latn-CS"/>
        </w:rPr>
        <w:t xml:space="preserve"> „</w:t>
      </w:r>
      <w:r w:rsidR="004D6977">
        <w:rPr>
          <w:noProof/>
          <w:lang w:val="sr-Latn-CS"/>
        </w:rPr>
        <w:t>Emisiona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tehnika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veze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javnim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radiodifuznim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servisima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imaocima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dozvole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TV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kao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organima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odbrane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bezbednosti</w:t>
      </w:r>
      <w:r w:rsidRPr="004D6977">
        <w:rPr>
          <w:noProof/>
          <w:lang w:val="sr-Latn-CS"/>
        </w:rPr>
        <w:t>.”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Stav</w:t>
      </w:r>
      <w:r w:rsidRPr="004D6977">
        <w:rPr>
          <w:noProof/>
          <w:lang w:val="sr-Latn-CS"/>
        </w:rPr>
        <w:t xml:space="preserve"> 11. </w:t>
      </w:r>
      <w:r w:rsidR="004D6977">
        <w:rPr>
          <w:noProof/>
          <w:lang w:val="sr-Latn-CS"/>
        </w:rPr>
        <w:t>menja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glasi</w:t>
      </w:r>
      <w:r w:rsidRPr="004D6977">
        <w:rPr>
          <w:noProof/>
          <w:lang w:val="sr-Latn-CS"/>
        </w:rPr>
        <w:t xml:space="preserve">: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>„</w:t>
      </w:r>
      <w:r w:rsidR="004D6977">
        <w:rPr>
          <w:noProof/>
          <w:lang w:val="sr-Latn-CS"/>
        </w:rPr>
        <w:t>Planiranje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UHF </w:t>
      </w:r>
      <w:r w:rsidR="004D6977">
        <w:rPr>
          <w:noProof/>
          <w:lang w:val="sr-Latn-CS"/>
        </w:rPr>
        <w:t>opsegu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vršiće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izborom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kanala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najnižim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frekvencijskim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opsezima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od</w:t>
      </w:r>
      <w:r w:rsidRPr="004D6977">
        <w:rPr>
          <w:noProof/>
          <w:lang w:val="sr-Latn-CS"/>
        </w:rPr>
        <w:t xml:space="preserve"> 21. </w:t>
      </w:r>
      <w:r w:rsidR="004D6977">
        <w:rPr>
          <w:noProof/>
          <w:lang w:val="sr-Latn-CS"/>
        </w:rPr>
        <w:t>kanala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Korišćenje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kanala</w:t>
      </w:r>
      <w:r w:rsidRPr="004D6977">
        <w:rPr>
          <w:noProof/>
          <w:lang w:val="sr-Latn-CS"/>
        </w:rPr>
        <w:t xml:space="preserve"> 61-69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planiranju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izuzima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zbog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potrebe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isti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ostanu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slobodni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kako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bi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ostavila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mogućnost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taj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opseg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koristi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formiranje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dividende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nakon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okončanja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prelaska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Završnim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aktima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Svetske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konferencije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>-</w:t>
      </w:r>
      <w:r w:rsidR="004D6977">
        <w:rPr>
          <w:noProof/>
          <w:lang w:val="sr-Latn-CS"/>
        </w:rPr>
        <w:t>komunikacijama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predviđeno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kanali</w:t>
      </w:r>
      <w:r w:rsidRPr="004D6977">
        <w:rPr>
          <w:noProof/>
          <w:lang w:val="sr-Latn-CS"/>
        </w:rPr>
        <w:t xml:space="preserve"> 49-60 </w:t>
      </w:r>
      <w:r w:rsidR="004D6977">
        <w:rPr>
          <w:noProof/>
          <w:lang w:val="sr-Latn-CS"/>
        </w:rPr>
        <w:t>po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prelasku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terestričkog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TV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signala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koriste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formiranje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tzv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digitalne</w:t>
      </w:r>
      <w:r w:rsidRPr="004D6977">
        <w:rPr>
          <w:noProof/>
          <w:lang w:val="sr-Latn-CS"/>
        </w:rPr>
        <w:t xml:space="preserve">  </w:t>
      </w:r>
      <w:r w:rsidR="004D6977">
        <w:rPr>
          <w:noProof/>
          <w:lang w:val="sr-Latn-CS"/>
        </w:rPr>
        <w:t>dividende</w:t>
      </w:r>
      <w:r w:rsidRPr="004D6977">
        <w:rPr>
          <w:noProof/>
          <w:lang w:val="sr-Latn-CS"/>
        </w:rPr>
        <w:t xml:space="preserve"> 2.”</w:t>
      </w:r>
    </w:p>
    <w:p w:rsidR="00DF3EB6" w:rsidRPr="004D6977" w:rsidRDefault="00DF3EB6" w:rsidP="00DF3EB6">
      <w:pPr>
        <w:spacing w:before="100" w:beforeAutospacing="1" w:after="100" w:afterAutospacing="1"/>
        <w:ind w:right="-86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Odeljak</w:t>
      </w:r>
      <w:r w:rsidRPr="004D6977">
        <w:rPr>
          <w:noProof/>
          <w:lang w:val="sr-Latn-CS"/>
        </w:rPr>
        <w:t xml:space="preserve"> 3</w:t>
      </w:r>
      <w:r w:rsidR="004D6977">
        <w:rPr>
          <w:noProof/>
          <w:lang w:val="sr-Latn-CS"/>
        </w:rPr>
        <w:t>a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Inicijalna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testiranje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menja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glasi</w:t>
      </w:r>
      <w:r w:rsidRPr="004D6977">
        <w:rPr>
          <w:noProof/>
          <w:lang w:val="sr-Latn-CS"/>
        </w:rPr>
        <w:t xml:space="preserve">: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>„</w:t>
      </w:r>
      <w:r w:rsidR="004D6977">
        <w:rPr>
          <w:noProof/>
          <w:lang w:val="sr-Latn-CS"/>
        </w:rPr>
        <w:t>Prelazak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terestričko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otpočeo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pokretanjem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Inicijalne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testiranje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TV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signala</w:t>
      </w:r>
      <w:r w:rsidRPr="004D6977">
        <w:rPr>
          <w:noProof/>
          <w:lang w:val="sr-Latn-CS"/>
        </w:rPr>
        <w:t xml:space="preserve"> (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daljem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tekstu</w:t>
      </w:r>
      <w:r w:rsidRPr="004D6977">
        <w:rPr>
          <w:noProof/>
          <w:lang w:val="sr-Latn-CS"/>
        </w:rPr>
        <w:t xml:space="preserve">: </w:t>
      </w:r>
      <w:r w:rsidR="004D6977">
        <w:rPr>
          <w:noProof/>
          <w:lang w:val="sr-Latn-CS"/>
        </w:rPr>
        <w:t>Inicijalna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). </w:t>
      </w:r>
      <w:r w:rsidR="004D6977">
        <w:rPr>
          <w:noProof/>
          <w:lang w:val="sr-Latn-CS"/>
        </w:rPr>
        <w:t>Digitalni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TV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signal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biće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lokacija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navedene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Aneksu</w:t>
      </w:r>
      <w:r w:rsidRPr="004D6977">
        <w:rPr>
          <w:noProof/>
          <w:lang w:val="sr-Latn-CS"/>
        </w:rPr>
        <w:t xml:space="preserve"> 4 </w:t>
      </w:r>
      <w:r w:rsidR="004D6977">
        <w:rPr>
          <w:noProof/>
          <w:lang w:val="sr-Latn-CS"/>
        </w:rPr>
        <w:t>Plana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raspodele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frekvencija</w:t>
      </w:r>
      <w:r w:rsidRPr="004D6977">
        <w:rPr>
          <w:noProof/>
          <w:lang w:val="sr-Latn-CS"/>
        </w:rPr>
        <w:t>/</w:t>
      </w:r>
      <w:r w:rsidR="004D6977">
        <w:rPr>
          <w:noProof/>
          <w:lang w:val="sr-Latn-CS"/>
        </w:rPr>
        <w:t>lokacija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terestričke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analogne</w:t>
      </w:r>
      <w:r w:rsidRPr="004D6977">
        <w:rPr>
          <w:noProof/>
          <w:lang w:val="sr-Latn-CS"/>
        </w:rPr>
        <w:t xml:space="preserve"> FM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TV </w:t>
      </w:r>
      <w:r w:rsidR="004D6977">
        <w:rPr>
          <w:noProof/>
          <w:lang w:val="sr-Latn-CS"/>
        </w:rPr>
        <w:t>radiodifuzne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stanice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teritoriju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Republike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Srbije</w:t>
      </w:r>
      <w:r w:rsidRPr="004D6977">
        <w:rPr>
          <w:noProof/>
          <w:lang w:val="sr-Latn-CS"/>
        </w:rPr>
        <w:t xml:space="preserve"> (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daljem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tekstu</w:t>
      </w:r>
      <w:r w:rsidRPr="004D6977">
        <w:rPr>
          <w:noProof/>
          <w:lang w:val="sr-Latn-CS"/>
        </w:rPr>
        <w:t xml:space="preserve">: </w:t>
      </w:r>
      <w:r w:rsidR="004D6977">
        <w:rPr>
          <w:noProof/>
          <w:lang w:val="sr-Latn-CS"/>
        </w:rPr>
        <w:t>Plan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raspodele</w:t>
      </w:r>
      <w:r w:rsidRPr="004D6977">
        <w:rPr>
          <w:noProof/>
          <w:lang w:val="sr-Latn-CS"/>
        </w:rPr>
        <w:t xml:space="preserve">). </w:t>
      </w:r>
      <w:r w:rsidR="004D6977">
        <w:rPr>
          <w:noProof/>
          <w:lang w:val="sr-Latn-CS"/>
        </w:rPr>
        <w:t>Inicijalna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činiće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sastavni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deo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konačne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okončanju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prelaska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zemaljsko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Odluka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izdavanju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pojedinačne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dozvole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korišćenje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sadržaće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odredbe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dozvoliti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korišćenje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navedenih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Aneksu</w:t>
      </w:r>
      <w:r w:rsidRPr="004D6977">
        <w:rPr>
          <w:noProof/>
          <w:lang w:val="sr-Latn-CS"/>
        </w:rPr>
        <w:t xml:space="preserve"> 4 </w:t>
      </w:r>
      <w:r w:rsidR="004D6977">
        <w:rPr>
          <w:noProof/>
          <w:lang w:val="sr-Latn-CS"/>
        </w:rPr>
        <w:t>Plana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raspodele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tokom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perioda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uključivanja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inicijalne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testiranje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konačnu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mrežu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kao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posebne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uslove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korišćenja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ovih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frekvencija</w:t>
      </w:r>
      <w:r w:rsidRPr="004D6977">
        <w:rPr>
          <w:noProof/>
          <w:lang w:val="sr-Latn-CS"/>
        </w:rPr>
        <w:t xml:space="preserve">. </w:t>
      </w:r>
      <w:r w:rsidR="004D6977">
        <w:rPr>
          <w:noProof/>
          <w:lang w:val="sr-Latn-CS"/>
        </w:rPr>
        <w:t>Ukoliko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prelaska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dođe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oslobađanja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frekvencija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odgovarajućim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opsezima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Inicijalna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može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proširiti</w:t>
      </w:r>
      <w:r w:rsidRPr="004D6977">
        <w:rPr>
          <w:noProof/>
          <w:lang w:val="sr-Latn-CS"/>
        </w:rPr>
        <w:t>.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Simulkast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preko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Inicijalne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mreže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testiranje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biće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dostupan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programima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će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odrediti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MTT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saradnji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MKI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RRA</w:t>
      </w:r>
      <w:r w:rsidRPr="004D6977">
        <w:rPr>
          <w:noProof/>
          <w:lang w:val="sr-Latn-CS"/>
        </w:rPr>
        <w:t>.”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4. </w:t>
      </w:r>
      <w:r w:rsidR="004D6977">
        <w:rPr>
          <w:noProof/>
          <w:lang w:val="sr-Latn-CS"/>
        </w:rPr>
        <w:t>Glava</w:t>
      </w:r>
      <w:r w:rsidRPr="004D6977">
        <w:rPr>
          <w:noProof/>
          <w:lang w:val="sr-Latn-CS"/>
        </w:rPr>
        <w:t xml:space="preserve"> VII. </w:t>
      </w:r>
      <w:r w:rsidR="004D6977">
        <w:rPr>
          <w:noProof/>
          <w:lang w:val="sr-Latn-CS"/>
        </w:rPr>
        <w:t>AKCIONI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SPROVOĐENJE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STRATEGIJE</w:t>
      </w:r>
      <w:r w:rsidRPr="004D6977">
        <w:rPr>
          <w:noProof/>
          <w:lang w:val="sr-Latn-CS"/>
        </w:rPr>
        <w:t xml:space="preserve">, </w:t>
      </w:r>
      <w:r w:rsidR="004D6977">
        <w:rPr>
          <w:noProof/>
          <w:lang w:val="sr-Latn-CS"/>
        </w:rPr>
        <w:t>menja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glasi</w:t>
      </w:r>
      <w:r w:rsidRPr="004D6977">
        <w:rPr>
          <w:noProof/>
          <w:lang w:val="sr-Latn-CS"/>
        </w:rPr>
        <w:t xml:space="preserve">: </w:t>
      </w:r>
    </w:p>
    <w:p w:rsidR="00DF3EB6" w:rsidRPr="004D6977" w:rsidRDefault="00DF3EB6" w:rsidP="00DF3EB6">
      <w:pPr>
        <w:spacing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lastRenderedPageBreak/>
        <w:tab/>
        <w:t xml:space="preserve">„VII. </w:t>
      </w:r>
      <w:r w:rsidR="004D6977">
        <w:rPr>
          <w:noProof/>
          <w:lang w:val="sr-Latn-CS"/>
        </w:rPr>
        <w:t>AKCIONI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SPROVOĐENJE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STRATEGIJE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PRELAZAK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ANALOGNOG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REPUBLICI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SRBIJI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</w:r>
      <w:r w:rsidR="004D6977">
        <w:rPr>
          <w:noProof/>
          <w:lang w:val="sr-Latn-CS"/>
        </w:rPr>
        <w:t>Akcioni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odštampan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uz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Strategiju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za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prelazak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analognog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digitalno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emitovanje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radio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televizijskog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programa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Republici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Srbiji</w:t>
      </w:r>
      <w:r w:rsidRPr="004D6977">
        <w:rPr>
          <w:noProof/>
          <w:lang w:val="sr-Latn-CS"/>
        </w:rPr>
        <w:t xml:space="preserve"> („</w:t>
      </w:r>
      <w:r w:rsidR="004D6977">
        <w:rPr>
          <w:noProof/>
          <w:lang w:val="sr-Latn-CS"/>
        </w:rPr>
        <w:t>Službeni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RS</w:t>
      </w:r>
      <w:r w:rsidRPr="004D6977">
        <w:rPr>
          <w:noProof/>
          <w:lang w:val="sr-Latn-CS"/>
        </w:rPr>
        <w:t xml:space="preserve">”, </w:t>
      </w:r>
      <w:r w:rsidR="004D6977">
        <w:rPr>
          <w:noProof/>
          <w:lang w:val="sr-Latn-CS"/>
        </w:rPr>
        <w:t>br</w:t>
      </w:r>
      <w:r w:rsidRPr="004D6977">
        <w:rPr>
          <w:noProof/>
          <w:lang w:val="sr-Latn-CS"/>
        </w:rPr>
        <w:t xml:space="preserve"> 52/09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18/12) </w:t>
      </w:r>
      <w:r w:rsidR="004D6977">
        <w:rPr>
          <w:noProof/>
          <w:lang w:val="sr-Latn-CS"/>
        </w:rPr>
        <w:t>zamenjuje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novim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Akcionim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planom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koji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je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odštampan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uz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ovu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odluku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čini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njen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sastavni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deo</w:t>
      </w:r>
      <w:r w:rsidRPr="004D6977">
        <w:rPr>
          <w:noProof/>
          <w:lang w:val="sr-Latn-CS"/>
        </w:rPr>
        <w:t xml:space="preserve">.” </w:t>
      </w:r>
    </w:p>
    <w:p w:rsidR="00DF3EB6" w:rsidRPr="004D6977" w:rsidRDefault="00DF3EB6" w:rsidP="00DF3EB6">
      <w:pPr>
        <w:spacing w:before="100" w:beforeAutospacing="1" w:after="100" w:afterAutospacing="1"/>
        <w:rPr>
          <w:noProof/>
          <w:lang w:val="sr-Latn-CS"/>
        </w:rPr>
      </w:pPr>
      <w:r w:rsidRPr="004D6977">
        <w:rPr>
          <w:noProof/>
          <w:lang w:val="sr-Latn-CS"/>
        </w:rPr>
        <w:tab/>
        <w:t xml:space="preserve">5. </w:t>
      </w:r>
      <w:r w:rsidR="004D6977">
        <w:rPr>
          <w:noProof/>
          <w:lang w:val="sr-Latn-CS"/>
        </w:rPr>
        <w:t>Ovu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odluku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objaviti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u</w:t>
      </w:r>
      <w:r w:rsidRPr="004D6977">
        <w:rPr>
          <w:noProof/>
          <w:lang w:val="sr-Latn-CS"/>
        </w:rPr>
        <w:t xml:space="preserve"> „</w:t>
      </w:r>
      <w:r w:rsidR="004D6977">
        <w:rPr>
          <w:noProof/>
          <w:lang w:val="sr-Latn-CS"/>
        </w:rPr>
        <w:t>Službenom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glasniku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Republike</w:t>
      </w:r>
      <w:r w:rsidRPr="004D6977">
        <w:rPr>
          <w:noProof/>
          <w:lang w:val="sr-Latn-CS"/>
        </w:rPr>
        <w:t xml:space="preserve"> </w:t>
      </w:r>
      <w:r w:rsidR="004D6977">
        <w:rPr>
          <w:noProof/>
          <w:lang w:val="sr-Latn-CS"/>
        </w:rPr>
        <w:t>Srbije</w:t>
      </w:r>
      <w:r w:rsidRPr="004D6977">
        <w:rPr>
          <w:noProof/>
          <w:lang w:val="sr-Latn-CS"/>
        </w:rPr>
        <w:t>”.</w:t>
      </w:r>
    </w:p>
    <w:p w:rsidR="00DF3EB6" w:rsidRPr="004D6977" w:rsidRDefault="00DF3EB6">
      <w:pPr>
        <w:rPr>
          <w:b/>
          <w:bCs/>
          <w:noProof/>
          <w:lang w:val="sr-Latn-CS"/>
        </w:rPr>
      </w:pPr>
      <w:r w:rsidRPr="004D6977">
        <w:rPr>
          <w:b/>
          <w:bCs/>
          <w:noProof/>
          <w:lang w:val="sr-Latn-CS"/>
        </w:rPr>
        <w:br w:type="page"/>
      </w:r>
    </w:p>
    <w:p w:rsidR="00D452E8" w:rsidRPr="004D6977" w:rsidRDefault="004D6977" w:rsidP="003E2AC2">
      <w:pPr>
        <w:spacing w:before="2040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AKCIONI</w:t>
      </w:r>
      <w:r w:rsidR="00D452E8" w:rsidRPr="004D6977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PLAN</w:t>
      </w:r>
    </w:p>
    <w:p w:rsidR="003266AA" w:rsidRPr="004D6977" w:rsidRDefault="004D6977" w:rsidP="00D00699">
      <w:pPr>
        <w:pStyle w:val="Heading3"/>
        <w:shd w:val="clear" w:color="auto" w:fill="FFFFFF"/>
        <w:spacing w:before="0" w:line="324" w:lineRule="atLeast"/>
        <w:jc w:val="center"/>
        <w:textAlignment w:val="baseline"/>
        <w:rPr>
          <w:bCs w:val="0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</w:t>
      </w:r>
      <w:r w:rsidR="00D452E8" w:rsidRPr="004D69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5E0945" w:rsidRPr="004D6977">
        <w:rPr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STRATEGIJ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E </w:t>
      </w:r>
      <w:r>
        <w:rPr>
          <w:bCs w:val="0"/>
          <w:noProof/>
          <w:sz w:val="24"/>
          <w:szCs w:val="24"/>
          <w:lang w:val="sr-Latn-CS"/>
        </w:rPr>
        <w:t>ZA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PRELAZAK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SA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ANALOGNOG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NA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DIGITALNO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EMITOVANJE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</w:p>
    <w:p w:rsidR="003266AA" w:rsidRPr="004D6977" w:rsidRDefault="004D6977" w:rsidP="00D00699">
      <w:pPr>
        <w:pStyle w:val="Heading3"/>
        <w:shd w:val="clear" w:color="auto" w:fill="FFFFFF"/>
        <w:spacing w:before="0" w:line="324" w:lineRule="atLeast"/>
        <w:jc w:val="center"/>
        <w:textAlignment w:val="baseline"/>
        <w:rPr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RADIO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I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TELEVIZIJSKOG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PROGRAMA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</w:p>
    <w:p w:rsidR="005937FB" w:rsidRPr="004D6977" w:rsidRDefault="004D6977" w:rsidP="00D00699">
      <w:pPr>
        <w:pStyle w:val="Heading3"/>
        <w:shd w:val="clear" w:color="auto" w:fill="FFFFFF"/>
        <w:spacing w:before="0" w:line="324" w:lineRule="atLeast"/>
        <w:jc w:val="center"/>
        <w:textAlignment w:val="baseline"/>
        <w:rPr>
          <w:rFonts w:ascii="Arial" w:hAnsi="Arial" w:cs="Arial"/>
          <w:bCs w:val="0"/>
          <w:noProof/>
          <w:sz w:val="24"/>
          <w:szCs w:val="24"/>
          <w:lang w:val="sr-Latn-CS"/>
        </w:rPr>
      </w:pPr>
      <w:r>
        <w:rPr>
          <w:bCs w:val="0"/>
          <w:noProof/>
          <w:sz w:val="24"/>
          <w:szCs w:val="24"/>
          <w:lang w:val="sr-Latn-CS"/>
        </w:rPr>
        <w:t>U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REPUBLICI</w:t>
      </w:r>
      <w:r w:rsidR="005937FB" w:rsidRPr="004D6977">
        <w:rPr>
          <w:bCs w:val="0"/>
          <w:noProof/>
          <w:sz w:val="24"/>
          <w:szCs w:val="24"/>
          <w:lang w:val="sr-Latn-CS"/>
        </w:rPr>
        <w:t xml:space="preserve"> </w:t>
      </w:r>
      <w:r>
        <w:rPr>
          <w:bCs w:val="0"/>
          <w:noProof/>
          <w:sz w:val="24"/>
          <w:szCs w:val="24"/>
          <w:lang w:val="sr-Latn-CS"/>
        </w:rPr>
        <w:t>SRBIJI</w:t>
      </w:r>
    </w:p>
    <w:p w:rsidR="00D452E8" w:rsidRPr="004D6977" w:rsidRDefault="00D452E8" w:rsidP="005E0945">
      <w:pPr>
        <w:jc w:val="center"/>
        <w:rPr>
          <w:b/>
          <w:bCs/>
          <w:noProof/>
          <w:sz w:val="52"/>
          <w:lang w:val="sr-Latn-CS"/>
        </w:rPr>
      </w:pPr>
    </w:p>
    <w:p w:rsidR="004C6100" w:rsidRPr="004D6977" w:rsidRDefault="004C6100" w:rsidP="001825B1">
      <w:pPr>
        <w:spacing w:before="2040" w:after="360"/>
        <w:rPr>
          <w:b/>
          <w:bCs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4082"/>
        <w:gridCol w:w="2835"/>
        <w:gridCol w:w="2977"/>
        <w:gridCol w:w="1985"/>
        <w:gridCol w:w="2350"/>
      </w:tblGrid>
      <w:tr w:rsidR="00972FE2" w:rsidRPr="004D6977" w:rsidTr="000E41D3">
        <w:trPr>
          <w:cantSplit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6" w:rsidRPr="004D6977" w:rsidRDefault="001825B1" w:rsidP="0057316B">
            <w:pPr>
              <w:rPr>
                <w:noProof/>
                <w:lang w:val="sr-Latn-CS"/>
              </w:rPr>
            </w:pPr>
            <w:r w:rsidRPr="004D6977">
              <w:rPr>
                <w:noProof/>
                <w:lang w:val="sr-Latn-CS"/>
              </w:rPr>
              <w:br w:type="page"/>
            </w:r>
            <w:r w:rsidR="004D6977">
              <w:rPr>
                <w:b/>
                <w:bCs/>
                <w:noProof/>
                <w:lang w:val="sr-Latn-CS"/>
              </w:rPr>
              <w:t>Opis</w:t>
            </w:r>
            <w:r w:rsidR="006C3A66" w:rsidRPr="004D6977">
              <w:rPr>
                <w:b/>
                <w:bCs/>
                <w:noProof/>
                <w:lang w:val="sr-Latn-CS"/>
              </w:rPr>
              <w:t xml:space="preserve"> </w:t>
            </w:r>
            <w:r w:rsidR="004D6977">
              <w:rPr>
                <w:b/>
                <w:bCs/>
                <w:noProof/>
                <w:lang w:val="sr-Latn-CS"/>
              </w:rPr>
              <w:t>aktivnosti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6" w:rsidRPr="004D6977" w:rsidRDefault="004D6977" w:rsidP="0057316B">
            <w:pPr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Rok</w:t>
            </w:r>
            <w:r w:rsidR="00282D1A" w:rsidRPr="004D6977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za</w:t>
            </w:r>
            <w:r w:rsidR="00282D1A" w:rsidRPr="004D6977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realizaciju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6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Indikator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6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Odgovorna</w:t>
            </w:r>
            <w:r w:rsidR="006C3A66" w:rsidRPr="004D6977">
              <w:rPr>
                <w:b/>
                <w:bCs/>
                <w:noProof/>
                <w:lang w:val="sr-Latn-CS"/>
              </w:rPr>
              <w:t xml:space="preserve"> </w:t>
            </w:r>
            <w:r>
              <w:rPr>
                <w:b/>
                <w:bCs/>
                <w:noProof/>
                <w:lang w:val="sr-Latn-CS"/>
              </w:rPr>
              <w:t>institucija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6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Partneri</w:t>
            </w:r>
          </w:p>
        </w:tc>
      </w:tr>
      <w:tr w:rsidR="00D452E8" w:rsidRPr="004D6977" w:rsidTr="000E41D3">
        <w:trPr>
          <w:cantSplit/>
          <w:trHeight w:val="52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A38" w:rsidRPr="004D6977" w:rsidRDefault="00972FE2" w:rsidP="006F1029">
            <w:pPr>
              <w:rPr>
                <w:b/>
                <w:noProof/>
                <w:lang w:val="sr-Latn-CS"/>
              </w:rPr>
            </w:pPr>
            <w:r w:rsidRPr="004D6977">
              <w:rPr>
                <w:b/>
                <w:noProof/>
                <w:lang w:val="sr-Latn-CS"/>
              </w:rPr>
              <w:t xml:space="preserve">1. </w:t>
            </w:r>
            <w:r w:rsidR="004D6977">
              <w:rPr>
                <w:b/>
                <w:noProof/>
                <w:lang w:val="sr-Latn-CS"/>
              </w:rPr>
              <w:t>Regulatorni</w:t>
            </w:r>
            <w:r w:rsidR="006F1029" w:rsidRPr="004D6977">
              <w:rPr>
                <w:b/>
                <w:noProof/>
                <w:lang w:val="sr-Latn-CS"/>
              </w:rPr>
              <w:t xml:space="preserve"> </w:t>
            </w:r>
            <w:r w:rsidR="004D6977">
              <w:rPr>
                <w:b/>
                <w:noProof/>
                <w:lang w:val="sr-Latn-CS"/>
              </w:rPr>
              <w:t>okvir</w:t>
            </w:r>
          </w:p>
        </w:tc>
      </w:tr>
      <w:tr w:rsidR="006A2210" w:rsidRPr="004D6977" w:rsidDel="006A2210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0" w:rsidRPr="004D6977" w:rsidDel="006A2210" w:rsidRDefault="004D6977" w:rsidP="00042833">
            <w:pPr>
              <w:rPr>
                <w:bCs/>
                <w:noProof/>
                <w:color w:val="000000"/>
                <w:lang w:val="sr-Latn-CS"/>
              </w:rPr>
            </w:pPr>
            <w:r>
              <w:rPr>
                <w:bCs/>
                <w:noProof/>
                <w:color w:val="000000"/>
                <w:lang w:val="sr-Latn-CS"/>
              </w:rPr>
              <w:lastRenderedPageBreak/>
              <w:t>Donošenje</w:t>
            </w:r>
            <w:r w:rsidR="006A2210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Plana</w:t>
            </w:r>
            <w:r w:rsidR="006A2210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raspodele</w:t>
            </w:r>
            <w:r w:rsidR="00C4401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frekvencija</w:t>
            </w:r>
            <w:r w:rsidR="00B600A4" w:rsidRPr="004D6977">
              <w:rPr>
                <w:bCs/>
                <w:noProof/>
                <w:color w:val="000000"/>
                <w:lang w:val="sr-Latn-CS"/>
              </w:rPr>
              <w:t>/</w:t>
            </w:r>
            <w:r>
              <w:rPr>
                <w:bCs/>
                <w:noProof/>
                <w:color w:val="000000"/>
                <w:lang w:val="sr-Latn-CS"/>
              </w:rPr>
              <w:t>lokacija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>/o</w:t>
            </w:r>
            <w:r>
              <w:rPr>
                <w:bCs/>
                <w:noProof/>
                <w:color w:val="000000"/>
                <w:lang w:val="sr-Latn-CS"/>
              </w:rPr>
              <w:t>blasti</w:t>
            </w:r>
            <w:r w:rsidR="006A2210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za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period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tokom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prelaska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analognog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na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digitalno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emitovanje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TV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programa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i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period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posle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gašenja</w:t>
            </w:r>
            <w:r w:rsidR="00C4401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analognog</w:t>
            </w:r>
            <w:r w:rsidR="00C4401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servisa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na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teritoriji</w:t>
            </w:r>
            <w:r w:rsidR="00CC2CB5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Republike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Srbije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0" w:rsidRPr="004D6977" w:rsidDel="006A2210" w:rsidRDefault="004D6977" w:rsidP="00010213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6A221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6A2210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0" w:rsidRPr="004D6977" w:rsidDel="006A2210" w:rsidRDefault="004D6977" w:rsidP="00042833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Usvojen</w:t>
            </w:r>
            <w:r w:rsidR="009E3CA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</w:t>
            </w:r>
            <w:r w:rsidR="009E3CA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raspodele</w:t>
            </w:r>
            <w:r w:rsidR="009E3CA9" w:rsidRPr="004D697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0" w:rsidRPr="004D6977" w:rsidDel="006A2210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10" w:rsidRPr="004D6977" w:rsidDel="006A2210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  <w:r w:rsidR="00C44015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ETV</w:t>
            </w:r>
          </w:p>
        </w:tc>
      </w:tr>
      <w:tr w:rsidR="00042833" w:rsidRPr="004D6977" w:rsidDel="006A2210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925F70">
            <w:pPr>
              <w:rPr>
                <w:bCs/>
                <w:noProof/>
                <w:color w:val="000000"/>
                <w:lang w:val="sr-Latn-CS"/>
              </w:rPr>
            </w:pPr>
            <w:r>
              <w:rPr>
                <w:bCs/>
                <w:noProof/>
                <w:color w:val="000000"/>
                <w:lang w:val="sr-Latn-CS"/>
              </w:rPr>
              <w:t>Izmena</w:t>
            </w:r>
            <w:r w:rsidR="00F312A2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Plana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raspodele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frekvencija</w:t>
            </w:r>
            <w:r w:rsidR="00C87396" w:rsidRPr="004D6977">
              <w:rPr>
                <w:bCs/>
                <w:noProof/>
                <w:color w:val="000000"/>
                <w:lang w:val="sr-Latn-CS"/>
              </w:rPr>
              <w:t>/</w:t>
            </w:r>
            <w:r>
              <w:rPr>
                <w:bCs/>
                <w:noProof/>
                <w:color w:val="000000"/>
                <w:lang w:val="sr-Latn-CS"/>
              </w:rPr>
              <w:t>lokacija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>/o</w:t>
            </w:r>
            <w:r>
              <w:rPr>
                <w:bCs/>
                <w:noProof/>
                <w:color w:val="000000"/>
                <w:lang w:val="sr-Latn-CS"/>
              </w:rPr>
              <w:t>blasti</w:t>
            </w:r>
            <w:r w:rsidR="00C87396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za</w:t>
            </w:r>
            <w:r w:rsidR="00C87396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analognu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terestričku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televiziju</w:t>
            </w:r>
            <w:r w:rsidR="003266AA" w:rsidRPr="004D6977">
              <w:rPr>
                <w:bCs/>
                <w:noProof/>
                <w:color w:val="000000"/>
                <w:lang w:val="sr-Latn-CS"/>
              </w:rPr>
              <w:t>,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kako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bi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se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omogućio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delimični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simulkast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tokom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prelaska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sa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analognog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na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digitalno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emitovanje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TV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programa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na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teritoriji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Republike</w:t>
            </w:r>
            <w:r w:rsidR="0025632C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Srbije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010213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Usklađen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raspodele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međunarodno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preuzetim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obavezama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rPr>
                <w:rFonts w:eastAsia="Calibri"/>
                <w:noProof/>
                <w:lang w:val="sr-Latn-CS"/>
              </w:rPr>
            </w:pPr>
            <w:r>
              <w:rPr>
                <w:bCs/>
                <w:noProof/>
                <w:color w:val="000000"/>
                <w:lang w:val="sr-Latn-CS"/>
              </w:rPr>
              <w:t>Izmene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Pravilnika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prelasku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analognog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na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digitalno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emitovanje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TV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programa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pristupu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multipleksu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terestričkoj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digitalnoj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radiodifuziji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Usvojen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Pravilnik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BF351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RRA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A51B82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Usvajanje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analognog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radio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televizijskog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programa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Republici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Srbiji</w:t>
            </w:r>
          </w:p>
          <w:p w:rsidR="00B13E9D" w:rsidRPr="004D6977" w:rsidRDefault="00B13E9D" w:rsidP="00A51B82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D764D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Usvojen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radio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televizijskog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programa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Vlada</w:t>
            </w:r>
            <w:r w:rsidR="00042833" w:rsidRPr="004D6977">
              <w:rPr>
                <w:noProof/>
                <w:lang w:val="sr-Latn-CS"/>
              </w:rPr>
              <w:t xml:space="preserve">,  </w:t>
            </w: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95237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  <w:r w:rsidR="00042833" w:rsidRPr="004D6977">
              <w:rPr>
                <w:noProof/>
                <w:lang w:val="sr-Latn-CS"/>
              </w:rPr>
              <w:t>,</w:t>
            </w:r>
          </w:p>
          <w:p w:rsidR="00042833" w:rsidRPr="004D6977" w:rsidRDefault="004D6977" w:rsidP="0095237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RATEL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RRA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nacionalni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emiteri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ANEM</w:t>
            </w:r>
            <w:r w:rsidR="00383009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MUP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57316B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Sprovođenje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postupka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izmene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dozvola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1679E2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zemaljsko</w:t>
            </w:r>
            <w:r w:rsidR="001679E2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  <w:r w:rsidR="001679E2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regulisano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Pravilnikom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način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koji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razmatra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</w:t>
            </w:r>
            <w:r w:rsidR="00042833" w:rsidRPr="004D6977">
              <w:rPr>
                <w:noProof/>
                <w:lang w:val="sr-Latn-CS"/>
              </w:rPr>
              <w:t>o</w:t>
            </w:r>
            <w:r>
              <w:rPr>
                <w:noProof/>
                <w:lang w:val="sr-Latn-CS"/>
              </w:rPr>
              <w:t>gramski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aspekt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smanjuje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servisnu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zonu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skraćuje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rok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važenja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dozvole</w:t>
            </w:r>
          </w:p>
          <w:p w:rsidR="00B13E9D" w:rsidRPr="004D6977" w:rsidRDefault="00B13E9D" w:rsidP="0057316B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Planom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analognog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3266A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Izmena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izdatih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dozvola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RRA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RATEL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  <w:p w:rsidR="00B13E9D" w:rsidRPr="004D6977" w:rsidRDefault="00B13E9D" w:rsidP="0057316B">
            <w:pPr>
              <w:jc w:val="center"/>
              <w:rPr>
                <w:noProof/>
                <w:lang w:val="sr-Latn-CS"/>
              </w:rPr>
            </w:pP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bCs/>
                <w:noProof/>
                <w:color w:val="000000"/>
                <w:lang w:val="sr-Latn-CS"/>
              </w:rPr>
            </w:pPr>
          </w:p>
          <w:p w:rsidR="00042833" w:rsidRPr="004D6977" w:rsidRDefault="004D6977" w:rsidP="001F425E">
            <w:pPr>
              <w:rPr>
                <w:bCs/>
                <w:noProof/>
                <w:color w:val="000000"/>
                <w:lang w:val="sr-Latn-CS"/>
              </w:rPr>
            </w:pPr>
            <w:r>
              <w:rPr>
                <w:bCs/>
                <w:noProof/>
                <w:color w:val="000000"/>
                <w:lang w:val="sr-Latn-CS"/>
              </w:rPr>
              <w:t>Implementacija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Direktive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2010/13/EU </w:t>
            </w:r>
            <w:r>
              <w:rPr>
                <w:bCs/>
                <w:noProof/>
                <w:color w:val="000000"/>
                <w:lang w:val="sr-Latn-CS"/>
              </w:rPr>
              <w:t>Evropskog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parlamenta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Saveta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koordinaciji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određenih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odredbi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datih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zakonom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, </w:t>
            </w:r>
            <w:r>
              <w:rPr>
                <w:bCs/>
                <w:noProof/>
                <w:color w:val="000000"/>
                <w:lang w:val="sr-Latn-CS"/>
              </w:rPr>
              <w:t>propisom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ili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upravnim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postupkom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državama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članicama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vezi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s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pružanjem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usluga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audiovizuelnih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medija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(</w:t>
            </w:r>
            <w:r>
              <w:rPr>
                <w:bCs/>
                <w:noProof/>
                <w:color w:val="000000"/>
                <w:lang w:val="sr-Latn-CS"/>
              </w:rPr>
              <w:t>Direktiva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o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audiovizuelnim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medijskim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 xml:space="preserve"> </w:t>
            </w:r>
            <w:r>
              <w:rPr>
                <w:bCs/>
                <w:noProof/>
                <w:color w:val="000000"/>
                <w:lang w:val="sr-Latn-CS"/>
              </w:rPr>
              <w:t>uslugama</w:t>
            </w:r>
            <w:r w:rsidR="00042833" w:rsidRPr="004D6977">
              <w:rPr>
                <w:bCs/>
                <w:noProof/>
                <w:color w:val="000000"/>
                <w:lang w:val="sr-Latn-CS"/>
              </w:rPr>
              <w:t>)</w:t>
            </w:r>
          </w:p>
          <w:p w:rsidR="00042833" w:rsidRPr="004D6977" w:rsidRDefault="00042833" w:rsidP="0057316B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Strategijom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razvoja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sistema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javnog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informisanja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042833" w:rsidRPr="004D6977">
              <w:rPr>
                <w:noProof/>
                <w:lang w:val="sr-Latn-CS"/>
              </w:rPr>
              <w:t xml:space="preserve"> 2016. </w:t>
            </w:r>
            <w:r>
              <w:rPr>
                <w:noProof/>
                <w:lang w:val="sr-Latn-CS"/>
              </w:rPr>
              <w:t>godine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4E777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Novi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zakon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elektronskim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medijima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65608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MKI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Narodna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skupština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6815E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042833" w:rsidRPr="004D6977" w:rsidTr="000E41D3">
        <w:trPr>
          <w:cantSplit/>
          <w:trHeight w:val="44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2833" w:rsidRPr="004D6977" w:rsidRDefault="00042833" w:rsidP="00204BF3">
            <w:pPr>
              <w:rPr>
                <w:b/>
                <w:noProof/>
                <w:lang w:val="sr-Latn-CS"/>
              </w:rPr>
            </w:pPr>
            <w:r w:rsidRPr="004D6977">
              <w:rPr>
                <w:b/>
                <w:noProof/>
                <w:lang w:val="sr-Latn-CS"/>
              </w:rPr>
              <w:t xml:space="preserve">2. </w:t>
            </w:r>
            <w:r w:rsidR="004D6977">
              <w:rPr>
                <w:b/>
                <w:noProof/>
                <w:lang w:val="sr-Latn-CS"/>
              </w:rPr>
              <w:t>Tehnička</w:t>
            </w:r>
            <w:r w:rsidRPr="004D6977">
              <w:rPr>
                <w:b/>
                <w:noProof/>
                <w:lang w:val="sr-Latn-CS"/>
              </w:rPr>
              <w:t xml:space="preserve"> </w:t>
            </w:r>
            <w:r w:rsidR="004D6977">
              <w:rPr>
                <w:b/>
                <w:noProof/>
                <w:lang w:val="sr-Latn-CS"/>
              </w:rPr>
              <w:t>pitanja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AD2E29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Prethodne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analize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pokrivanja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Republike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digitalnim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televizijskim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signalom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AD2E2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Urađena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Prethodna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analiza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pokrivanja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procenom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troškova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57316B">
            <w:pPr>
              <w:jc w:val="center"/>
              <w:rPr>
                <w:noProof/>
                <w:lang w:val="sr-Latn-CS"/>
              </w:rPr>
            </w:pP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925F70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Studije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izvodljivosti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idejnim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projektom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pokrivanja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Republike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Srbije</w:t>
            </w:r>
            <w:r w:rsidR="00042833" w:rsidRPr="004D6977">
              <w:rPr>
                <w:noProof/>
                <w:lang w:val="sr-Latn-CS"/>
              </w:rPr>
              <w:t xml:space="preserve"> DVB-T2 </w:t>
            </w:r>
            <w:r>
              <w:rPr>
                <w:noProof/>
                <w:lang w:val="sr-Latn-CS"/>
              </w:rPr>
              <w:t>signalom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AD2E2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617ACA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Urađena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Studija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izvodljivosti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idejnim</w:t>
            </w:r>
            <w:r w:rsidR="00925F7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925F70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Radna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Utvrđivanje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predajničkih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repetitorskih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koristi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ETV</w:t>
            </w:r>
          </w:p>
          <w:p w:rsidR="00042833" w:rsidRPr="004D6977" w:rsidRDefault="00042833" w:rsidP="0057316B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D76E4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Izveštaj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stanju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Definisanje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neophodne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realizaciju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distribucione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D76E4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Spisak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04401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Proširenje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Inicijalne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testiranje</w:t>
            </w:r>
            <w:r w:rsidR="004343C7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televizijskog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signala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D76E4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Proširena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Inicijalna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RATEL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bCs/>
                <w:noProof/>
                <w:lang w:val="sr-Latn-CS"/>
              </w:rPr>
            </w:pPr>
          </w:p>
          <w:p w:rsidR="0004283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Prikupljanje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podataka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korišćenju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digitalne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dividende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u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Evropi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i</w:t>
            </w:r>
            <w:r w:rsidR="00042833" w:rsidRPr="004D6977">
              <w:rPr>
                <w:bCs/>
                <w:noProof/>
                <w:lang w:val="sr-Latn-CS"/>
              </w:rPr>
              <w:t xml:space="preserve">  online </w:t>
            </w:r>
            <w:r>
              <w:rPr>
                <w:bCs/>
                <w:noProof/>
                <w:lang w:val="sr-Latn-CS"/>
              </w:rPr>
              <w:t>publikacija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na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sajtu</w:t>
            </w:r>
            <w:r w:rsidR="00AD2E29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MTT</w:t>
            </w:r>
            <w:r w:rsidR="00042833" w:rsidRPr="004D6977">
              <w:rPr>
                <w:bCs/>
                <w:noProof/>
                <w:lang w:val="sr-Latn-CS"/>
              </w:rPr>
              <w:t xml:space="preserve">, </w:t>
            </w:r>
            <w:r>
              <w:rPr>
                <w:bCs/>
                <w:noProof/>
                <w:lang w:val="sr-Latn-CS"/>
              </w:rPr>
              <w:t>izrada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studije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mogućnostima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korišćenja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digitalne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dividende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u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Republici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Srbiji</w:t>
            </w:r>
          </w:p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D76E42">
            <w:pPr>
              <w:jc w:val="center"/>
              <w:rPr>
                <w:noProof/>
                <w:lang w:val="sr-Latn-CS"/>
              </w:rPr>
            </w:pP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Pripremljena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studija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i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publikacija</w:t>
            </w:r>
            <w:r w:rsidR="00124B70"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objavljena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na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sajtu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MTT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</w:p>
        </w:tc>
      </w:tr>
      <w:tr w:rsidR="00AD2E29" w:rsidRPr="004D6977" w:rsidTr="00885426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energetskih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projekata</w:t>
            </w:r>
            <w:r w:rsidR="00AD2E29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kao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distribucione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AD2E29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Urađeni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energetski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885426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Radna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</w:p>
        </w:tc>
      </w:tr>
      <w:tr w:rsidR="00AD2E29" w:rsidRPr="004D6977" w:rsidTr="00885426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Izrada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građevinskih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projekata</w:t>
            </w:r>
            <w:r w:rsidR="00AD2E29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kao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distribucione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AD2E29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Urađeni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građevinski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885426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Radna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</w:p>
        </w:tc>
      </w:tr>
      <w:tr w:rsidR="00AD2E29" w:rsidRPr="004D6977" w:rsidTr="00885426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tehnoloških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projekata</w:t>
            </w:r>
            <w:r w:rsidR="00AD2E29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kao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distribucione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AD2E29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Urađeni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tehnološki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29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885426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Radna</w:t>
            </w:r>
            <w:r w:rsidR="00AD2E29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Pribavljanje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cilju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dobijanja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neophodnih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lokacijskih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građevinskih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dozvola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D76E4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Pribavljena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Izrada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plana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oslobađanja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delova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radio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frekvencijskog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spektra</w:t>
            </w:r>
            <w:r w:rsidR="00464759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koji</w:t>
            </w:r>
            <w:r w:rsidR="00464759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su</w:t>
            </w:r>
            <w:r w:rsidR="00464759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Planom</w:t>
            </w:r>
            <w:r w:rsidR="00464759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namene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radio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frekvencijskog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spektra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namenjeni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za</w:t>
            </w:r>
            <w:r w:rsidR="002220C8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televiziju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2014.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D76E4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Pripremljen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oslobađanje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spektra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MUP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MO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Rekonstrukcija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izgradnja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pokrivanja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izrađenim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građevinskim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četvrti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 2014.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Rekonstruisane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izgrađene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885426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Radna</w:t>
            </w:r>
            <w:r w:rsidR="00CC2CB5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grupa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Izvođenje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energetskih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instalacija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izrađenim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energetskim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četvrti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 2014.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Postavljena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energetska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instalacija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Opremanje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pokrivanja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izrađenim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tehnološkim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projektom</w:t>
            </w:r>
          </w:p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četvrti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042833" w:rsidRPr="004D6977">
              <w:rPr>
                <w:noProof/>
                <w:lang w:val="sr-Latn-CS"/>
              </w:rPr>
              <w:t xml:space="preserve">  2014.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Instalirana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svim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lokacijama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uspostavljena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distribuciona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mreža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  <w:p w:rsidR="0004283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RATEL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Prestanak</w:t>
            </w:r>
            <w:r w:rsidR="00CC2CB5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rada</w:t>
            </w:r>
            <w:r w:rsidR="00CC2CB5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analognih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predajnika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početak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Planom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Prestanak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analognog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prelazak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A1688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7B22B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RATEL</w:t>
            </w:r>
          </w:p>
        </w:tc>
      </w:tr>
      <w:tr w:rsidR="0004283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1F425E">
            <w:pPr>
              <w:rPr>
                <w:bCs/>
                <w:noProof/>
                <w:lang w:val="sr-Latn-CS"/>
              </w:rPr>
            </w:pPr>
          </w:p>
          <w:p w:rsidR="0004283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Oslobađanje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spektra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koji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odgovara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digitalnoj</w:t>
            </w:r>
            <w:r w:rsidR="00042833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dividendi</w:t>
            </w:r>
          </w:p>
          <w:p w:rsidR="00042833" w:rsidRPr="004D6977" w:rsidRDefault="00042833" w:rsidP="001F425E">
            <w:pPr>
              <w:rPr>
                <w:bCs/>
                <w:noProof/>
                <w:lang w:val="sr-Latn-CS"/>
              </w:rPr>
            </w:pPr>
          </w:p>
          <w:p w:rsidR="00042833" w:rsidRPr="004D6977" w:rsidRDefault="00042833" w:rsidP="001F425E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usvojenim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fazama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najkasnije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  <w:p w:rsidR="00042833" w:rsidRPr="004D6977" w:rsidRDefault="0004283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Oslobođen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spektar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koji</w:t>
            </w: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odgovara</w:t>
            </w:r>
            <w:r w:rsidR="0004283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digitalnoj</w:t>
            </w: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dividendi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33" w:rsidRPr="004D6977" w:rsidRDefault="004343C7" w:rsidP="004343C7">
            <w:pPr>
              <w:rPr>
                <w:noProof/>
                <w:lang w:val="sr-Latn-CS"/>
              </w:rPr>
            </w:pPr>
            <w:r w:rsidRPr="004D6977">
              <w:rPr>
                <w:noProof/>
                <w:lang w:val="sr-Latn-CS"/>
              </w:rPr>
              <w:t xml:space="preserve">           </w:t>
            </w:r>
            <w:r w:rsidR="004D6977"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7" w:rsidRPr="004D6977" w:rsidRDefault="004D6977" w:rsidP="00885426">
            <w:pPr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RATEL</w:t>
            </w:r>
            <w:r w:rsidR="004343C7" w:rsidRPr="004D6977">
              <w:rPr>
                <w:rFonts w:eastAsia="Calibri"/>
                <w:noProof/>
                <w:lang w:val="sr-Latn-CS"/>
              </w:rPr>
              <w:t>,</w:t>
            </w:r>
          </w:p>
          <w:p w:rsidR="0004283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Korisnici</w:t>
            </w:r>
            <w:r w:rsidR="00042833" w:rsidRPr="004D6977">
              <w:rPr>
                <w:rFonts w:eastAsia="Calibri"/>
                <w:noProof/>
                <w:lang w:val="sr-Latn-CS"/>
              </w:rPr>
              <w:t xml:space="preserve"> </w:t>
            </w:r>
            <w:r>
              <w:rPr>
                <w:rFonts w:eastAsia="Calibri"/>
                <w:noProof/>
                <w:lang w:val="sr-Latn-CS"/>
              </w:rPr>
              <w:t>spektra</w:t>
            </w:r>
          </w:p>
        </w:tc>
      </w:tr>
      <w:tr w:rsidR="00773140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40" w:rsidRPr="004D6977" w:rsidRDefault="004D6977" w:rsidP="004343C7">
            <w:pPr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Izmena</w:t>
            </w:r>
            <w:r w:rsidR="00773140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Plana</w:t>
            </w:r>
            <w:r w:rsidR="00773140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namene</w:t>
            </w:r>
            <w:r w:rsidR="00773140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radio</w:t>
            </w:r>
            <w:r w:rsidR="00773140" w:rsidRPr="004D6977">
              <w:rPr>
                <w:bCs/>
                <w:noProof/>
                <w:lang w:val="sr-Latn-CS"/>
              </w:rPr>
              <w:t>-</w:t>
            </w:r>
            <w:r>
              <w:rPr>
                <w:bCs/>
                <w:noProof/>
                <w:lang w:val="sr-Latn-CS"/>
              </w:rPr>
              <w:t>frekvencijskih</w:t>
            </w:r>
            <w:r w:rsidR="00773140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opsega</w:t>
            </w:r>
            <w:r w:rsidR="00773140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koji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odgovara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digitalnoj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dividendi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tako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da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se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radio</w:t>
            </w:r>
            <w:r w:rsidR="004343C7" w:rsidRPr="004D6977">
              <w:rPr>
                <w:bCs/>
                <w:noProof/>
                <w:lang w:val="sr-Latn-CS"/>
              </w:rPr>
              <w:t>-</w:t>
            </w:r>
            <w:r>
              <w:rPr>
                <w:bCs/>
                <w:noProof/>
                <w:lang w:val="sr-Latn-CS"/>
              </w:rPr>
              <w:t>difuzna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služba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briše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iz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tog</w:t>
            </w:r>
            <w:r w:rsidR="004343C7" w:rsidRPr="004D6977">
              <w:rPr>
                <w:bCs/>
                <w:noProof/>
                <w:lang w:val="sr-Latn-CS"/>
              </w:rPr>
              <w:t xml:space="preserve"> </w:t>
            </w:r>
            <w:r>
              <w:rPr>
                <w:bCs/>
                <w:noProof/>
                <w:lang w:val="sr-Latn-CS"/>
              </w:rPr>
              <w:t>opsega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40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usvojenim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fazama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773140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najkasnije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  <w:p w:rsidR="00773140" w:rsidRPr="004D6977" w:rsidRDefault="00773140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40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Usvojene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izmene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namene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40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Vlada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40" w:rsidRPr="004D6977" w:rsidRDefault="004D6977" w:rsidP="00885426">
            <w:pPr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RATEL</w:t>
            </w:r>
            <w:r w:rsidR="00773140" w:rsidRPr="004D6977">
              <w:rPr>
                <w:rFonts w:eastAsia="Calibri"/>
                <w:noProof/>
                <w:lang w:val="sr-Latn-CS"/>
              </w:rPr>
              <w:t>,</w:t>
            </w:r>
            <w:r w:rsidR="00773140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MTT</w:t>
            </w:r>
          </w:p>
        </w:tc>
      </w:tr>
      <w:tr w:rsidR="00C77F0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Donošenje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akta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minimalnim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uslovima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izdavanje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pojedinačnih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dozvola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sprovedenom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postupku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javnog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nadmetanja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Planom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najkasnije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  <w:p w:rsidR="00C77F03" w:rsidRPr="004D6977" w:rsidRDefault="00C77F0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Donet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rFonts w:eastAsia="Calibri"/>
                <w:noProof/>
                <w:lang w:val="sr-Latn-CS"/>
              </w:rPr>
              <w:t>RATEL</w:t>
            </w:r>
          </w:p>
        </w:tc>
      </w:tr>
      <w:tr w:rsidR="00C77F0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1F425E">
            <w:pPr>
              <w:rPr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Odluka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dodeli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dividende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885426">
            <w:pPr>
              <w:jc w:val="center"/>
              <w:rPr>
                <w:noProof/>
                <w:lang w:val="sr-Latn-CS"/>
              </w:rPr>
            </w:pPr>
          </w:p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usvojenim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fazama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najkasnije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  <w:p w:rsidR="00C77F03" w:rsidRPr="004D6977" w:rsidRDefault="00C77F03" w:rsidP="00885426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885426">
            <w:pPr>
              <w:jc w:val="center"/>
              <w:rPr>
                <w:noProof/>
                <w:lang w:val="sr-Latn-CS"/>
              </w:rPr>
            </w:pPr>
            <w:r w:rsidRPr="004D6977">
              <w:rPr>
                <w:noProof/>
                <w:lang w:val="sr-Latn-CS"/>
              </w:rPr>
              <w:t>J</w:t>
            </w:r>
            <w:r w:rsidR="004D6977">
              <w:rPr>
                <w:noProof/>
                <w:lang w:val="sr-Latn-CS"/>
              </w:rPr>
              <w:t>avna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rasprava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o</w:t>
            </w:r>
            <w:r w:rsidRPr="004D6977">
              <w:rPr>
                <w:noProof/>
                <w:lang w:val="sr-Latn-CS"/>
              </w:rPr>
              <w:t xml:space="preserve"> </w:t>
            </w:r>
            <w:r w:rsidR="004D6977">
              <w:rPr>
                <w:noProof/>
                <w:lang w:val="sr-Latn-CS"/>
              </w:rPr>
              <w:t>dodeli</w:t>
            </w:r>
          </w:p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digitalne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dividende</w:t>
            </w:r>
            <w:r w:rsidR="00C77F03" w:rsidRPr="004D6977">
              <w:rPr>
                <w:noProof/>
                <w:lang w:val="sr-Latn-CS"/>
              </w:rPr>
              <w:t>,</w:t>
            </w:r>
          </w:p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doneta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odluka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dodeli</w:t>
            </w:r>
          </w:p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digitalne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dividende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A1688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Vlada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rFonts w:eastAsia="Calibri"/>
                <w:noProof/>
                <w:lang w:val="sr-Latn-CS"/>
              </w:rPr>
            </w:pPr>
          </w:p>
        </w:tc>
      </w:tr>
      <w:tr w:rsidR="00C77F0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Sprovođenje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javnog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nadmetanja</w:t>
            </w:r>
            <w:r w:rsidR="00C77F03" w:rsidRPr="004D6977">
              <w:rPr>
                <w:noProof/>
                <w:lang w:val="sr-Latn-CS"/>
              </w:rPr>
              <w:t xml:space="preserve"> 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dodelu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dividende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skladu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usvojenim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fazama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najkasnije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Raspisano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javno</w:t>
            </w:r>
          </w:p>
          <w:p w:rsidR="00C77F03" w:rsidRPr="004D6977" w:rsidRDefault="004D6977" w:rsidP="00885426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nadmetanje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dodeljena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dividenda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7B22B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RATEL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rFonts w:eastAsia="Calibri"/>
                <w:noProof/>
                <w:lang w:val="sr-Latn-CS"/>
              </w:rPr>
            </w:pPr>
          </w:p>
        </w:tc>
      </w:tr>
      <w:tr w:rsidR="00C77F03" w:rsidRPr="004D6977" w:rsidTr="000E41D3">
        <w:trPr>
          <w:trHeight w:val="5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F03" w:rsidRPr="004D6977" w:rsidRDefault="00C77F03" w:rsidP="000B2DDA">
            <w:pPr>
              <w:rPr>
                <w:b/>
                <w:noProof/>
                <w:lang w:val="sr-Latn-CS"/>
              </w:rPr>
            </w:pPr>
            <w:r w:rsidRPr="004D6977">
              <w:rPr>
                <w:b/>
                <w:noProof/>
                <w:lang w:val="sr-Latn-CS"/>
              </w:rPr>
              <w:t xml:space="preserve">3. </w:t>
            </w:r>
            <w:r w:rsidR="004D6977">
              <w:rPr>
                <w:b/>
                <w:noProof/>
                <w:lang w:val="sr-Latn-CS"/>
              </w:rPr>
              <w:t>Ekonomska</w:t>
            </w:r>
            <w:r w:rsidRPr="004D6977">
              <w:rPr>
                <w:b/>
                <w:noProof/>
                <w:lang w:val="sr-Latn-CS"/>
              </w:rPr>
              <w:t xml:space="preserve"> </w:t>
            </w:r>
            <w:r w:rsidR="004D6977">
              <w:rPr>
                <w:b/>
                <w:noProof/>
                <w:lang w:val="sr-Latn-CS"/>
              </w:rPr>
              <w:t>pitanja</w:t>
            </w:r>
          </w:p>
        </w:tc>
      </w:tr>
      <w:tr w:rsidR="00C77F03" w:rsidRPr="004D6977" w:rsidTr="000E41D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poslovnog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modela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ETV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koji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odnosi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digitalizacije</w:t>
            </w:r>
          </w:p>
          <w:p w:rsidR="00C77F03" w:rsidRPr="004D6977" w:rsidRDefault="00C77F03" w:rsidP="00010213">
            <w:pPr>
              <w:rPr>
                <w:bCs/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7B22B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Izrađen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poslovni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7B22B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  <w:p w:rsidR="00C77F03" w:rsidRPr="004D6977" w:rsidRDefault="00C77F03" w:rsidP="0057316B">
            <w:pPr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0E41D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usvajanje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finansijske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konstrukcije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realizaciju</w:t>
            </w:r>
            <w:r w:rsidR="00C77F03" w:rsidRPr="004D6977">
              <w:rPr>
                <w:noProof/>
                <w:lang w:val="sr-Latn-CS"/>
              </w:rPr>
              <w:t xml:space="preserve">  </w:t>
            </w:r>
            <w:r>
              <w:rPr>
                <w:noProof/>
                <w:lang w:val="sr-Latn-CS"/>
              </w:rPr>
              <w:t>mreže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DA2C91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  <w:r w:rsidR="00DA2C91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digitalnog</w:t>
            </w:r>
            <w:r w:rsidR="00DA2C91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TV</w:t>
            </w:r>
            <w:r w:rsidR="00DA2C91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signala</w:t>
            </w:r>
          </w:p>
          <w:p w:rsidR="00C77F03" w:rsidRPr="004D6977" w:rsidRDefault="00C77F03" w:rsidP="0057316B">
            <w:pPr>
              <w:rPr>
                <w:bCs/>
                <w:noProof/>
                <w:lang w:val="sr-Latn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C77F03" w:rsidRPr="004D6977">
              <w:rPr>
                <w:noProof/>
                <w:lang w:val="sr-Latn-CS"/>
              </w:rPr>
              <w:t xml:space="preserve"> 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 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Postojanje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ETV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</w:tr>
      <w:tr w:rsidR="00C77F03" w:rsidRPr="004D6977" w:rsidTr="000E41D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rPr>
                <w:bCs/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predloga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šeme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pomoći</w:t>
            </w:r>
            <w:r w:rsidR="00C77F03" w:rsidRPr="004D6977">
              <w:rPr>
                <w:noProof/>
                <w:lang w:val="sr-Latn-CS"/>
              </w:rPr>
              <w:t xml:space="preserve"> 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ugrožene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građane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cilju</w:t>
            </w:r>
            <w:r w:rsidR="003E7B0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podrške</w:t>
            </w:r>
            <w:r w:rsidR="003E7B0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</w:t>
            </w:r>
            <w:r w:rsidR="003E7B0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lastRenderedPageBreak/>
              <w:t>prelasku</w:t>
            </w:r>
            <w:r w:rsidR="003E7B0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3E7B0A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5E4A2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treći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  <w:p w:rsidR="00C77F03" w:rsidRPr="004D6977" w:rsidRDefault="00C77F03" w:rsidP="001F425E">
            <w:pPr>
              <w:rPr>
                <w:noProof/>
                <w:color w:val="FF0000"/>
                <w:lang w:val="sr-Latn-CS"/>
              </w:rPr>
            </w:pPr>
          </w:p>
          <w:p w:rsidR="00C77F03" w:rsidRPr="004D6977" w:rsidRDefault="00C77F03" w:rsidP="0057316B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4E777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Izrađen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predlog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03" w:rsidRPr="004D6977" w:rsidRDefault="004D6977" w:rsidP="007B22B9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Tim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socijalno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uključivanje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lastRenderedPageBreak/>
              <w:t>smanjenje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siromaštva</w:t>
            </w:r>
          </w:p>
          <w:p w:rsidR="00C77F03" w:rsidRPr="004D6977" w:rsidRDefault="00C77F03" w:rsidP="0057316B">
            <w:pPr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0E41D3">
        <w:trPr>
          <w:cantSplit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03" w:rsidRPr="004D6977" w:rsidRDefault="004D6977" w:rsidP="00A51B82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Usvajanje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šeme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pomoći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03" w:rsidRPr="004D6977" w:rsidRDefault="004D6977" w:rsidP="005E4A22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četvrti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  <w:p w:rsidR="00C77F03" w:rsidRPr="004D6977" w:rsidRDefault="00C77F03" w:rsidP="005E4A22">
            <w:pPr>
              <w:rPr>
                <w:noProof/>
                <w:lang w:val="sr-Latn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03" w:rsidRPr="004D6977" w:rsidRDefault="004D6977" w:rsidP="004E777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Usvojena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šema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Vlada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RS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F03" w:rsidRPr="004D6977" w:rsidRDefault="00C77F03" w:rsidP="0057316B">
            <w:pPr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57316B">
        <w:trPr>
          <w:trHeight w:val="605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C77F03" w:rsidRPr="004D6977" w:rsidRDefault="00C77F03" w:rsidP="00426FBF">
            <w:pPr>
              <w:rPr>
                <w:b/>
                <w:noProof/>
                <w:lang w:val="sr-Latn-CS"/>
              </w:rPr>
            </w:pPr>
            <w:r w:rsidRPr="004D6977">
              <w:rPr>
                <w:b/>
                <w:noProof/>
                <w:lang w:val="sr-Latn-CS"/>
              </w:rPr>
              <w:t xml:space="preserve">4. </w:t>
            </w:r>
            <w:r w:rsidR="004D6977">
              <w:rPr>
                <w:b/>
                <w:noProof/>
                <w:lang w:val="sr-Latn-CS"/>
              </w:rPr>
              <w:t>Informisanje</w:t>
            </w:r>
            <w:r w:rsidRPr="004D6977">
              <w:rPr>
                <w:b/>
                <w:noProof/>
                <w:lang w:val="sr-Latn-CS"/>
              </w:rPr>
              <w:t xml:space="preserve"> </w:t>
            </w:r>
            <w:r w:rsidR="004D6977">
              <w:rPr>
                <w:b/>
                <w:noProof/>
                <w:lang w:val="sr-Latn-CS"/>
              </w:rPr>
              <w:t>i</w:t>
            </w:r>
            <w:r w:rsidRPr="004D6977">
              <w:rPr>
                <w:b/>
                <w:noProof/>
                <w:lang w:val="sr-Latn-CS"/>
              </w:rPr>
              <w:t xml:space="preserve"> </w:t>
            </w:r>
            <w:r w:rsidR="004D6977">
              <w:rPr>
                <w:b/>
                <w:noProof/>
                <w:lang w:val="sr-Latn-CS"/>
              </w:rPr>
              <w:t>promocija</w:t>
            </w:r>
          </w:p>
        </w:tc>
      </w:tr>
      <w:tr w:rsidR="00C77F03" w:rsidRPr="004D6977" w:rsidTr="0057316B">
        <w:tc>
          <w:tcPr>
            <w:tcW w:w="4082" w:type="dxa"/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plakata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brošura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informacijama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značajnim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digitalizacije</w:t>
            </w:r>
          </w:p>
          <w:p w:rsidR="00C77F03" w:rsidRPr="004D6977" w:rsidRDefault="00C77F03" w:rsidP="0057316B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Postojanje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plakata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brošura</w:t>
            </w:r>
          </w:p>
        </w:tc>
        <w:tc>
          <w:tcPr>
            <w:tcW w:w="198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vAlign w:val="center"/>
          </w:tcPr>
          <w:p w:rsidR="00C77F03" w:rsidRPr="004D6977" w:rsidRDefault="00C77F03" w:rsidP="0057316B">
            <w:pPr>
              <w:ind w:right="-245"/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57316B">
        <w:tc>
          <w:tcPr>
            <w:tcW w:w="4082" w:type="dxa"/>
            <w:vAlign w:val="center"/>
          </w:tcPr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Promocija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primene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žiga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garancije</w:t>
            </w:r>
            <w:r w:rsidR="00C77F03" w:rsidRPr="004D6977">
              <w:rPr>
                <w:noProof/>
                <w:lang w:val="sr-Latn-CS"/>
              </w:rPr>
              <w:t xml:space="preserve"> „digital TV</w:t>
            </w:r>
            <w:r w:rsidR="00D47AA6" w:rsidRPr="004D6977">
              <w:rPr>
                <w:noProof/>
                <w:lang w:val="sr-Latn-CS"/>
              </w:rPr>
              <w:t>ˮ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prvi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vAlign w:val="center"/>
          </w:tcPr>
          <w:p w:rsidR="00C77F03" w:rsidRPr="004D6977" w:rsidRDefault="00C77F03" w:rsidP="00162F75">
            <w:pPr>
              <w:rPr>
                <w:noProof/>
                <w:lang w:val="sr-Latn-CS"/>
              </w:rPr>
            </w:pPr>
          </w:p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Početak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primene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žiga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garancije</w:t>
            </w:r>
            <w:r w:rsidR="00C77F03" w:rsidRPr="004D6977">
              <w:rPr>
                <w:noProof/>
                <w:lang w:val="sr-Latn-CS"/>
              </w:rPr>
              <w:t xml:space="preserve"> „digital TV“ </w:t>
            </w:r>
          </w:p>
        </w:tc>
        <w:tc>
          <w:tcPr>
            <w:tcW w:w="198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vAlign w:val="center"/>
          </w:tcPr>
          <w:p w:rsidR="00C77F03" w:rsidRPr="004D6977" w:rsidRDefault="00C77F03" w:rsidP="0057316B">
            <w:pPr>
              <w:ind w:right="-245"/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57316B">
        <w:tc>
          <w:tcPr>
            <w:tcW w:w="4082" w:type="dxa"/>
            <w:vAlign w:val="center"/>
          </w:tcPr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Izrada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informativno</w:t>
            </w:r>
            <w:r w:rsidR="00C77F03" w:rsidRPr="004D6977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promotivne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kampanje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prelasku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analognog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TV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programa</w:t>
            </w:r>
          </w:p>
          <w:p w:rsidR="00C77F03" w:rsidRPr="004D6977" w:rsidRDefault="00C77F03" w:rsidP="001F425E">
            <w:pPr>
              <w:rPr>
                <w:noProof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drugi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kvartal</w:t>
            </w:r>
            <w:r w:rsidR="00C77F03" w:rsidRPr="004D6977">
              <w:rPr>
                <w:noProof/>
                <w:lang w:val="sr-Latn-CS"/>
              </w:rPr>
              <w:t xml:space="preserve"> 2013.</w:t>
            </w:r>
          </w:p>
        </w:tc>
        <w:tc>
          <w:tcPr>
            <w:tcW w:w="2977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Utvrđen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</w:t>
            </w:r>
          </w:p>
        </w:tc>
        <w:tc>
          <w:tcPr>
            <w:tcW w:w="198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vAlign w:val="center"/>
          </w:tcPr>
          <w:p w:rsidR="00C77F03" w:rsidRPr="004D6977" w:rsidRDefault="00C77F03" w:rsidP="0057316B">
            <w:pPr>
              <w:ind w:right="-245"/>
              <w:jc w:val="center"/>
              <w:rPr>
                <w:noProof/>
                <w:lang w:val="sr-Latn-CS"/>
              </w:rPr>
            </w:pPr>
          </w:p>
        </w:tc>
      </w:tr>
      <w:tr w:rsidR="00C77F03" w:rsidRPr="004D6977" w:rsidTr="0057316B">
        <w:tc>
          <w:tcPr>
            <w:tcW w:w="4082" w:type="dxa"/>
            <w:vAlign w:val="center"/>
          </w:tcPr>
          <w:p w:rsidR="00C77F03" w:rsidRPr="004D6977" w:rsidRDefault="004D6977" w:rsidP="001F425E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Promotivna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kampanja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digitalizacije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televizije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okončanja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procesa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prelaska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digitalno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emitovanje</w:t>
            </w:r>
          </w:p>
        </w:tc>
        <w:tc>
          <w:tcPr>
            <w:tcW w:w="2977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Promotivna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kampanja</w:t>
            </w:r>
          </w:p>
        </w:tc>
        <w:tc>
          <w:tcPr>
            <w:tcW w:w="1985" w:type="dxa"/>
            <w:vAlign w:val="center"/>
          </w:tcPr>
          <w:p w:rsidR="00C77F03" w:rsidRPr="004D6977" w:rsidRDefault="004D6977" w:rsidP="0057316B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Javni</w:t>
            </w:r>
            <w:r w:rsidR="00C77F03" w:rsidRPr="004D697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servis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MTT</w:t>
            </w:r>
          </w:p>
        </w:tc>
        <w:tc>
          <w:tcPr>
            <w:tcW w:w="2350" w:type="dxa"/>
            <w:vAlign w:val="center"/>
          </w:tcPr>
          <w:p w:rsidR="00C77F03" w:rsidRPr="004D6977" w:rsidRDefault="004D6977" w:rsidP="0057316B">
            <w:pPr>
              <w:ind w:right="-245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RRA</w:t>
            </w:r>
            <w:r w:rsidR="00C77F03" w:rsidRPr="004D6977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emiteri</w:t>
            </w:r>
          </w:p>
        </w:tc>
      </w:tr>
    </w:tbl>
    <w:p w:rsidR="00D452E8" w:rsidRPr="004D6977" w:rsidRDefault="00D452E8" w:rsidP="00740F19">
      <w:pPr>
        <w:rPr>
          <w:noProof/>
          <w:lang w:val="sr-Latn-CS"/>
        </w:rPr>
      </w:pPr>
    </w:p>
    <w:p w:rsidR="00A51B82" w:rsidRPr="004D6977" w:rsidRDefault="00A51B82">
      <w:pPr>
        <w:rPr>
          <w:noProof/>
          <w:lang w:val="sr-Latn-CS"/>
        </w:rPr>
      </w:pPr>
      <w:r w:rsidRPr="004D6977">
        <w:rPr>
          <w:noProof/>
          <w:lang w:val="sr-Latn-CS"/>
        </w:rPr>
        <w:lastRenderedPageBreak/>
        <w:br w:type="page"/>
      </w:r>
    </w:p>
    <w:p w:rsidR="00A51B82" w:rsidRPr="004D6977" w:rsidRDefault="004D6977" w:rsidP="00740F19">
      <w:pPr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KORIŠĆENE</w:t>
      </w:r>
      <w:r w:rsidR="00A51B82" w:rsidRPr="004D697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SKRAĆENICE</w:t>
      </w:r>
      <w:r w:rsidR="00A51B82" w:rsidRPr="004D6977">
        <w:rPr>
          <w:b/>
          <w:noProof/>
          <w:lang w:val="sr-Latn-CS"/>
        </w:rPr>
        <w:t>:</w:t>
      </w:r>
    </w:p>
    <w:p w:rsidR="00A51B82" w:rsidRPr="004D6977" w:rsidRDefault="00A51B82" w:rsidP="00740F19">
      <w:pPr>
        <w:rPr>
          <w:noProof/>
          <w:lang w:val="sr-Latn-CS"/>
        </w:rPr>
      </w:pP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ANEM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Asocijacija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nezavisnih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medija</w:t>
      </w: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ETV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Javno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495333" w:rsidRPr="004D6977">
        <w:rPr>
          <w:noProof/>
          <w:lang w:val="sr-Latn-CS"/>
        </w:rPr>
        <w:t xml:space="preserve"> </w:t>
      </w:r>
      <w:r w:rsidR="001839A4" w:rsidRPr="004D6977">
        <w:rPr>
          <w:noProof/>
          <w:lang w:val="sr-Latn-CS"/>
        </w:rPr>
        <w:t>„</w:t>
      </w:r>
      <w:r>
        <w:rPr>
          <w:noProof/>
          <w:lang w:val="sr-Latn-CS"/>
        </w:rPr>
        <w:t>Emisiona</w:t>
      </w:r>
      <w:r w:rsidR="00495333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tehnika</w:t>
      </w:r>
      <w:r w:rsidR="00495333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5333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495333" w:rsidRPr="004D6977">
        <w:rPr>
          <w:noProof/>
          <w:lang w:val="sr-Latn-CS"/>
        </w:rPr>
        <w:t>ˮ</w:t>
      </w:r>
    </w:p>
    <w:p w:rsidR="00656086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MKI</w:t>
      </w:r>
      <w:r w:rsidR="00656086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Ministarstvo</w:t>
      </w:r>
      <w:r w:rsidR="00656086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656086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6086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MO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Ministarstvo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MTT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Ministarstvo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spoljne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MUP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Ministarstvo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</w:p>
    <w:p w:rsidR="00932904" w:rsidRPr="004D6977" w:rsidRDefault="004D6977" w:rsidP="00A51B82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RATEL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Republička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</w:p>
    <w:p w:rsidR="00A51B82" w:rsidRPr="004D6977" w:rsidRDefault="004D6977" w:rsidP="008966B6">
      <w:pPr>
        <w:spacing w:line="360" w:lineRule="auto"/>
        <w:rPr>
          <w:noProof/>
          <w:lang w:val="sr-Latn-CS"/>
        </w:rPr>
      </w:pPr>
      <w:r>
        <w:rPr>
          <w:noProof/>
          <w:lang w:val="sr-Latn-CS"/>
        </w:rPr>
        <w:t>RRA</w:t>
      </w:r>
      <w:r w:rsidR="00932904" w:rsidRPr="004D6977">
        <w:rPr>
          <w:noProof/>
          <w:lang w:val="sr-Latn-CS"/>
        </w:rPr>
        <w:t xml:space="preserve"> – </w:t>
      </w:r>
      <w:r>
        <w:rPr>
          <w:noProof/>
          <w:lang w:val="sr-Latn-CS"/>
        </w:rPr>
        <w:t>Republička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radiodifuzna</w:t>
      </w:r>
      <w:r w:rsidR="00932904" w:rsidRPr="004D697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</w:p>
    <w:sectPr w:rsidR="00A51B82" w:rsidRPr="004D6977" w:rsidSect="007A4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E7" w:rsidRDefault="00B61EE7" w:rsidP="007A4042">
      <w:r>
        <w:separator/>
      </w:r>
    </w:p>
  </w:endnote>
  <w:endnote w:type="continuationSeparator" w:id="0">
    <w:p w:rsidR="00B61EE7" w:rsidRDefault="00B61EE7" w:rsidP="007A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36" w:rsidRDefault="00746CB4" w:rsidP="00533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726">
      <w:rPr>
        <w:rStyle w:val="PageNumber"/>
        <w:noProof/>
      </w:rPr>
      <w:t>10</w:t>
    </w:r>
    <w:r>
      <w:rPr>
        <w:rStyle w:val="PageNumber"/>
      </w:rPr>
      <w:fldChar w:fldCharType="end"/>
    </w:r>
  </w:p>
  <w:p w:rsidR="003A1B36" w:rsidRDefault="003A1B36" w:rsidP="007A40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36" w:rsidRPr="004D6977" w:rsidRDefault="00746CB4" w:rsidP="0053306F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4D6977">
      <w:rPr>
        <w:rStyle w:val="PageNumber"/>
        <w:noProof/>
        <w:lang w:val="sr-Latn-CS"/>
      </w:rPr>
      <w:fldChar w:fldCharType="begin"/>
    </w:r>
    <w:r w:rsidR="003A1B36" w:rsidRPr="004D6977">
      <w:rPr>
        <w:rStyle w:val="PageNumber"/>
        <w:noProof/>
        <w:lang w:val="sr-Latn-CS"/>
      </w:rPr>
      <w:instrText xml:space="preserve">PAGE  </w:instrText>
    </w:r>
    <w:r w:rsidRPr="004D6977">
      <w:rPr>
        <w:rStyle w:val="PageNumber"/>
        <w:noProof/>
        <w:lang w:val="sr-Latn-CS"/>
      </w:rPr>
      <w:fldChar w:fldCharType="separate"/>
    </w:r>
    <w:r w:rsidR="004D6977">
      <w:rPr>
        <w:rStyle w:val="PageNumber"/>
        <w:noProof/>
        <w:lang w:val="sr-Latn-CS"/>
      </w:rPr>
      <w:t>14</w:t>
    </w:r>
    <w:r w:rsidRPr="004D6977">
      <w:rPr>
        <w:rStyle w:val="PageNumber"/>
        <w:noProof/>
        <w:lang w:val="sr-Latn-CS"/>
      </w:rPr>
      <w:fldChar w:fldCharType="end"/>
    </w:r>
  </w:p>
  <w:p w:rsidR="003A1B36" w:rsidRPr="004D6977" w:rsidRDefault="003A1B36" w:rsidP="007A4042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77" w:rsidRDefault="004D6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E7" w:rsidRDefault="00B61EE7" w:rsidP="007A4042"/>
    <w:p w:rsidR="00B61EE7" w:rsidRDefault="00B61EE7" w:rsidP="007A4042">
      <w:r>
        <w:separator/>
      </w:r>
    </w:p>
  </w:footnote>
  <w:footnote w:type="continuationSeparator" w:id="0">
    <w:p w:rsidR="00B61EE7" w:rsidRDefault="00B61EE7" w:rsidP="007A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77" w:rsidRDefault="004D6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77" w:rsidRDefault="004D69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0" w:rsidRPr="00A1688B" w:rsidRDefault="00D90800" w:rsidP="00D90800">
    <w:pPr>
      <w:pStyle w:val="Header"/>
      <w:jc w:val="right"/>
      <w:rPr>
        <w:b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8B1"/>
    <w:multiLevelType w:val="hybridMultilevel"/>
    <w:tmpl w:val="D53054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F78"/>
    <w:multiLevelType w:val="hybridMultilevel"/>
    <w:tmpl w:val="C5947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BA1B3D"/>
    <w:multiLevelType w:val="hybridMultilevel"/>
    <w:tmpl w:val="17A0A610"/>
    <w:lvl w:ilvl="0" w:tplc="C07CE610">
      <w:start w:val="3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0" w:hanging="360"/>
      </w:pPr>
    </w:lvl>
    <w:lvl w:ilvl="2" w:tplc="0409001B" w:tentative="1">
      <w:start w:val="1"/>
      <w:numFmt w:val="lowerRoman"/>
      <w:lvlText w:val="%3."/>
      <w:lvlJc w:val="right"/>
      <w:pPr>
        <w:ind w:left="7440" w:hanging="180"/>
      </w:pPr>
    </w:lvl>
    <w:lvl w:ilvl="3" w:tplc="0409000F" w:tentative="1">
      <w:start w:val="1"/>
      <w:numFmt w:val="decimal"/>
      <w:lvlText w:val="%4."/>
      <w:lvlJc w:val="left"/>
      <w:pPr>
        <w:ind w:left="8160" w:hanging="360"/>
      </w:pPr>
    </w:lvl>
    <w:lvl w:ilvl="4" w:tplc="04090019" w:tentative="1">
      <w:start w:val="1"/>
      <w:numFmt w:val="lowerLetter"/>
      <w:lvlText w:val="%5."/>
      <w:lvlJc w:val="left"/>
      <w:pPr>
        <w:ind w:left="8880" w:hanging="360"/>
      </w:pPr>
    </w:lvl>
    <w:lvl w:ilvl="5" w:tplc="0409001B" w:tentative="1">
      <w:start w:val="1"/>
      <w:numFmt w:val="lowerRoman"/>
      <w:lvlText w:val="%6."/>
      <w:lvlJc w:val="right"/>
      <w:pPr>
        <w:ind w:left="9600" w:hanging="180"/>
      </w:pPr>
    </w:lvl>
    <w:lvl w:ilvl="6" w:tplc="0409000F" w:tentative="1">
      <w:start w:val="1"/>
      <w:numFmt w:val="decimal"/>
      <w:lvlText w:val="%7."/>
      <w:lvlJc w:val="left"/>
      <w:pPr>
        <w:ind w:left="10320" w:hanging="360"/>
      </w:pPr>
    </w:lvl>
    <w:lvl w:ilvl="7" w:tplc="04090019" w:tentative="1">
      <w:start w:val="1"/>
      <w:numFmt w:val="lowerLetter"/>
      <w:lvlText w:val="%8."/>
      <w:lvlJc w:val="left"/>
      <w:pPr>
        <w:ind w:left="11040" w:hanging="360"/>
      </w:pPr>
    </w:lvl>
    <w:lvl w:ilvl="8" w:tplc="040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3">
    <w:nsid w:val="680A0ACC"/>
    <w:multiLevelType w:val="hybridMultilevel"/>
    <w:tmpl w:val="AAC6F9C6"/>
    <w:lvl w:ilvl="0" w:tplc="7A382862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0" w:hanging="360"/>
      </w:pPr>
    </w:lvl>
    <w:lvl w:ilvl="2" w:tplc="0409001B" w:tentative="1">
      <w:start w:val="1"/>
      <w:numFmt w:val="lowerRoman"/>
      <w:lvlText w:val="%3."/>
      <w:lvlJc w:val="right"/>
      <w:pPr>
        <w:ind w:left="7440" w:hanging="180"/>
      </w:pPr>
    </w:lvl>
    <w:lvl w:ilvl="3" w:tplc="0409000F" w:tentative="1">
      <w:start w:val="1"/>
      <w:numFmt w:val="decimal"/>
      <w:lvlText w:val="%4."/>
      <w:lvlJc w:val="left"/>
      <w:pPr>
        <w:ind w:left="8160" w:hanging="360"/>
      </w:pPr>
    </w:lvl>
    <w:lvl w:ilvl="4" w:tplc="04090019" w:tentative="1">
      <w:start w:val="1"/>
      <w:numFmt w:val="lowerLetter"/>
      <w:lvlText w:val="%5."/>
      <w:lvlJc w:val="left"/>
      <w:pPr>
        <w:ind w:left="8880" w:hanging="360"/>
      </w:pPr>
    </w:lvl>
    <w:lvl w:ilvl="5" w:tplc="0409001B" w:tentative="1">
      <w:start w:val="1"/>
      <w:numFmt w:val="lowerRoman"/>
      <w:lvlText w:val="%6."/>
      <w:lvlJc w:val="right"/>
      <w:pPr>
        <w:ind w:left="9600" w:hanging="180"/>
      </w:pPr>
    </w:lvl>
    <w:lvl w:ilvl="6" w:tplc="0409000F" w:tentative="1">
      <w:start w:val="1"/>
      <w:numFmt w:val="decimal"/>
      <w:lvlText w:val="%7."/>
      <w:lvlJc w:val="left"/>
      <w:pPr>
        <w:ind w:left="10320" w:hanging="360"/>
      </w:pPr>
    </w:lvl>
    <w:lvl w:ilvl="7" w:tplc="04090019" w:tentative="1">
      <w:start w:val="1"/>
      <w:numFmt w:val="lowerLetter"/>
      <w:lvlText w:val="%8."/>
      <w:lvlJc w:val="left"/>
      <w:pPr>
        <w:ind w:left="11040" w:hanging="360"/>
      </w:pPr>
    </w:lvl>
    <w:lvl w:ilvl="8" w:tplc="0409001B" w:tentative="1">
      <w:start w:val="1"/>
      <w:numFmt w:val="lowerRoman"/>
      <w:lvlText w:val="%9."/>
      <w:lvlJc w:val="right"/>
      <w:pPr>
        <w:ind w:left="11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BA3"/>
    <w:rsid w:val="000039D6"/>
    <w:rsid w:val="00010213"/>
    <w:rsid w:val="000140D1"/>
    <w:rsid w:val="00014B72"/>
    <w:rsid w:val="00017195"/>
    <w:rsid w:val="000268B3"/>
    <w:rsid w:val="0002764C"/>
    <w:rsid w:val="00036AF7"/>
    <w:rsid w:val="00042833"/>
    <w:rsid w:val="0004401C"/>
    <w:rsid w:val="00044E9F"/>
    <w:rsid w:val="00050D33"/>
    <w:rsid w:val="000620A0"/>
    <w:rsid w:val="000628C4"/>
    <w:rsid w:val="000632ED"/>
    <w:rsid w:val="000815CF"/>
    <w:rsid w:val="00082684"/>
    <w:rsid w:val="00087669"/>
    <w:rsid w:val="00093EB8"/>
    <w:rsid w:val="000A3F2F"/>
    <w:rsid w:val="000B2DDA"/>
    <w:rsid w:val="000C22B3"/>
    <w:rsid w:val="000C29FC"/>
    <w:rsid w:val="000C32B0"/>
    <w:rsid w:val="000C655B"/>
    <w:rsid w:val="000D67B4"/>
    <w:rsid w:val="000E22F7"/>
    <w:rsid w:val="000E41D3"/>
    <w:rsid w:val="000E4395"/>
    <w:rsid w:val="000E5152"/>
    <w:rsid w:val="000E60DC"/>
    <w:rsid w:val="0011049B"/>
    <w:rsid w:val="001106D8"/>
    <w:rsid w:val="00112D89"/>
    <w:rsid w:val="001207EC"/>
    <w:rsid w:val="00124B70"/>
    <w:rsid w:val="001273FF"/>
    <w:rsid w:val="001319ED"/>
    <w:rsid w:val="00131E2B"/>
    <w:rsid w:val="00136C1E"/>
    <w:rsid w:val="00144DD6"/>
    <w:rsid w:val="00145D75"/>
    <w:rsid w:val="00146804"/>
    <w:rsid w:val="001536FC"/>
    <w:rsid w:val="00156C5E"/>
    <w:rsid w:val="00157A26"/>
    <w:rsid w:val="0016347C"/>
    <w:rsid w:val="00165D83"/>
    <w:rsid w:val="00166B9F"/>
    <w:rsid w:val="001679E2"/>
    <w:rsid w:val="0017789A"/>
    <w:rsid w:val="001825B1"/>
    <w:rsid w:val="00182D10"/>
    <w:rsid w:val="001839A4"/>
    <w:rsid w:val="00191AF6"/>
    <w:rsid w:val="001972FD"/>
    <w:rsid w:val="001A291E"/>
    <w:rsid w:val="001A458F"/>
    <w:rsid w:val="001A5D5A"/>
    <w:rsid w:val="001B6CB9"/>
    <w:rsid w:val="001D379A"/>
    <w:rsid w:val="001E004B"/>
    <w:rsid w:val="001E0CD9"/>
    <w:rsid w:val="001F5607"/>
    <w:rsid w:val="00202B8C"/>
    <w:rsid w:val="00204BF3"/>
    <w:rsid w:val="00206F68"/>
    <w:rsid w:val="00212CA2"/>
    <w:rsid w:val="00214800"/>
    <w:rsid w:val="002220C8"/>
    <w:rsid w:val="0022353E"/>
    <w:rsid w:val="0022650E"/>
    <w:rsid w:val="0022718F"/>
    <w:rsid w:val="00230C64"/>
    <w:rsid w:val="0023110F"/>
    <w:rsid w:val="002409BA"/>
    <w:rsid w:val="00247E13"/>
    <w:rsid w:val="0025632C"/>
    <w:rsid w:val="00257E0E"/>
    <w:rsid w:val="00263304"/>
    <w:rsid w:val="00274770"/>
    <w:rsid w:val="00277BF9"/>
    <w:rsid w:val="00282D1A"/>
    <w:rsid w:val="00286DF9"/>
    <w:rsid w:val="002A4A81"/>
    <w:rsid w:val="002B05BC"/>
    <w:rsid w:val="002B2306"/>
    <w:rsid w:val="002B3D13"/>
    <w:rsid w:val="002C4837"/>
    <w:rsid w:val="002C5281"/>
    <w:rsid w:val="002E0BF8"/>
    <w:rsid w:val="002E1B5B"/>
    <w:rsid w:val="002F7A9A"/>
    <w:rsid w:val="00302A72"/>
    <w:rsid w:val="0030362F"/>
    <w:rsid w:val="003130DD"/>
    <w:rsid w:val="00315208"/>
    <w:rsid w:val="00315C2D"/>
    <w:rsid w:val="003266AA"/>
    <w:rsid w:val="003361E1"/>
    <w:rsid w:val="00341D2D"/>
    <w:rsid w:val="003566E4"/>
    <w:rsid w:val="00364CE7"/>
    <w:rsid w:val="003824E0"/>
    <w:rsid w:val="00383009"/>
    <w:rsid w:val="003852AD"/>
    <w:rsid w:val="003915A1"/>
    <w:rsid w:val="0039784D"/>
    <w:rsid w:val="003A1B36"/>
    <w:rsid w:val="003A43D5"/>
    <w:rsid w:val="003C3540"/>
    <w:rsid w:val="003C4A4B"/>
    <w:rsid w:val="003C5045"/>
    <w:rsid w:val="003C678B"/>
    <w:rsid w:val="003D3B25"/>
    <w:rsid w:val="003D5951"/>
    <w:rsid w:val="003D7881"/>
    <w:rsid w:val="003E0D49"/>
    <w:rsid w:val="003E2AC2"/>
    <w:rsid w:val="003E5465"/>
    <w:rsid w:val="003E7B0A"/>
    <w:rsid w:val="003F3AD0"/>
    <w:rsid w:val="003F4CA2"/>
    <w:rsid w:val="00404205"/>
    <w:rsid w:val="00412821"/>
    <w:rsid w:val="00412CBC"/>
    <w:rsid w:val="00412FE2"/>
    <w:rsid w:val="00426FBF"/>
    <w:rsid w:val="004343C7"/>
    <w:rsid w:val="004473F3"/>
    <w:rsid w:val="0046375F"/>
    <w:rsid w:val="00464759"/>
    <w:rsid w:val="004749A3"/>
    <w:rsid w:val="0047580B"/>
    <w:rsid w:val="004851D2"/>
    <w:rsid w:val="00495333"/>
    <w:rsid w:val="004A3370"/>
    <w:rsid w:val="004A6663"/>
    <w:rsid w:val="004A7F13"/>
    <w:rsid w:val="004B1045"/>
    <w:rsid w:val="004B116F"/>
    <w:rsid w:val="004B1A0D"/>
    <w:rsid w:val="004C40B3"/>
    <w:rsid w:val="004C6100"/>
    <w:rsid w:val="004D49DD"/>
    <w:rsid w:val="004D6977"/>
    <w:rsid w:val="004D7A10"/>
    <w:rsid w:val="004E2B08"/>
    <w:rsid w:val="004E7778"/>
    <w:rsid w:val="00500DDA"/>
    <w:rsid w:val="00505376"/>
    <w:rsid w:val="005106C9"/>
    <w:rsid w:val="00511030"/>
    <w:rsid w:val="0051784D"/>
    <w:rsid w:val="00517E61"/>
    <w:rsid w:val="00523596"/>
    <w:rsid w:val="005255AF"/>
    <w:rsid w:val="00525CBB"/>
    <w:rsid w:val="00530A24"/>
    <w:rsid w:val="0053306F"/>
    <w:rsid w:val="0055570C"/>
    <w:rsid w:val="00556A2E"/>
    <w:rsid w:val="00566C6E"/>
    <w:rsid w:val="005713E9"/>
    <w:rsid w:val="0057316B"/>
    <w:rsid w:val="00576BE7"/>
    <w:rsid w:val="00580808"/>
    <w:rsid w:val="00581222"/>
    <w:rsid w:val="00581B46"/>
    <w:rsid w:val="00587D03"/>
    <w:rsid w:val="00592210"/>
    <w:rsid w:val="00593759"/>
    <w:rsid w:val="005937FB"/>
    <w:rsid w:val="00593CC0"/>
    <w:rsid w:val="005A0044"/>
    <w:rsid w:val="005A21FB"/>
    <w:rsid w:val="005A557C"/>
    <w:rsid w:val="005B0D81"/>
    <w:rsid w:val="005B2F2B"/>
    <w:rsid w:val="005B4C1D"/>
    <w:rsid w:val="005B5F3D"/>
    <w:rsid w:val="005C05F4"/>
    <w:rsid w:val="005E0945"/>
    <w:rsid w:val="005E1EA1"/>
    <w:rsid w:val="005E4A22"/>
    <w:rsid w:val="005F5C12"/>
    <w:rsid w:val="00617ACA"/>
    <w:rsid w:val="006332CF"/>
    <w:rsid w:val="006336F2"/>
    <w:rsid w:val="00644F30"/>
    <w:rsid w:val="00646881"/>
    <w:rsid w:val="00647766"/>
    <w:rsid w:val="00651605"/>
    <w:rsid w:val="00652705"/>
    <w:rsid w:val="00654BBA"/>
    <w:rsid w:val="00656086"/>
    <w:rsid w:val="0066034A"/>
    <w:rsid w:val="006733BD"/>
    <w:rsid w:val="006755FA"/>
    <w:rsid w:val="006815E2"/>
    <w:rsid w:val="006828F9"/>
    <w:rsid w:val="00690EE4"/>
    <w:rsid w:val="006943EC"/>
    <w:rsid w:val="006A09B1"/>
    <w:rsid w:val="006A2210"/>
    <w:rsid w:val="006A3181"/>
    <w:rsid w:val="006A5A90"/>
    <w:rsid w:val="006C389B"/>
    <w:rsid w:val="006C3A66"/>
    <w:rsid w:val="006D20B1"/>
    <w:rsid w:val="006D32E3"/>
    <w:rsid w:val="006D4B94"/>
    <w:rsid w:val="006E245D"/>
    <w:rsid w:val="006F1029"/>
    <w:rsid w:val="007012E3"/>
    <w:rsid w:val="00705831"/>
    <w:rsid w:val="00714106"/>
    <w:rsid w:val="00720CF6"/>
    <w:rsid w:val="00722A3C"/>
    <w:rsid w:val="00722E7B"/>
    <w:rsid w:val="00724407"/>
    <w:rsid w:val="0073676D"/>
    <w:rsid w:val="00740F19"/>
    <w:rsid w:val="00741778"/>
    <w:rsid w:val="00746CB4"/>
    <w:rsid w:val="0075033B"/>
    <w:rsid w:val="00753BAB"/>
    <w:rsid w:val="007567EC"/>
    <w:rsid w:val="00762C8E"/>
    <w:rsid w:val="007647FE"/>
    <w:rsid w:val="00770421"/>
    <w:rsid w:val="00772337"/>
    <w:rsid w:val="00773140"/>
    <w:rsid w:val="00774446"/>
    <w:rsid w:val="0078306C"/>
    <w:rsid w:val="00783426"/>
    <w:rsid w:val="0078503B"/>
    <w:rsid w:val="007850A0"/>
    <w:rsid w:val="007855BF"/>
    <w:rsid w:val="00793C8E"/>
    <w:rsid w:val="007947D4"/>
    <w:rsid w:val="007965B5"/>
    <w:rsid w:val="007A4042"/>
    <w:rsid w:val="007A5901"/>
    <w:rsid w:val="007B22B9"/>
    <w:rsid w:val="007C468A"/>
    <w:rsid w:val="007D0819"/>
    <w:rsid w:val="007D2BE8"/>
    <w:rsid w:val="007D3613"/>
    <w:rsid w:val="007D7F0C"/>
    <w:rsid w:val="007E0774"/>
    <w:rsid w:val="00801ECC"/>
    <w:rsid w:val="00803C7A"/>
    <w:rsid w:val="0081429F"/>
    <w:rsid w:val="00814631"/>
    <w:rsid w:val="00817E0D"/>
    <w:rsid w:val="008219ED"/>
    <w:rsid w:val="00824F2A"/>
    <w:rsid w:val="00830B52"/>
    <w:rsid w:val="00836E33"/>
    <w:rsid w:val="0084429F"/>
    <w:rsid w:val="00854ACC"/>
    <w:rsid w:val="00866CA2"/>
    <w:rsid w:val="00871EC6"/>
    <w:rsid w:val="008776D9"/>
    <w:rsid w:val="00883986"/>
    <w:rsid w:val="00883F53"/>
    <w:rsid w:val="00885426"/>
    <w:rsid w:val="008903D6"/>
    <w:rsid w:val="008955B0"/>
    <w:rsid w:val="008957FD"/>
    <w:rsid w:val="008966B6"/>
    <w:rsid w:val="00897BA3"/>
    <w:rsid w:val="008A178C"/>
    <w:rsid w:val="008B5FE0"/>
    <w:rsid w:val="008C73EF"/>
    <w:rsid w:val="008D1BA7"/>
    <w:rsid w:val="008D53CA"/>
    <w:rsid w:val="008D764D"/>
    <w:rsid w:val="008E01F9"/>
    <w:rsid w:val="008E2D8C"/>
    <w:rsid w:val="008E54F7"/>
    <w:rsid w:val="008E7BA6"/>
    <w:rsid w:val="008F199E"/>
    <w:rsid w:val="008F55AF"/>
    <w:rsid w:val="008F757B"/>
    <w:rsid w:val="00900238"/>
    <w:rsid w:val="00914B72"/>
    <w:rsid w:val="00925F70"/>
    <w:rsid w:val="00932904"/>
    <w:rsid w:val="0094081C"/>
    <w:rsid w:val="00941F2D"/>
    <w:rsid w:val="00952378"/>
    <w:rsid w:val="009530B2"/>
    <w:rsid w:val="0095653E"/>
    <w:rsid w:val="00966A13"/>
    <w:rsid w:val="00970C44"/>
    <w:rsid w:val="00972FE2"/>
    <w:rsid w:val="009861F2"/>
    <w:rsid w:val="00995512"/>
    <w:rsid w:val="009A3475"/>
    <w:rsid w:val="009A7A2F"/>
    <w:rsid w:val="009C0903"/>
    <w:rsid w:val="009C3AD8"/>
    <w:rsid w:val="009D1F01"/>
    <w:rsid w:val="009D5783"/>
    <w:rsid w:val="009D7258"/>
    <w:rsid w:val="009E3CA9"/>
    <w:rsid w:val="009E451F"/>
    <w:rsid w:val="00A1688B"/>
    <w:rsid w:val="00A21F36"/>
    <w:rsid w:val="00A41448"/>
    <w:rsid w:val="00A51B82"/>
    <w:rsid w:val="00A6034E"/>
    <w:rsid w:val="00A6639E"/>
    <w:rsid w:val="00A758D1"/>
    <w:rsid w:val="00A779EC"/>
    <w:rsid w:val="00A83DC3"/>
    <w:rsid w:val="00A8776A"/>
    <w:rsid w:val="00A912A1"/>
    <w:rsid w:val="00A91A28"/>
    <w:rsid w:val="00AA25B4"/>
    <w:rsid w:val="00AA6665"/>
    <w:rsid w:val="00AB4BEB"/>
    <w:rsid w:val="00AC372B"/>
    <w:rsid w:val="00AC7CB4"/>
    <w:rsid w:val="00AD2E29"/>
    <w:rsid w:val="00AF3073"/>
    <w:rsid w:val="00AF5355"/>
    <w:rsid w:val="00B06254"/>
    <w:rsid w:val="00B13E9D"/>
    <w:rsid w:val="00B2344C"/>
    <w:rsid w:val="00B246B7"/>
    <w:rsid w:val="00B25105"/>
    <w:rsid w:val="00B2785F"/>
    <w:rsid w:val="00B27EDE"/>
    <w:rsid w:val="00B27F32"/>
    <w:rsid w:val="00B30068"/>
    <w:rsid w:val="00B600A4"/>
    <w:rsid w:val="00B612F6"/>
    <w:rsid w:val="00B61EE7"/>
    <w:rsid w:val="00B65B13"/>
    <w:rsid w:val="00B73C30"/>
    <w:rsid w:val="00B748F0"/>
    <w:rsid w:val="00B75490"/>
    <w:rsid w:val="00B76217"/>
    <w:rsid w:val="00B8310F"/>
    <w:rsid w:val="00B9293A"/>
    <w:rsid w:val="00BB7C0F"/>
    <w:rsid w:val="00BC1052"/>
    <w:rsid w:val="00BC13E5"/>
    <w:rsid w:val="00BD23EF"/>
    <w:rsid w:val="00BD4772"/>
    <w:rsid w:val="00BD5FC4"/>
    <w:rsid w:val="00BD6499"/>
    <w:rsid w:val="00BE652B"/>
    <w:rsid w:val="00BE6989"/>
    <w:rsid w:val="00BF351D"/>
    <w:rsid w:val="00BF4C7E"/>
    <w:rsid w:val="00C00A38"/>
    <w:rsid w:val="00C029F7"/>
    <w:rsid w:val="00C11E98"/>
    <w:rsid w:val="00C1542A"/>
    <w:rsid w:val="00C16676"/>
    <w:rsid w:val="00C225DF"/>
    <w:rsid w:val="00C36574"/>
    <w:rsid w:val="00C43A13"/>
    <w:rsid w:val="00C44015"/>
    <w:rsid w:val="00C503C9"/>
    <w:rsid w:val="00C51653"/>
    <w:rsid w:val="00C5726E"/>
    <w:rsid w:val="00C65908"/>
    <w:rsid w:val="00C727B1"/>
    <w:rsid w:val="00C74074"/>
    <w:rsid w:val="00C74396"/>
    <w:rsid w:val="00C77F03"/>
    <w:rsid w:val="00C843F4"/>
    <w:rsid w:val="00C87396"/>
    <w:rsid w:val="00C91A2A"/>
    <w:rsid w:val="00CB46CD"/>
    <w:rsid w:val="00CC2CB5"/>
    <w:rsid w:val="00CC7514"/>
    <w:rsid w:val="00CE61B7"/>
    <w:rsid w:val="00CF4586"/>
    <w:rsid w:val="00CF4F83"/>
    <w:rsid w:val="00D00699"/>
    <w:rsid w:val="00D07176"/>
    <w:rsid w:val="00D1069F"/>
    <w:rsid w:val="00D12113"/>
    <w:rsid w:val="00D12F80"/>
    <w:rsid w:val="00D1646A"/>
    <w:rsid w:val="00D3163F"/>
    <w:rsid w:val="00D339DD"/>
    <w:rsid w:val="00D452E8"/>
    <w:rsid w:val="00D47AA6"/>
    <w:rsid w:val="00D5208A"/>
    <w:rsid w:val="00D63A7C"/>
    <w:rsid w:val="00D67201"/>
    <w:rsid w:val="00D76E42"/>
    <w:rsid w:val="00D843B7"/>
    <w:rsid w:val="00D90800"/>
    <w:rsid w:val="00D93E2D"/>
    <w:rsid w:val="00D942B0"/>
    <w:rsid w:val="00DA2C91"/>
    <w:rsid w:val="00DA614C"/>
    <w:rsid w:val="00DB2F7A"/>
    <w:rsid w:val="00DB392A"/>
    <w:rsid w:val="00DB43B6"/>
    <w:rsid w:val="00DB45B9"/>
    <w:rsid w:val="00DC1EC4"/>
    <w:rsid w:val="00DE060D"/>
    <w:rsid w:val="00DE2E2D"/>
    <w:rsid w:val="00DF1278"/>
    <w:rsid w:val="00DF3EB6"/>
    <w:rsid w:val="00DF5FD4"/>
    <w:rsid w:val="00E05A63"/>
    <w:rsid w:val="00E13EFB"/>
    <w:rsid w:val="00E45FC5"/>
    <w:rsid w:val="00E47518"/>
    <w:rsid w:val="00E67859"/>
    <w:rsid w:val="00E77201"/>
    <w:rsid w:val="00E77573"/>
    <w:rsid w:val="00E8201C"/>
    <w:rsid w:val="00E83726"/>
    <w:rsid w:val="00EA0E29"/>
    <w:rsid w:val="00EA0F0B"/>
    <w:rsid w:val="00EA64D3"/>
    <w:rsid w:val="00EB67A8"/>
    <w:rsid w:val="00EB6C02"/>
    <w:rsid w:val="00EC2BA1"/>
    <w:rsid w:val="00EC4295"/>
    <w:rsid w:val="00ED46E2"/>
    <w:rsid w:val="00EF5D52"/>
    <w:rsid w:val="00F0462B"/>
    <w:rsid w:val="00F101D6"/>
    <w:rsid w:val="00F105F5"/>
    <w:rsid w:val="00F272D1"/>
    <w:rsid w:val="00F312A2"/>
    <w:rsid w:val="00F32454"/>
    <w:rsid w:val="00F37189"/>
    <w:rsid w:val="00F405B8"/>
    <w:rsid w:val="00F50DBB"/>
    <w:rsid w:val="00F625F2"/>
    <w:rsid w:val="00F66213"/>
    <w:rsid w:val="00F702E2"/>
    <w:rsid w:val="00F7504B"/>
    <w:rsid w:val="00F77B20"/>
    <w:rsid w:val="00F77B7F"/>
    <w:rsid w:val="00F80ADA"/>
    <w:rsid w:val="00F816ED"/>
    <w:rsid w:val="00F86F50"/>
    <w:rsid w:val="00F92412"/>
    <w:rsid w:val="00FB34FE"/>
    <w:rsid w:val="00FB48DF"/>
    <w:rsid w:val="00FD46DC"/>
    <w:rsid w:val="00FD6872"/>
    <w:rsid w:val="00FD6BF9"/>
    <w:rsid w:val="00FF115B"/>
    <w:rsid w:val="00FF62F5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A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5937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2E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9E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897BA3"/>
    <w:rPr>
      <w:rFonts w:ascii="Times New Roman" w:hAnsi="Times New Roman"/>
      <w:sz w:val="24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  <w:jc w:val="center"/>
    </w:t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C3657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8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81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342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wyq110---naslov-clana">
    <w:name w:val="wyq110---naslov-clana"/>
    <w:basedOn w:val="Normal"/>
    <w:rsid w:val="00DF1278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F12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F1278"/>
    <w:pPr>
      <w:spacing w:before="100" w:beforeAutospacing="1" w:after="100" w:afterAutospacing="1"/>
    </w:pPr>
  </w:style>
  <w:style w:type="paragraph" w:customStyle="1" w:styleId="izmenatekst">
    <w:name w:val="izmena_tekst"/>
    <w:basedOn w:val="Normal"/>
    <w:rsid w:val="00DC1EC4"/>
    <w:pPr>
      <w:spacing w:before="100" w:beforeAutospacing="1" w:after="100" w:afterAutospacing="1"/>
    </w:pPr>
    <w:rPr>
      <w:rFonts w:eastAsia="Calibri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A4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4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4042"/>
  </w:style>
  <w:style w:type="paragraph" w:styleId="FootnoteText">
    <w:name w:val="footnote text"/>
    <w:basedOn w:val="Normal"/>
    <w:link w:val="FootnoteTextChar"/>
    <w:uiPriority w:val="99"/>
    <w:unhideWhenUsed/>
    <w:rsid w:val="00740F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F19"/>
    <w:rPr>
      <w:rFonts w:ascii="Times New Roman" w:eastAsia="Times New Roman" w:hAnsi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0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0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00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7FB"/>
    <w:rPr>
      <w:rFonts w:ascii="Times New Roman" w:eastAsia="Times New Roman" w:hAnsi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DF3EB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EB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A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5937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2E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39E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897BA3"/>
    <w:rPr>
      <w:rFonts w:ascii="Times New Roman" w:hAnsi="Times New Roman"/>
      <w:sz w:val="24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  <w:jc w:val="center"/>
    </w:trPr>
  </w:style>
  <w:style w:type="paragraph" w:customStyle="1" w:styleId="CharChar1CharCharCharCharCharCharCharCharCharCharCharCharChar">
    <w:name w:val="Char Char1 Char Char Char Char Char Char Char Char Char Char Char Char Char"/>
    <w:basedOn w:val="Normal"/>
    <w:uiPriority w:val="99"/>
    <w:rsid w:val="00C3657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A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8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81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342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wyq110---naslov-clana">
    <w:name w:val="wyq110---naslov-clana"/>
    <w:basedOn w:val="Normal"/>
    <w:rsid w:val="00DF1278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F12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F1278"/>
    <w:pPr>
      <w:spacing w:before="100" w:beforeAutospacing="1" w:after="100" w:afterAutospacing="1"/>
    </w:pPr>
  </w:style>
  <w:style w:type="paragraph" w:customStyle="1" w:styleId="izmenatekst">
    <w:name w:val="izmena_tekst"/>
    <w:basedOn w:val="Normal"/>
    <w:rsid w:val="00DC1EC4"/>
    <w:pPr>
      <w:spacing w:before="100" w:beforeAutospacing="1" w:after="100" w:afterAutospacing="1"/>
    </w:pPr>
    <w:rPr>
      <w:rFonts w:eastAsia="Calibri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A4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4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A4042"/>
  </w:style>
  <w:style w:type="paragraph" w:styleId="FootnoteText">
    <w:name w:val="footnote text"/>
    <w:basedOn w:val="Normal"/>
    <w:link w:val="FootnoteTextChar"/>
    <w:uiPriority w:val="99"/>
    <w:unhideWhenUsed/>
    <w:rsid w:val="00740F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F19"/>
    <w:rPr>
      <w:rFonts w:ascii="Times New Roman" w:eastAsia="Times New Roman" w:hAnsi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0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0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00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7FB"/>
    <w:rPr>
      <w:rFonts w:ascii="Times New Roman" w:eastAsia="Times New Roman" w:hAnsi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DF3EB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EB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9DD-29C1-44EA-8299-BE71AB52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smarkovic</dc:creator>
  <cp:lastModifiedBy>jovan</cp:lastModifiedBy>
  <cp:revision>2</cp:revision>
  <cp:lastPrinted>2013-03-14T14:12:00Z</cp:lastPrinted>
  <dcterms:created xsi:type="dcterms:W3CDTF">2013-03-15T13:49:00Z</dcterms:created>
  <dcterms:modified xsi:type="dcterms:W3CDTF">2013-03-15T13:49:00Z</dcterms:modified>
</cp:coreProperties>
</file>