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604" w:rsidRPr="00BA1C48" w:rsidRDefault="00550604" w:rsidP="00DE0B1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0" w:name="_GoBack"/>
      <w:bookmarkEnd w:id="0"/>
    </w:p>
    <w:p w:rsidR="00105C7D" w:rsidRPr="00BA1C48" w:rsidRDefault="00BC64E3" w:rsidP="00BC64E3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2DBE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372DBE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2DBE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372DBE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72DBE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2DBE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pretvaranju</w:t>
      </w:r>
      <w:r w:rsidR="00372DBE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372DBE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372DBE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2DBE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372DBE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="002345EA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345EA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građevinskom</w:t>
      </w:r>
      <w:r w:rsidR="002345EA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="00372DBE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372DBE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naknadu</w:t>
      </w:r>
      <w:r w:rsidR="00372DBE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2345EA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2345EA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2345EA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105C7D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105C7D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64/15)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05C7D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C7D" w:rsidRPr="00BA1C48">
        <w:rPr>
          <w:noProof/>
          <w:color w:val="000000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105C7D" w:rsidRPr="00BA1C4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42. </w:t>
      </w:r>
      <w:r w:rsidR="00BA1C4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="00105C7D" w:rsidRPr="00BA1C4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1. </w:t>
      </w:r>
      <w:r w:rsidR="00BA1C4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105C7D" w:rsidRPr="00BA1C4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105C7D" w:rsidRPr="00BA1C4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Vladi</w:t>
      </w:r>
      <w:r w:rsidR="00105C7D" w:rsidRPr="00BA1C4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(„</w:t>
      </w:r>
      <w:r w:rsidR="00BA1C4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Službeni</w:t>
      </w:r>
      <w:r w:rsidR="00105C7D" w:rsidRPr="00BA1C4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</w:t>
      </w:r>
      <w:r w:rsidR="00105C7D" w:rsidRPr="00BA1C4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RS</w:t>
      </w:r>
      <w:r w:rsidR="00105C7D" w:rsidRPr="00BA1C4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”, </w:t>
      </w:r>
      <w:r w:rsidR="00BA1C4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</w:t>
      </w:r>
      <w:r w:rsidR="00105C7D" w:rsidRPr="00BA1C4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55/05, 71/05 - </w:t>
      </w:r>
      <w:r w:rsidR="00BA1C4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ispravka</w:t>
      </w:r>
      <w:r w:rsidR="00105C7D" w:rsidRPr="00BA1C4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101/07, 65/08, 16/11, 68/12 - </w:t>
      </w:r>
      <w:r w:rsidR="00BA1C4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</w:t>
      </w:r>
      <w:r w:rsidR="00105C7D" w:rsidRPr="00BA1C4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72/12, 7/14 - </w:t>
      </w:r>
      <w:r w:rsidR="00BA1C4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</w:t>
      </w:r>
      <w:r w:rsidR="00105C7D" w:rsidRPr="00BA1C4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105C7D" w:rsidRPr="00BA1C4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44/14), </w:t>
      </w:r>
    </w:p>
    <w:p w:rsidR="001A3631" w:rsidRPr="00BA1C48" w:rsidRDefault="001A3631" w:rsidP="00BA20C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A3631" w:rsidRPr="00BA1C48" w:rsidRDefault="00BA1C48" w:rsidP="00BA20C0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C974FC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BA20C0" w:rsidRPr="00BA1C48" w:rsidRDefault="00BA20C0" w:rsidP="00E950D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974FC" w:rsidRPr="00BA1C48" w:rsidRDefault="00BA1C48" w:rsidP="00E950D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UREDBU</w:t>
      </w:r>
    </w:p>
    <w:p w:rsidR="001A3631" w:rsidRPr="00BA1C48" w:rsidRDefault="001A3631" w:rsidP="00E950D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974FC" w:rsidRPr="00BA1C48" w:rsidRDefault="00BA1C48" w:rsidP="00E950D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974FC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ODREĐIVANJU</w:t>
      </w:r>
      <w:r w:rsidR="00C974FC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PROCENTA</w:t>
      </w:r>
      <w:r w:rsidR="00C974FC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UMANJENJA</w:t>
      </w:r>
      <w:r w:rsidR="00C974FC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TRŽIŠNE</w:t>
      </w:r>
      <w:r w:rsidR="00C974FC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C974FC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NEIZGRAĐENOG</w:t>
      </w:r>
      <w:r w:rsidR="00C974FC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C974FC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C974FC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503A4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6503A4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NOSIOCE</w:t>
      </w:r>
      <w:r w:rsidR="006503A4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6503A4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6503A4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503A4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NEIZGRAĐENOM</w:t>
      </w:r>
      <w:r w:rsidR="006503A4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GRAĐEVINSKOM</w:t>
      </w:r>
      <w:r w:rsidR="006503A4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="006503A4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C974FC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974FC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</w:t>
      </w:r>
      <w:r w:rsidR="00C974FC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ZEMLJIŠTE</w:t>
      </w:r>
      <w:r w:rsidR="00C974FC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NALAZI</w:t>
      </w:r>
      <w:r w:rsidR="00C974FC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974FC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C974FC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NEDOVOLJNO</w:t>
      </w:r>
      <w:r w:rsidR="00C974FC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RAZVIJENE</w:t>
      </w:r>
      <w:r w:rsidR="00C974FC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C974FC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C974FC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</w:p>
    <w:p w:rsidR="001A3631" w:rsidRPr="00BA1C48" w:rsidRDefault="001A3631" w:rsidP="00E950D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53523" w:rsidRPr="00BA1C48" w:rsidRDefault="00BA1C48" w:rsidP="00E950DD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A5352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:rsidR="00424F57" w:rsidRPr="00BA1C48" w:rsidRDefault="00424F57" w:rsidP="00E950DD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53523" w:rsidRPr="00BA1C48" w:rsidRDefault="00BA1C48" w:rsidP="00E950D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A5352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A5352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određuje</w:t>
      </w:r>
      <w:r w:rsidR="00A5352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5352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procenat</w:t>
      </w:r>
      <w:r w:rsidR="00A5352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umanjenja</w:t>
      </w:r>
      <w:r w:rsidR="00A5352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tržišne</w:t>
      </w:r>
      <w:r w:rsidR="00A5352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A5352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neizgrađenog</w:t>
      </w:r>
      <w:r w:rsidR="00A5352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A5352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A5352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5352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A5352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nosioce</w:t>
      </w:r>
      <w:r w:rsidR="00A5352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A5352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A5352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5352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neizgrađenom</w:t>
      </w:r>
      <w:r w:rsidR="00A04ACA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građevinskom</w:t>
      </w:r>
      <w:r w:rsidR="00A04ACA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="00A04ACA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5352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A04ACA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A04ACA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A04ACA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04ACA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pretvaranju</w:t>
      </w:r>
      <w:r w:rsidR="00A04ACA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A04ACA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A04ACA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4ACA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A04ACA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="00A04ACA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04ACA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građevinskom</w:t>
      </w:r>
      <w:r w:rsidR="00A04ACA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="00A04ACA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A04ACA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naknadu</w:t>
      </w:r>
      <w:r w:rsidR="005647FF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A04ACA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A04ACA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A04ACA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A04ACA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64/15</w:t>
      </w:r>
      <w:r w:rsidR="00A5352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A5352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36DDC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</w:t>
      </w:r>
      <w:r w:rsidR="00536DDC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zemljište</w:t>
      </w:r>
      <w:r w:rsidR="00536DDC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nalazi</w:t>
      </w:r>
      <w:r w:rsidR="00A5352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5352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A5352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A5352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A5352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A5352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5352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A5352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5352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utvrđeno</w:t>
      </w:r>
      <w:r w:rsidR="00A5352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A5352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5352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A5352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5352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nedovoljno</w:t>
      </w:r>
      <w:r w:rsidR="00A5352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razvijenoj</w:t>
      </w:r>
      <w:r w:rsidR="00A5352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jedinici</w:t>
      </w:r>
      <w:r w:rsidR="00A5352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A5352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286D41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mouprave</w:t>
      </w:r>
      <w:r w:rsidR="00A5352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A5352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5352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jedinici</w:t>
      </w:r>
      <w:r w:rsidR="00A5352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A5352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A5352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A5352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izuzetno</w:t>
      </w:r>
      <w:r w:rsidR="00A5352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niskim</w:t>
      </w:r>
      <w:r w:rsidR="00A5352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životnim</w:t>
      </w:r>
      <w:r w:rsidR="00A5352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standardom</w:t>
      </w:r>
      <w:r w:rsidR="00FB5D50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FB5D50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visokom</w:t>
      </w:r>
      <w:r w:rsidR="00FB5D50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stopom</w:t>
      </w:r>
      <w:r w:rsidR="00FB5D50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nezaposlenosti</w:t>
      </w:r>
      <w:r w:rsidR="00FB5D50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B5D50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4F43F7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stepena</w:t>
      </w:r>
      <w:r w:rsidR="004F43F7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razvijenosti</w:t>
      </w:r>
      <w:r w:rsidR="004F43F7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FB5D50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lokalnih</w:t>
      </w:r>
      <w:r w:rsidR="00FB5D50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samouprava</w:t>
      </w:r>
      <w:r w:rsidR="00FB5D50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B5D50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prethodnu</w:t>
      </w:r>
      <w:r w:rsidR="003F34EB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3F34EB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F34EB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F34EB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F34EB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FB5D50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FB5D50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B5D50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FB5D50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regionalni</w:t>
      </w:r>
      <w:r w:rsidR="00FB5D50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="00A5352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B3EFB" w:rsidRPr="00BA1C48" w:rsidRDefault="005B3EFB" w:rsidP="00E950DD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53523" w:rsidRPr="00BA1C48" w:rsidRDefault="00BA1C48" w:rsidP="00E950D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A5352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</w:t>
      </w:r>
    </w:p>
    <w:p w:rsidR="007E03D7" w:rsidRPr="00BA1C48" w:rsidRDefault="007E03D7" w:rsidP="00E950DD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C6461" w:rsidRPr="00BA1C48" w:rsidRDefault="00BA1C48" w:rsidP="00E950D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Određuje</w:t>
      </w:r>
      <w:r w:rsidR="00810949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5352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15%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umanjenja</w:t>
      </w:r>
      <w:r w:rsidR="001324BF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10949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tržišne</w:t>
      </w:r>
      <w:r w:rsidR="00A5352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C974FC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neizgrađenog</w:t>
      </w:r>
      <w:r w:rsidR="00C974FC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C974FC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C974FC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C974FC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974FC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</w:t>
      </w:r>
      <w:r w:rsidR="00C974FC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zemljište</w:t>
      </w:r>
      <w:r w:rsidR="00A5352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nalazi</w:t>
      </w:r>
      <w:r w:rsidR="00C974FC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974FC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C974FC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C974FC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C974FC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C974FC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C974FC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974FC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C974FC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stepenu</w:t>
      </w:r>
      <w:r w:rsidR="00C974FC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razvijenosti</w:t>
      </w:r>
      <w:r w:rsidR="00C974FC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razvrstana</w:t>
      </w:r>
      <w:r w:rsidR="00C974FC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974FC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nedovoljno</w:t>
      </w:r>
      <w:r w:rsidR="00C974FC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razvijene</w:t>
      </w:r>
      <w:r w:rsidR="00C974FC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C974FC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C974FC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8C6461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C6461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8C6461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C6461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propisom</w:t>
      </w:r>
      <w:r w:rsidR="008C6461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o</w:t>
      </w:r>
      <w:r w:rsidR="008C6461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utvrđivanju</w:t>
      </w:r>
      <w:r w:rsidR="008C6461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jedinstvene</w:t>
      </w:r>
      <w:r w:rsidR="008C6461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liste</w:t>
      </w:r>
      <w:r w:rsidR="008C6461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razvijenosti</w:t>
      </w:r>
      <w:r w:rsidR="008C6461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regiona</w:t>
      </w:r>
      <w:r w:rsidR="008C6461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i</w:t>
      </w:r>
      <w:r w:rsidR="008C6461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jedinica</w:t>
      </w:r>
      <w:r w:rsidR="008C6461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lokalne</w:t>
      </w:r>
      <w:r w:rsidR="008C6461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samouprave</w:t>
      </w:r>
      <w:r w:rsidR="008C6461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za</w:t>
      </w:r>
      <w:r w:rsidR="008C6461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godinu</w:t>
      </w:r>
      <w:r w:rsidR="008C6461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i</w:t>
      </w:r>
      <w:r w:rsidR="008C6461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to</w:t>
      </w:r>
      <w:r w:rsidR="00E41A3F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za</w:t>
      </w:r>
      <w:r w:rsidR="00E41A3F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sledeće</w:t>
      </w:r>
      <w:r w:rsidR="00E41A3F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jedinice</w:t>
      </w:r>
      <w:r w:rsidR="00E41A3F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lokalne</w:t>
      </w:r>
      <w:r w:rsidR="00E41A3F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samouprave</w:t>
      </w:r>
      <w:r w:rsidR="008C6461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:</w:t>
      </w:r>
      <w:r w:rsidR="002308C2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Alibunar</w:t>
      </w:r>
      <w:r w:rsidR="00E07757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2308C2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Bajina</w:t>
      </w:r>
      <w:r w:rsidR="00E07757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Bašta</w:t>
      </w:r>
      <w:r w:rsidR="00E07757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Batočina</w:t>
      </w:r>
      <w:r w:rsidR="00E07757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Bač</w:t>
      </w:r>
      <w:r w:rsidR="00E07757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Bela</w:t>
      </w:r>
      <w:r w:rsidR="00E07757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Crkva</w:t>
      </w:r>
      <w:r w:rsidR="00E07757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Bogatić</w:t>
      </w:r>
      <w:r w:rsidR="00E07757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Boljevac</w:t>
      </w:r>
      <w:r w:rsidR="00E07757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2308C2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Velika</w:t>
      </w:r>
      <w:r w:rsidR="00E07757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Plana</w:t>
      </w:r>
      <w:r w:rsidR="00E07757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Veliko</w:t>
      </w:r>
      <w:r w:rsidR="00E07757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Gradište</w:t>
      </w:r>
      <w:r w:rsidR="00E07757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2308C2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Vladimirci</w:t>
      </w:r>
      <w:r w:rsidR="00E07757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2308C2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Despotovac</w:t>
      </w:r>
      <w:r w:rsidR="00E07757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2308C2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Žabalj</w:t>
      </w:r>
      <w:r w:rsidR="00E07757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2308C2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Žitište</w:t>
      </w:r>
      <w:r w:rsidR="00E07757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2308C2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Ivanjica</w:t>
      </w:r>
      <w:r w:rsidR="00E07757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Irig</w:t>
      </w:r>
      <w:r w:rsidR="00E07757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Kladovo</w:t>
      </w:r>
      <w:r w:rsidR="00E07757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2308C2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Knić</w:t>
      </w:r>
      <w:r w:rsidR="00E07757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Kovačica</w:t>
      </w:r>
      <w:r w:rsidR="00E07757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2308C2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Kovin</w:t>
      </w:r>
      <w:r w:rsidR="00E07757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Koceljeva</w:t>
      </w:r>
      <w:r w:rsidR="00E07757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Kraljevo</w:t>
      </w:r>
      <w:r w:rsidR="00E07757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Leskovac</w:t>
      </w:r>
      <w:r w:rsidR="00E07757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Loznica</w:t>
      </w:r>
      <w:r w:rsidR="00E07757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Lučani</w:t>
      </w:r>
      <w:r w:rsidR="00E07757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Ljubovija</w:t>
      </w:r>
      <w:r w:rsidR="00E07757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Mali</w:t>
      </w:r>
      <w:r w:rsidR="00E07757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Iđoš</w:t>
      </w:r>
      <w:r w:rsidR="00E07757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Negotin</w:t>
      </w:r>
      <w:r w:rsidR="00E07757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Nova</w:t>
      </w:r>
      <w:r w:rsidR="00E07757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Crnja</w:t>
      </w:r>
      <w:r w:rsidR="00E07757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Novi</w:t>
      </w:r>
      <w:r w:rsidR="00E07757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Bečej</w:t>
      </w:r>
      <w:r w:rsidR="00E07757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Novi</w:t>
      </w:r>
      <w:r w:rsidR="00E07757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Pazar</w:t>
      </w:r>
      <w:r w:rsidR="00E07757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Osečina</w:t>
      </w:r>
      <w:r w:rsidR="00E07757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Odžaci</w:t>
      </w:r>
      <w:r w:rsidR="00E07757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Paraćin</w:t>
      </w:r>
      <w:r w:rsidR="00E07757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Plandište</w:t>
      </w:r>
      <w:r w:rsidR="00E07757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Prokuplje</w:t>
      </w:r>
      <w:r w:rsidR="00E07757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Svilajnac</w:t>
      </w:r>
      <w:r w:rsidR="00E07757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2308C2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Sečanj</w:t>
      </w:r>
      <w:r w:rsidR="00E07757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Smederevska</w:t>
      </w:r>
      <w:r w:rsidR="00E07757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Palanka</w:t>
      </w:r>
      <w:r w:rsidR="00E07757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Sokobanja</w:t>
      </w:r>
      <w:r w:rsidR="00E07757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Srbobran</w:t>
      </w:r>
      <w:r w:rsidR="00E07757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Titel</w:t>
      </w:r>
      <w:r w:rsidR="00E07757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Trstenik</w:t>
      </w:r>
      <w:r w:rsidR="00E07757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2308C2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Ćićevac</w:t>
      </w:r>
      <w:r w:rsidR="00E07757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Ćuprija</w:t>
      </w:r>
      <w:r w:rsidR="00E07757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2308C2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Ub</w:t>
      </w:r>
      <w:r w:rsidR="00E07757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Čoka</w:t>
      </w:r>
      <w:r w:rsidR="00E07757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8C6461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Šid</w:t>
      </w:r>
      <w:r w:rsidR="008C6461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B3EFB" w:rsidRPr="00BA1C48" w:rsidRDefault="005B3EFB" w:rsidP="00E950D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75563" w:rsidRPr="00BA1C48" w:rsidRDefault="00BA1C48" w:rsidP="00E950D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17556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</w:t>
      </w:r>
    </w:p>
    <w:p w:rsidR="00A07629" w:rsidRPr="00BA1C48" w:rsidRDefault="00A07629" w:rsidP="00E950D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95C9E" w:rsidRPr="00BA1C48" w:rsidRDefault="00BA1C48" w:rsidP="00E950D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Određuje</w:t>
      </w:r>
      <w:r w:rsidR="001324BF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7556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20%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umanjenja</w:t>
      </w:r>
      <w:r w:rsidR="001324BF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10949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tržišne</w:t>
      </w:r>
      <w:r w:rsidR="0017556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17556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neizgrađenog</w:t>
      </w:r>
      <w:r w:rsidR="0017556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17556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17556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17556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7556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</w:t>
      </w:r>
      <w:r w:rsidR="0017556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zemljište</w:t>
      </w:r>
      <w:r w:rsidR="0017556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nalazi</w:t>
      </w:r>
      <w:r w:rsidR="0017556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7556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17556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17556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17556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17556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17556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7556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17556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stepenu</w:t>
      </w:r>
      <w:r w:rsidR="0017556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razvijenosti</w:t>
      </w:r>
      <w:r w:rsidR="0017556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razvrstana</w:t>
      </w:r>
      <w:r w:rsidR="00810949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A5ABE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izrazito</w:t>
      </w:r>
      <w:r w:rsidR="000D3A3B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nedovoljno</w:t>
      </w:r>
      <w:r w:rsidR="000D3A3B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razvijene</w:t>
      </w:r>
      <w:r w:rsidR="000D3A3B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0D3A3B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0D3A3B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095C9E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95C9E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skladu</w:t>
      </w:r>
      <w:r w:rsidR="00095C9E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095C9E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propisom</w:t>
      </w:r>
      <w:r w:rsidR="00095C9E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o</w:t>
      </w:r>
      <w:r w:rsidR="00095C9E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utvrđivanju</w:t>
      </w:r>
      <w:r w:rsidR="00095C9E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jedinstvene</w:t>
      </w:r>
      <w:r w:rsidR="00095C9E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liste</w:t>
      </w:r>
      <w:r w:rsidR="00095C9E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razvijenosti</w:t>
      </w:r>
      <w:r w:rsidR="00095C9E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regiona</w:t>
      </w:r>
      <w:r w:rsidR="00095C9E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i</w:t>
      </w:r>
      <w:r w:rsidR="00095C9E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jedinica</w:t>
      </w:r>
      <w:r w:rsidR="00095C9E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lokalne</w:t>
      </w:r>
      <w:r w:rsidR="00095C9E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samouprave</w:t>
      </w:r>
      <w:r w:rsidR="00095C9E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za</w:t>
      </w:r>
      <w:r w:rsidR="00095C9E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godinu</w:t>
      </w:r>
      <w:r w:rsidR="00095C9E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i</w:t>
      </w:r>
      <w:r w:rsidR="00095C9E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to</w:t>
      </w:r>
      <w:r w:rsidR="00E41A3F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za</w:t>
      </w:r>
      <w:r w:rsidR="00E41A3F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sledeće</w:t>
      </w:r>
      <w:r w:rsidR="00E41A3F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jedinice</w:t>
      </w:r>
      <w:r w:rsidR="00E41A3F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lokalne</w:t>
      </w:r>
      <w:r w:rsidR="00E41A3F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samouprave</w:t>
      </w:r>
      <w:r w:rsidR="00095C9E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:</w:t>
      </w:r>
      <w:r w:rsidR="00095C9E" w:rsidRPr="00BA1C48">
        <w:rPr>
          <w:rFonts w:ascii="Arial" w:eastAsia="Times New Roman" w:hAnsi="Arial" w:cs="Arial"/>
          <w:noProof/>
          <w:sz w:val="20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Aleksinac</w:t>
      </w:r>
      <w:r w:rsidR="00042E30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Babušnica</w:t>
      </w:r>
      <w:r w:rsidR="00042E30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CE047D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Bela</w:t>
      </w:r>
      <w:r w:rsidR="00042E30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Palanka</w:t>
      </w:r>
      <w:r w:rsidR="00042E30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CE047D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Blace</w:t>
      </w:r>
      <w:r w:rsidR="00042E30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CE047D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Bojnik</w:t>
      </w:r>
      <w:r w:rsidR="00042E30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CE047D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Bosilegrad</w:t>
      </w:r>
      <w:r w:rsidR="00042E30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CE047D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Brus</w:t>
      </w:r>
      <w:r w:rsidR="00CE047D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Bujanovac</w:t>
      </w:r>
      <w:r w:rsidR="00042E30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Varvarin</w:t>
      </w:r>
      <w:r w:rsidR="00042E30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CE047D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42E30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Vladičin</w:t>
      </w:r>
      <w:r w:rsidR="00042E30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Han</w:t>
      </w:r>
      <w:r w:rsidR="00042E30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Vlasotince</w:t>
      </w:r>
      <w:r w:rsidR="00042E30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Gadžin</w:t>
      </w:r>
      <w:r w:rsidR="00042E30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Han</w:t>
      </w:r>
      <w:r w:rsidR="00042E30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Golubac</w:t>
      </w:r>
      <w:r w:rsidR="00042E30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CE047D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Dimitrovgrad</w:t>
      </w:r>
      <w:r w:rsidR="00042E30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Doljevac</w:t>
      </w:r>
      <w:r w:rsidR="00042E30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Žabari</w:t>
      </w:r>
      <w:r w:rsidR="00042E30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Žagubica</w:t>
      </w:r>
      <w:r w:rsidR="00042E30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Žitorađa</w:t>
      </w:r>
      <w:r w:rsidR="00042E30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CE047D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Knjaževac</w:t>
      </w:r>
      <w:r w:rsidR="00CE047D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42E30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Krupanj</w:t>
      </w:r>
      <w:r w:rsidR="00042E30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Kuršumlija</w:t>
      </w:r>
      <w:r w:rsidR="00042E30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Kučevo</w:t>
      </w:r>
      <w:r w:rsidR="00042E30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Lebane</w:t>
      </w:r>
      <w:r w:rsidR="00042E30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Ljig</w:t>
      </w:r>
      <w:r w:rsidR="00042E30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Mali</w:t>
      </w:r>
      <w:r w:rsidR="00042E30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Zvornik</w:t>
      </w:r>
      <w:r w:rsidR="00042E30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Malo</w:t>
      </w:r>
      <w:r w:rsidR="00042E30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Crniće</w:t>
      </w:r>
      <w:r w:rsidR="00042E30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CE047D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Medveđa</w:t>
      </w:r>
      <w:r w:rsidR="00042E30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Merošina</w:t>
      </w:r>
      <w:r w:rsidR="00042E30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Mionica</w:t>
      </w:r>
      <w:r w:rsidR="00042E30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Nova</w:t>
      </w:r>
      <w:r w:rsidR="00042E30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Varoš</w:t>
      </w:r>
      <w:r w:rsidR="00042E30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Opovo</w:t>
      </w:r>
      <w:r w:rsidR="00042E30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Petrovac</w:t>
      </w:r>
      <w:r w:rsidR="00042E30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042E30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Mlavi</w:t>
      </w:r>
      <w:r w:rsidR="00042E30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CE047D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Preševo</w:t>
      </w:r>
      <w:r w:rsidR="00186B90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042E30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Priboj</w:t>
      </w:r>
      <w:r w:rsidR="00042E30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Prijepolje</w:t>
      </w:r>
      <w:r w:rsidR="00042E30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Ražanj</w:t>
      </w:r>
      <w:r w:rsidR="00042E30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095C9E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Raška</w:t>
      </w:r>
      <w:r w:rsidR="00042E30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Rekovac</w:t>
      </w:r>
      <w:r w:rsidR="00042E30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Svrljig</w:t>
      </w:r>
      <w:r w:rsidR="00042E30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Sjenica</w:t>
      </w:r>
      <w:r w:rsidR="00042E30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Surdulica</w:t>
      </w:r>
      <w:r w:rsidR="00042E30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Trgovište</w:t>
      </w:r>
      <w:r w:rsidR="00042E30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Tutin</w:t>
      </w:r>
      <w:r w:rsidR="00042E30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E047D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Crna</w:t>
      </w:r>
      <w:r w:rsidR="00095C9E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Trava</w:t>
      </w:r>
      <w:r w:rsidR="00095C9E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A848EB" w:rsidRPr="00BA1C48" w:rsidRDefault="00A848EB" w:rsidP="00E950D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D3A3B" w:rsidRPr="00BA1C48" w:rsidRDefault="00BA1C48" w:rsidP="00E950D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0D3A3B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</w:t>
      </w:r>
    </w:p>
    <w:p w:rsidR="00A848EB" w:rsidRPr="00BA1C48" w:rsidRDefault="00A848EB" w:rsidP="005C286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46DD4" w:rsidRPr="00BA1C48" w:rsidRDefault="00BA1C48" w:rsidP="00E950D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Određuje</w:t>
      </w:r>
      <w:r w:rsidR="00146F9A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46F9A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3A3B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25%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umanjenja</w:t>
      </w:r>
      <w:r w:rsidR="00146F9A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13487E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tržišne</w:t>
      </w:r>
      <w:r w:rsidR="000D3A3B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0D3A3B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neizgrađenog</w:t>
      </w:r>
      <w:r w:rsidR="000D3A3B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0D3A3B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0D3A3B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0D3A3B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D3A3B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</w:t>
      </w:r>
      <w:r w:rsidR="000D3A3B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zemljište</w:t>
      </w:r>
      <w:r w:rsidR="000D3A3B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nalazi</w:t>
      </w:r>
      <w:r w:rsidR="000D3A3B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D3A3B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0D3A3B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0D3A3B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0D3A3B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0D3A3B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0D3A3B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0D3A3B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0D3A3B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stepenu</w:t>
      </w:r>
      <w:r w:rsidR="000D3A3B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razvijenosti</w:t>
      </w:r>
      <w:r w:rsidR="000D3A3B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razvrstana</w:t>
      </w:r>
      <w:r w:rsidR="000D3A3B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D3A3B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devastirana</w:t>
      </w:r>
      <w:r w:rsidR="000D3A3B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="00E2784C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2784C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E2784C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2784C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propisom</w:t>
      </w:r>
      <w:r w:rsidR="00E2784C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o</w:t>
      </w:r>
      <w:r w:rsidR="00E2784C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utvrđivanju</w:t>
      </w:r>
      <w:r w:rsidR="00E2784C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jedinstvene</w:t>
      </w:r>
      <w:r w:rsidR="00E2784C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liste</w:t>
      </w:r>
      <w:r w:rsidR="00E2784C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razvijenosti</w:t>
      </w:r>
      <w:r w:rsidR="00E2784C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regiona</w:t>
      </w:r>
      <w:r w:rsidR="00E2784C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i</w:t>
      </w:r>
      <w:r w:rsidR="00E2784C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jedinica</w:t>
      </w:r>
      <w:r w:rsidR="00E2784C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lokalne</w:t>
      </w:r>
      <w:r w:rsidR="00E2784C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samouprave</w:t>
      </w:r>
      <w:r w:rsidR="00E2784C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za</w:t>
      </w:r>
      <w:r w:rsidR="00E2784C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godinu</w:t>
      </w:r>
      <w:r w:rsidR="00E2784C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i</w:t>
      </w:r>
      <w:r w:rsidR="00E2784C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to</w:t>
      </w:r>
      <w:r w:rsidR="00E41A3F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za</w:t>
      </w:r>
      <w:r w:rsidR="00E41A3F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sledeće</w:t>
      </w:r>
      <w:r w:rsidR="00E41A3F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jedinice</w:t>
      </w:r>
      <w:r w:rsidR="00E41A3F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lokalne</w:t>
      </w:r>
      <w:r w:rsidR="00E41A3F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samouprave</w:t>
      </w:r>
      <w:r w:rsidR="00E2784C" w:rsidRPr="00BA1C48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:</w:t>
      </w:r>
      <w:r w:rsidR="002950FB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Babušnica</w:t>
      </w:r>
      <w:r w:rsidR="002950FB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Bela</w:t>
      </w:r>
      <w:r w:rsidR="002950FB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Palanka</w:t>
      </w:r>
      <w:r w:rsidR="002950FB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Bojnik</w:t>
      </w:r>
      <w:r w:rsidR="002950FB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Bosilegrad</w:t>
      </w:r>
      <w:r w:rsidR="002950FB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Bujanovac</w:t>
      </w:r>
      <w:r w:rsidR="002950FB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Vladičin</w:t>
      </w:r>
      <w:r w:rsidR="002950FB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Han</w:t>
      </w:r>
      <w:r w:rsidR="002950FB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E2784C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Golubac</w:t>
      </w:r>
      <w:r w:rsidR="002950FB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Žitorađa</w:t>
      </w:r>
      <w:r w:rsidR="002950FB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Kuršumlija</w:t>
      </w:r>
      <w:r w:rsidR="002950FB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Lebane</w:t>
      </w:r>
      <w:r w:rsidR="002950FB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Mali</w:t>
      </w:r>
      <w:r w:rsidR="002950FB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Zvornik</w:t>
      </w:r>
      <w:r w:rsidR="002950FB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Medveđa</w:t>
      </w:r>
      <w:r w:rsidR="002950FB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Merošina</w:t>
      </w:r>
      <w:r w:rsidR="002950FB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Preševo</w:t>
      </w:r>
      <w:r w:rsidR="002950FB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Prijepolje</w:t>
      </w:r>
      <w:r w:rsidR="002950FB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Svrljig</w:t>
      </w:r>
      <w:r w:rsidR="002950FB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E2784C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Surdulica</w:t>
      </w:r>
      <w:r w:rsidR="00E2784C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2950FB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Trgovište</w:t>
      </w:r>
      <w:r w:rsidR="002950FB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E2784C" w:rsidRPr="00BA1C48">
        <w:rPr>
          <w:rFonts w:ascii="Arial" w:eastAsia="Times New Roman" w:hAnsi="Arial" w:cs="Arial"/>
          <w:noProof/>
          <w:sz w:val="20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Tutin</w:t>
      </w:r>
      <w:r w:rsidR="00E2784C" w:rsidRPr="00BA1C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A848EB" w:rsidRPr="00BA1C48" w:rsidRDefault="00A848EB" w:rsidP="00E950D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E2483" w:rsidRPr="00BA1C48" w:rsidRDefault="00BA1C48" w:rsidP="00E950D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E86BA9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</w:t>
      </w:r>
    </w:p>
    <w:p w:rsidR="00223F74" w:rsidRPr="00BA1C48" w:rsidRDefault="00223F74" w:rsidP="00E950D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2449B" w:rsidRPr="00BA1C48" w:rsidRDefault="00FF7FF3" w:rsidP="00E950DD">
      <w:pPr>
        <w:spacing w:after="0" w:line="240" w:lineRule="auto"/>
        <w:ind w:left="90" w:firstLine="63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Procenat</w:t>
      </w:r>
      <w:r w:rsidR="000D6CE6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umanjenja</w:t>
      </w:r>
      <w:r w:rsidR="000D6CE6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tržišne</w:t>
      </w:r>
      <w:r w:rsidR="000D6CE6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0D6CE6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neizgrađenog</w:t>
      </w:r>
      <w:r w:rsidR="000D6CE6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0D6CE6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02449B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2449B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</w:t>
      </w:r>
      <w:r w:rsidR="0002449B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zemljište</w:t>
      </w:r>
      <w:r w:rsidR="0002449B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02449B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2449B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nalazi</w:t>
      </w:r>
      <w:r w:rsidR="0002449B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2449B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02449B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02449B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8A3AA4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8A3AA4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A3AA4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="008A3AA4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B3EFB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02449B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="00AD4EBB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vršiće</w:t>
      </w:r>
      <w:r w:rsidR="0002449B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2449B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02449B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zahtevima</w:t>
      </w:r>
      <w:r w:rsidR="0002449B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B10D0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umanjenje</w:t>
      </w:r>
      <w:r w:rsidR="002B10D0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tržišne</w:t>
      </w:r>
      <w:r w:rsidR="002B10D0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2B10D0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neizgrađenog</w:t>
      </w:r>
      <w:r w:rsidR="002B10D0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2B10D0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2B10D0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podnetim</w:t>
      </w:r>
      <w:r w:rsidR="0002449B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02449B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decembra</w:t>
      </w:r>
      <w:r w:rsidR="0002449B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02449B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B10D0" w:rsidRPr="00BA1C48" w:rsidRDefault="00BA1C48" w:rsidP="00E950D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Procenat</w:t>
      </w:r>
      <w:r w:rsidR="00A81C68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umanjenja</w:t>
      </w:r>
      <w:r w:rsidR="00A81C68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tržišne</w:t>
      </w:r>
      <w:r w:rsidR="00A81C68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A81C68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81C68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A81C68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A81C68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A81C68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A27BBF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zahtevima</w:t>
      </w:r>
      <w:r w:rsidR="00A27BBF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75F3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umanjenje</w:t>
      </w:r>
      <w:r w:rsidR="00375F3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tržišne</w:t>
      </w:r>
      <w:r w:rsidR="00375F3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375F3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neizgrađenog</w:t>
      </w:r>
      <w:r w:rsidR="00375F3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375F33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A27BBF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podnetim</w:t>
      </w:r>
      <w:r w:rsidR="00A27BBF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A27BBF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decembra</w:t>
      </w:r>
      <w:r w:rsidR="00A27BBF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A27BBF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vršiće</w:t>
      </w:r>
      <w:r w:rsidR="00A81C68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81C68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81C68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A81C68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stepena</w:t>
      </w:r>
      <w:r w:rsidR="00A81C68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razvijenosti</w:t>
      </w:r>
      <w:r w:rsidR="00A81C68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A81C68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A81C68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A81C68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9701C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prethodnu</w:t>
      </w:r>
      <w:r w:rsidR="00D9701C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A27BBF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27BBF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A27BBF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A27BBF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A27BBF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A27BBF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27BBF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A27BBF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regionalni</w:t>
      </w:r>
      <w:r w:rsidR="00A27BBF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="00A27BBF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D9701C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7E03D7" w:rsidRPr="00BA1C48" w:rsidRDefault="007E03D7" w:rsidP="00E950D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E03D7" w:rsidRPr="00BA1C48" w:rsidRDefault="00BA1C48" w:rsidP="00E950D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7E03D7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</w:t>
      </w:r>
    </w:p>
    <w:p w:rsidR="00223F74" w:rsidRPr="00BA1C48" w:rsidRDefault="00223F74" w:rsidP="00E950D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8623D" w:rsidRPr="00BA1C48" w:rsidRDefault="00BA1C48" w:rsidP="00E950DD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</w:t>
      </w:r>
      <w:r w:rsidR="00223F74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uredba</w:t>
      </w:r>
      <w:r w:rsidR="0018623D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="0018623D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8623D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18623D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narednog</w:t>
      </w:r>
      <w:r w:rsidR="0018623D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18623D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18623D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18623D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18623D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8623D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,,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18623D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18623D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18623D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</w:t>
      </w:r>
      <w:r w:rsidR="0018623D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e”. </w:t>
      </w:r>
    </w:p>
    <w:p w:rsidR="00C43BF0" w:rsidRPr="00BA1C48" w:rsidRDefault="00C43BF0" w:rsidP="00E950D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4368D" w:rsidRPr="00BA1C48" w:rsidRDefault="00BA1C48" w:rsidP="00E950D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D4368D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D4368D" w:rsidRPr="00BA1C48" w:rsidRDefault="00BA1C48" w:rsidP="00E950D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4368D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4368D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223F74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decembra</w:t>
      </w:r>
      <w:r w:rsidR="00223F74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4368D" w:rsidRPr="00BA1C48" w:rsidRDefault="00D4368D" w:rsidP="00E950D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4368D" w:rsidRPr="00BA1C48" w:rsidRDefault="00BA1C48" w:rsidP="00E950D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D4368D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D4368D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D4368D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D4368D"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</w:p>
    <w:p w:rsidR="00D4368D" w:rsidRPr="00BA1C48" w:rsidRDefault="00D4368D" w:rsidP="00E950D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4368D" w:rsidRPr="00BA1C48" w:rsidRDefault="00BA1C48" w:rsidP="00D4368D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</w:p>
    <w:p w:rsidR="00D4368D" w:rsidRPr="00BA1C48" w:rsidRDefault="00D4368D" w:rsidP="00D4368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4368D" w:rsidRPr="00BA1C48" w:rsidRDefault="00D4368D" w:rsidP="00D4368D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Aleksandar</w:t>
      </w:r>
      <w:r w:rsidRPr="00BA1C4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1C48">
        <w:rPr>
          <w:rFonts w:ascii="Times New Roman" w:hAnsi="Times New Roman" w:cs="Times New Roman"/>
          <w:noProof/>
          <w:sz w:val="24"/>
          <w:szCs w:val="24"/>
          <w:lang w:val="sr-Latn-CS"/>
        </w:rPr>
        <w:t>Vučić</w:t>
      </w:r>
    </w:p>
    <w:sectPr w:rsidR="00D4368D" w:rsidRPr="00BA1C48" w:rsidSect="002345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D8A" w:rsidRDefault="00333D8A" w:rsidP="002345EA">
      <w:pPr>
        <w:spacing w:after="0" w:line="240" w:lineRule="auto"/>
      </w:pPr>
      <w:r>
        <w:separator/>
      </w:r>
    </w:p>
  </w:endnote>
  <w:endnote w:type="continuationSeparator" w:id="0">
    <w:p w:rsidR="00333D8A" w:rsidRDefault="00333D8A" w:rsidP="0023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C48" w:rsidRDefault="00BA1C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463928104"/>
      <w:docPartObj>
        <w:docPartGallery w:val="Page Numbers (Bottom of Page)"/>
        <w:docPartUnique/>
      </w:docPartObj>
    </w:sdtPr>
    <w:sdtEndPr/>
    <w:sdtContent>
      <w:p w:rsidR="002345EA" w:rsidRPr="00BA1C48" w:rsidRDefault="002345EA">
        <w:pPr>
          <w:pStyle w:val="Footer"/>
          <w:jc w:val="right"/>
          <w:rPr>
            <w:noProof/>
            <w:lang w:val="sr-Latn-CS"/>
          </w:rPr>
        </w:pPr>
        <w:r w:rsidRPr="00BA1C48">
          <w:rPr>
            <w:noProof/>
            <w:lang w:val="sr-Latn-CS"/>
          </w:rPr>
          <w:fldChar w:fldCharType="begin"/>
        </w:r>
        <w:r w:rsidRPr="00BA1C48">
          <w:rPr>
            <w:noProof/>
            <w:lang w:val="sr-Latn-CS"/>
          </w:rPr>
          <w:instrText xml:space="preserve"> PAGE   \* MERGEFORMAT </w:instrText>
        </w:r>
        <w:r w:rsidRPr="00BA1C48">
          <w:rPr>
            <w:noProof/>
            <w:lang w:val="sr-Latn-CS"/>
          </w:rPr>
          <w:fldChar w:fldCharType="separate"/>
        </w:r>
        <w:r w:rsidR="00BA1C48">
          <w:rPr>
            <w:noProof/>
            <w:lang w:val="sr-Latn-CS"/>
          </w:rPr>
          <w:t>2</w:t>
        </w:r>
        <w:r w:rsidRPr="00BA1C48">
          <w:rPr>
            <w:noProof/>
            <w:lang w:val="sr-Latn-CS"/>
          </w:rPr>
          <w:fldChar w:fldCharType="end"/>
        </w:r>
      </w:p>
    </w:sdtContent>
  </w:sdt>
  <w:p w:rsidR="002345EA" w:rsidRPr="00BA1C48" w:rsidRDefault="002345EA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C48" w:rsidRDefault="00BA1C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D8A" w:rsidRDefault="00333D8A" w:rsidP="002345EA">
      <w:pPr>
        <w:spacing w:after="0" w:line="240" w:lineRule="auto"/>
      </w:pPr>
      <w:r>
        <w:separator/>
      </w:r>
    </w:p>
  </w:footnote>
  <w:footnote w:type="continuationSeparator" w:id="0">
    <w:p w:rsidR="00333D8A" w:rsidRDefault="00333D8A" w:rsidP="00234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C48" w:rsidRDefault="00BA1C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C48" w:rsidRDefault="00BA1C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C48" w:rsidRDefault="00BA1C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23"/>
    <w:rsid w:val="000220B1"/>
    <w:rsid w:val="0002449B"/>
    <w:rsid w:val="00035CC8"/>
    <w:rsid w:val="00042E30"/>
    <w:rsid w:val="00046DD4"/>
    <w:rsid w:val="00047689"/>
    <w:rsid w:val="0007695E"/>
    <w:rsid w:val="00087BD3"/>
    <w:rsid w:val="00095C9E"/>
    <w:rsid w:val="000D3A3B"/>
    <w:rsid w:val="000D6CE6"/>
    <w:rsid w:val="000E2E52"/>
    <w:rsid w:val="00105C7D"/>
    <w:rsid w:val="001324BF"/>
    <w:rsid w:val="0013487E"/>
    <w:rsid w:val="00146F9A"/>
    <w:rsid w:val="00157FB8"/>
    <w:rsid w:val="00175563"/>
    <w:rsid w:val="001857FA"/>
    <w:rsid w:val="0018623D"/>
    <w:rsid w:val="00186B90"/>
    <w:rsid w:val="001A3631"/>
    <w:rsid w:val="001B470E"/>
    <w:rsid w:val="00210220"/>
    <w:rsid w:val="00223F74"/>
    <w:rsid w:val="002308C2"/>
    <w:rsid w:val="002345EA"/>
    <w:rsid w:val="00243600"/>
    <w:rsid w:val="00265A27"/>
    <w:rsid w:val="00286D41"/>
    <w:rsid w:val="002950FB"/>
    <w:rsid w:val="00295AFF"/>
    <w:rsid w:val="00296A8D"/>
    <w:rsid w:val="002B10D0"/>
    <w:rsid w:val="002C124A"/>
    <w:rsid w:val="002C72C6"/>
    <w:rsid w:val="002E3B36"/>
    <w:rsid w:val="00333D8A"/>
    <w:rsid w:val="00360BB1"/>
    <w:rsid w:val="003658B7"/>
    <w:rsid w:val="00372DBE"/>
    <w:rsid w:val="00375F33"/>
    <w:rsid w:val="00376901"/>
    <w:rsid w:val="003F2618"/>
    <w:rsid w:val="003F34EB"/>
    <w:rsid w:val="00424F57"/>
    <w:rsid w:val="004B1660"/>
    <w:rsid w:val="004C78DC"/>
    <w:rsid w:val="004D5D94"/>
    <w:rsid w:val="004E2483"/>
    <w:rsid w:val="004F43F7"/>
    <w:rsid w:val="004F7677"/>
    <w:rsid w:val="004F79B4"/>
    <w:rsid w:val="00510648"/>
    <w:rsid w:val="00536DDC"/>
    <w:rsid w:val="00550604"/>
    <w:rsid w:val="005533D9"/>
    <w:rsid w:val="00553B07"/>
    <w:rsid w:val="00555CE3"/>
    <w:rsid w:val="005647FF"/>
    <w:rsid w:val="00577860"/>
    <w:rsid w:val="005B3EFB"/>
    <w:rsid w:val="005C286E"/>
    <w:rsid w:val="005C2FB1"/>
    <w:rsid w:val="006503A4"/>
    <w:rsid w:val="006A1B30"/>
    <w:rsid w:val="006C530B"/>
    <w:rsid w:val="006E510E"/>
    <w:rsid w:val="00707266"/>
    <w:rsid w:val="007828DD"/>
    <w:rsid w:val="007B4C32"/>
    <w:rsid w:val="007E03D7"/>
    <w:rsid w:val="00801D78"/>
    <w:rsid w:val="00810949"/>
    <w:rsid w:val="008462F2"/>
    <w:rsid w:val="00870502"/>
    <w:rsid w:val="00872256"/>
    <w:rsid w:val="00877A50"/>
    <w:rsid w:val="008A3AA4"/>
    <w:rsid w:val="008C6461"/>
    <w:rsid w:val="008D152E"/>
    <w:rsid w:val="00985B03"/>
    <w:rsid w:val="009C5F41"/>
    <w:rsid w:val="009D0DBA"/>
    <w:rsid w:val="00A04ACA"/>
    <w:rsid w:val="00A07629"/>
    <w:rsid w:val="00A07EF7"/>
    <w:rsid w:val="00A27BBF"/>
    <w:rsid w:val="00A53523"/>
    <w:rsid w:val="00A57D41"/>
    <w:rsid w:val="00A81C68"/>
    <w:rsid w:val="00A848EB"/>
    <w:rsid w:val="00A85A0A"/>
    <w:rsid w:val="00A85B60"/>
    <w:rsid w:val="00AD4EBB"/>
    <w:rsid w:val="00AE4C05"/>
    <w:rsid w:val="00B307F6"/>
    <w:rsid w:val="00B34898"/>
    <w:rsid w:val="00B90D83"/>
    <w:rsid w:val="00BA1C48"/>
    <w:rsid w:val="00BA20C0"/>
    <w:rsid w:val="00BC64E3"/>
    <w:rsid w:val="00BF578A"/>
    <w:rsid w:val="00C43BF0"/>
    <w:rsid w:val="00C445B2"/>
    <w:rsid w:val="00C70D7C"/>
    <w:rsid w:val="00C974FC"/>
    <w:rsid w:val="00CB4C67"/>
    <w:rsid w:val="00CE047D"/>
    <w:rsid w:val="00D05F88"/>
    <w:rsid w:val="00D4368D"/>
    <w:rsid w:val="00D60690"/>
    <w:rsid w:val="00D9701C"/>
    <w:rsid w:val="00D977CE"/>
    <w:rsid w:val="00DE0B10"/>
    <w:rsid w:val="00E07757"/>
    <w:rsid w:val="00E2784C"/>
    <w:rsid w:val="00E41A3F"/>
    <w:rsid w:val="00E86BA9"/>
    <w:rsid w:val="00E950DD"/>
    <w:rsid w:val="00EA3854"/>
    <w:rsid w:val="00EC0851"/>
    <w:rsid w:val="00F56AEE"/>
    <w:rsid w:val="00FA5ABE"/>
    <w:rsid w:val="00FB5D50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9032D5-D89A-4CD5-8A07-4632B75D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5EA"/>
  </w:style>
  <w:style w:type="paragraph" w:styleId="Footer">
    <w:name w:val="footer"/>
    <w:basedOn w:val="Normal"/>
    <w:link w:val="FooterChar"/>
    <w:uiPriority w:val="99"/>
    <w:unhideWhenUsed/>
    <w:rsid w:val="00234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5EA"/>
  </w:style>
  <w:style w:type="paragraph" w:styleId="BalloonText">
    <w:name w:val="Balloon Text"/>
    <w:basedOn w:val="Normal"/>
    <w:link w:val="BalloonTextChar"/>
    <w:uiPriority w:val="99"/>
    <w:semiHidden/>
    <w:unhideWhenUsed/>
    <w:rsid w:val="0055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5076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0" w:color="487903"/>
                        <w:left w:val="single" w:sz="12" w:space="0" w:color="487903"/>
                        <w:bottom w:val="single" w:sz="12" w:space="0" w:color="487903"/>
                        <w:right w:val="single" w:sz="12" w:space="0" w:color="487903"/>
                      </w:divBdr>
                      <w:divsChild>
                        <w:div w:id="15272210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1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53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03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8626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0" w:color="487903"/>
                        <w:left w:val="single" w:sz="12" w:space="0" w:color="487903"/>
                        <w:bottom w:val="single" w:sz="12" w:space="0" w:color="487903"/>
                        <w:right w:val="single" w:sz="12" w:space="0" w:color="487903"/>
                      </w:divBdr>
                      <w:divsChild>
                        <w:div w:id="1980265878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0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3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4918">
                                          <w:blockQuote w:val="1"/>
                                          <w:marLeft w:val="720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4475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0" w:color="487903"/>
                        <w:left w:val="single" w:sz="12" w:space="0" w:color="487903"/>
                        <w:bottom w:val="single" w:sz="12" w:space="0" w:color="487903"/>
                        <w:right w:val="single" w:sz="12" w:space="0" w:color="487903"/>
                      </w:divBdr>
                      <w:divsChild>
                        <w:div w:id="1696886509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4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66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67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99197">
                                          <w:blockQuote w:val="1"/>
                                          <w:marLeft w:val="720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8695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0" w:color="487903"/>
                        <w:left w:val="single" w:sz="12" w:space="0" w:color="487903"/>
                        <w:bottom w:val="single" w:sz="12" w:space="0" w:color="487903"/>
                        <w:right w:val="single" w:sz="12" w:space="0" w:color="487903"/>
                      </w:divBdr>
                      <w:divsChild>
                        <w:div w:id="327171407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6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58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12875">
                                          <w:blockQuote w:val="1"/>
                                          <w:marLeft w:val="720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Obradovic</dc:creator>
  <cp:lastModifiedBy>Nenad Zdraljevic</cp:lastModifiedBy>
  <cp:revision>2</cp:revision>
  <cp:lastPrinted>2015-11-20T11:15:00Z</cp:lastPrinted>
  <dcterms:created xsi:type="dcterms:W3CDTF">2015-12-31T14:29:00Z</dcterms:created>
  <dcterms:modified xsi:type="dcterms:W3CDTF">2015-12-31T14:29:00Z</dcterms:modified>
</cp:coreProperties>
</file>