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1" w:rsidRPr="00FD4DD5" w:rsidRDefault="00FD7711" w:rsidP="00FD7711">
      <w:pPr>
        <w:rPr>
          <w:noProof/>
          <w:lang w:val="sr-Latn-CS"/>
        </w:rPr>
      </w:pPr>
    </w:p>
    <w:p w:rsidR="00A96CEE" w:rsidRPr="00FD4DD5" w:rsidRDefault="00A96CEE" w:rsidP="00FD7711">
      <w:pPr>
        <w:rPr>
          <w:noProof/>
          <w:lang w:val="sr-Latn-CS"/>
        </w:rPr>
      </w:pPr>
    </w:p>
    <w:p w:rsidR="00FD7711" w:rsidRPr="00FD4DD5" w:rsidRDefault="00FD7711" w:rsidP="00FD7711">
      <w:pPr>
        <w:pStyle w:val="Heading1"/>
        <w:jc w:val="left"/>
        <w:rPr>
          <w:b w:val="0"/>
          <w:bCs w:val="0"/>
          <w:noProof/>
          <w:u w:val="single"/>
          <w:lang w:val="sr-Latn-CS"/>
        </w:rPr>
      </w:pPr>
    </w:p>
    <w:p w:rsidR="004D7652" w:rsidRPr="00FD4DD5" w:rsidRDefault="004D7652" w:rsidP="00EE30F6">
      <w:pPr>
        <w:ind w:firstLine="720"/>
        <w:jc w:val="both"/>
        <w:rPr>
          <w:noProof/>
          <w:lang w:val="sr-Latn-CS"/>
        </w:rPr>
      </w:pPr>
    </w:p>
    <w:p w:rsidR="004D7652" w:rsidRPr="00FD4DD5" w:rsidRDefault="004D7652" w:rsidP="00EE30F6">
      <w:pPr>
        <w:ind w:firstLine="720"/>
        <w:jc w:val="both"/>
        <w:rPr>
          <w:noProof/>
          <w:lang w:val="sr-Latn-CS"/>
        </w:rPr>
      </w:pPr>
    </w:p>
    <w:p w:rsidR="00EE30F6" w:rsidRPr="00FD4DD5" w:rsidRDefault="00FD4DD5" w:rsidP="00236A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D56263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56263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10,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20,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22.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5,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28,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35.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37.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57,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59.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91.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101. </w:t>
      </w:r>
      <w:r>
        <w:rPr>
          <w:noProof/>
          <w:lang w:val="sr-Latn-CS"/>
        </w:rPr>
        <w:t>st</w:t>
      </w:r>
      <w:r w:rsidR="00D56263" w:rsidRPr="00FD4DD5">
        <w:rPr>
          <w:noProof/>
          <w:lang w:val="sr-Latn-CS"/>
        </w:rPr>
        <w:t xml:space="preserve">. 1, 4. </w:t>
      </w:r>
      <w:r>
        <w:rPr>
          <w:noProof/>
          <w:lang w:val="sr-Latn-CS"/>
        </w:rPr>
        <w:t>i</w:t>
      </w:r>
      <w:r w:rsidR="00D56263" w:rsidRPr="00FD4DD5">
        <w:rPr>
          <w:noProof/>
          <w:lang w:val="sr-Latn-CS"/>
        </w:rPr>
        <w:t xml:space="preserve"> 7,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107.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110.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5,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114.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115.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121.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6,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124.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1,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126,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128.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138.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144.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145.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2. </w:t>
      </w:r>
      <w:r>
        <w:rPr>
          <w:noProof/>
          <w:lang w:val="sr-Latn-CS"/>
        </w:rPr>
        <w:t>tačka</w:t>
      </w:r>
      <w:r w:rsidR="00D56263" w:rsidRPr="00FD4DD5">
        <w:rPr>
          <w:noProof/>
          <w:lang w:val="sr-Latn-CS"/>
        </w:rPr>
        <w:t xml:space="preserve"> 3),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146.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148,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150.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D56263" w:rsidRPr="00FD4DD5">
        <w:rPr>
          <w:noProof/>
          <w:lang w:val="sr-Latn-CS"/>
        </w:rPr>
        <w:t xml:space="preserve"> 1) </w:t>
      </w:r>
      <w:r>
        <w:rPr>
          <w:noProof/>
          <w:lang w:val="sr-Latn-CS"/>
        </w:rPr>
        <w:t>alineja</w:t>
      </w:r>
      <w:r w:rsidR="00D56263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prva</w:t>
      </w:r>
      <w:r w:rsidR="00D56263" w:rsidRPr="00FD4DD5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156.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158,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160.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D56263" w:rsidRPr="00FD4DD5">
        <w:rPr>
          <w:noProof/>
          <w:lang w:val="sr-Latn-CS"/>
        </w:rPr>
        <w:t xml:space="preserve"> 5),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168,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169.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173.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174.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175.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180.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188. </w:t>
      </w:r>
      <w:r>
        <w:rPr>
          <w:noProof/>
          <w:lang w:val="sr-Latn-CS"/>
        </w:rPr>
        <w:t>st</w:t>
      </w:r>
      <w:r w:rsidR="00D56263" w:rsidRPr="00FD4DD5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D56263" w:rsidRPr="00FD4DD5">
        <w:rPr>
          <w:noProof/>
          <w:lang w:val="sr-Latn-CS"/>
        </w:rPr>
        <w:t xml:space="preserve"> 5,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201.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203.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208.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209. </w:t>
      </w:r>
      <w:r>
        <w:rPr>
          <w:noProof/>
          <w:lang w:val="sr-Latn-CS"/>
        </w:rPr>
        <w:t>st</w:t>
      </w:r>
      <w:r w:rsidR="00D56263" w:rsidRPr="00FD4DD5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D56263" w:rsidRPr="00FD4DD5">
        <w:rPr>
          <w:noProof/>
          <w:lang w:val="sr-Latn-CS"/>
        </w:rPr>
        <w:t xml:space="preserve"> 5,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210.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217.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D56263" w:rsidRPr="00FD4DD5">
        <w:rPr>
          <w:noProof/>
          <w:lang w:val="sr-Latn-CS"/>
        </w:rPr>
        <w:t xml:space="preserve"> 6),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221.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4. </w:t>
      </w:r>
      <w:r>
        <w:rPr>
          <w:noProof/>
          <w:lang w:val="sr-Latn-CS"/>
        </w:rPr>
        <w:t>tačka</w:t>
      </w:r>
      <w:r w:rsidR="00D56263" w:rsidRPr="00FD4DD5">
        <w:rPr>
          <w:noProof/>
          <w:lang w:val="sr-Latn-CS"/>
        </w:rPr>
        <w:t xml:space="preserve"> 2),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222,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225.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6,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227.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229.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236,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251.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4,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255.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5,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260.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268.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276.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1,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277, </w:t>
      </w:r>
      <w:r>
        <w:rPr>
          <w:noProof/>
          <w:lang w:val="sr-Latn-CS"/>
        </w:rPr>
        <w:t>člana</w:t>
      </w:r>
      <w:r w:rsidR="00D56263" w:rsidRPr="00FD4DD5">
        <w:rPr>
          <w:noProof/>
          <w:lang w:val="sr-Latn-CS"/>
        </w:rPr>
        <w:t xml:space="preserve"> 288. </w:t>
      </w:r>
      <w:r>
        <w:rPr>
          <w:noProof/>
          <w:lang w:val="sr-Latn-CS"/>
        </w:rPr>
        <w:t>stav</w:t>
      </w:r>
      <w:r w:rsidR="00D56263" w:rsidRPr="00FD4DD5">
        <w:rPr>
          <w:noProof/>
          <w:lang w:val="sr-Latn-CS"/>
        </w:rPr>
        <w:t xml:space="preserve"> 3. </w:t>
      </w:r>
      <w:r>
        <w:rPr>
          <w:noProof/>
          <w:color w:val="000000"/>
          <w:lang w:val="sr-Latn-CS"/>
        </w:rPr>
        <w:t>Carinskog</w:t>
      </w:r>
      <w:r w:rsidR="00EE30F6" w:rsidRPr="00FD4DD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EE30F6" w:rsidRPr="00FD4DD5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EE30F6" w:rsidRPr="00FD4DD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EE30F6" w:rsidRPr="00FD4DD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EE30F6" w:rsidRPr="00FD4DD5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EE30F6" w:rsidRPr="00FD4DD5">
        <w:rPr>
          <w:noProof/>
          <w:color w:val="000000"/>
          <w:lang w:val="sr-Latn-CS"/>
        </w:rPr>
        <w:t xml:space="preserve"> 18/10, 111/12 </w:t>
      </w:r>
      <w:r>
        <w:rPr>
          <w:noProof/>
          <w:color w:val="000000"/>
          <w:lang w:val="sr-Latn-CS"/>
        </w:rPr>
        <w:t>i</w:t>
      </w:r>
      <w:r w:rsidR="00EE30F6" w:rsidRPr="00FD4DD5">
        <w:rPr>
          <w:noProof/>
          <w:color w:val="000000"/>
          <w:lang w:val="sr-Latn-CS"/>
        </w:rPr>
        <w:t xml:space="preserve"> 29/15) </w:t>
      </w:r>
      <w:r>
        <w:rPr>
          <w:noProof/>
          <w:lang w:val="sr-Latn-CS"/>
        </w:rPr>
        <w:t>i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E30F6" w:rsidRPr="00FD4DD5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EE30F6" w:rsidRPr="00FD4DD5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EE30F6" w:rsidRPr="00FD4DD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E30F6" w:rsidRPr="00FD4DD5">
        <w:rPr>
          <w:noProof/>
          <w:color w:val="000000"/>
          <w:lang w:val="sr-Latn-CS"/>
        </w:rPr>
        <w:t>”</w:t>
      </w:r>
      <w:r w:rsidR="00EE30F6" w:rsidRPr="00FD4DD5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EE30F6" w:rsidRPr="00FD4DD5">
        <w:rPr>
          <w:noProof/>
          <w:lang w:val="sr-Latn-CS"/>
        </w:rPr>
        <w:t>. 55/05, 71/05-</w:t>
      </w:r>
      <w:r>
        <w:rPr>
          <w:noProof/>
          <w:lang w:val="sr-Latn-CS"/>
        </w:rPr>
        <w:t>ispravka</w:t>
      </w:r>
      <w:r w:rsidR="00EE30F6" w:rsidRPr="00FD4DD5">
        <w:rPr>
          <w:noProof/>
          <w:lang w:val="sr-Latn-CS"/>
        </w:rPr>
        <w:t xml:space="preserve">, 101/07, 65/08, 16/11, 68/12- </w:t>
      </w:r>
      <w:r>
        <w:rPr>
          <w:noProof/>
          <w:lang w:val="sr-Latn-CS"/>
        </w:rPr>
        <w:t>US</w:t>
      </w:r>
      <w:r w:rsidR="00EE30F6" w:rsidRPr="00FD4DD5">
        <w:rPr>
          <w:noProof/>
          <w:lang w:val="sr-Latn-CS"/>
        </w:rPr>
        <w:t xml:space="preserve">, 72/12, 7/14- </w:t>
      </w:r>
      <w:r>
        <w:rPr>
          <w:noProof/>
          <w:lang w:val="sr-Latn-CS"/>
        </w:rPr>
        <w:t>US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E30F6" w:rsidRPr="00FD4DD5">
        <w:rPr>
          <w:noProof/>
          <w:lang w:val="sr-Latn-CS"/>
        </w:rPr>
        <w:t xml:space="preserve"> 44/14)</w:t>
      </w:r>
      <w:r w:rsidR="00EE30F6" w:rsidRPr="00FD4DD5">
        <w:rPr>
          <w:noProof/>
          <w:color w:val="000000"/>
          <w:lang w:val="sr-Latn-CS"/>
        </w:rPr>
        <w:t>,</w:t>
      </w:r>
    </w:p>
    <w:p w:rsidR="00EE30F6" w:rsidRPr="00FD4DD5" w:rsidRDefault="00EE30F6" w:rsidP="00EE30F6">
      <w:pPr>
        <w:ind w:firstLine="720"/>
        <w:jc w:val="both"/>
        <w:rPr>
          <w:noProof/>
          <w:lang w:val="sr-Latn-CS"/>
        </w:rPr>
      </w:pPr>
    </w:p>
    <w:p w:rsidR="00EE30F6" w:rsidRPr="00FD4DD5" w:rsidRDefault="00FD4DD5" w:rsidP="00EE30F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EE30F6" w:rsidRPr="00FD4DD5" w:rsidRDefault="00EE30F6" w:rsidP="00EE30F6">
      <w:pPr>
        <w:ind w:firstLine="720"/>
        <w:jc w:val="both"/>
        <w:rPr>
          <w:noProof/>
          <w:lang w:val="sr-Latn-CS"/>
        </w:rPr>
      </w:pPr>
    </w:p>
    <w:p w:rsidR="00EE30F6" w:rsidRPr="00FD4DD5" w:rsidRDefault="004D7652" w:rsidP="004D7652">
      <w:pPr>
        <w:pStyle w:val="Heading1"/>
        <w:rPr>
          <w:noProof/>
          <w:lang w:val="sr-Latn-CS"/>
        </w:rPr>
      </w:pPr>
      <w:r w:rsidRPr="00FD4DD5">
        <w:rPr>
          <w:noProof/>
          <w:lang w:val="sr-Latn-CS"/>
        </w:rPr>
        <w:t xml:space="preserve">  </w:t>
      </w:r>
      <w:r w:rsidR="00FD4DD5">
        <w:rPr>
          <w:noProof/>
          <w:lang w:val="sr-Latn-CS"/>
        </w:rPr>
        <w:t>UREDBU</w:t>
      </w:r>
    </w:p>
    <w:p w:rsidR="00EE30F6" w:rsidRPr="00FD4DD5" w:rsidRDefault="00FD4DD5" w:rsidP="00EE30F6">
      <w:pPr>
        <w:pStyle w:val="Heading1"/>
        <w:rPr>
          <w:noProof/>
          <w:lang w:val="sr-Latn-CS"/>
        </w:rPr>
      </w:pPr>
      <w:r>
        <w:rPr>
          <w:noProof/>
          <w:lang w:val="sr-Latn-CS"/>
        </w:rPr>
        <w:t>O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EE30F6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E30F6" w:rsidRPr="00FD4DD5">
        <w:rPr>
          <w:noProof/>
          <w:lang w:val="sr-Latn-CS"/>
        </w:rPr>
        <w:t xml:space="preserve">  </w:t>
      </w:r>
      <w:r>
        <w:rPr>
          <w:noProof/>
          <w:lang w:val="sr-Latn-CS"/>
        </w:rPr>
        <w:t>CARINSKI</w:t>
      </w:r>
    </w:p>
    <w:p w:rsidR="00EE30F6" w:rsidRPr="00FD4DD5" w:rsidRDefault="00FD4DD5" w:rsidP="00EE30F6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DOZVOLJENOM</w:t>
      </w:r>
      <w:r w:rsidR="00EE30F6" w:rsidRPr="00FD4D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POSTUPANJU</w:t>
      </w:r>
      <w:r w:rsidR="00EE30F6" w:rsidRPr="00FD4D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</w:t>
      </w:r>
      <w:r w:rsidR="00EE30F6" w:rsidRPr="00FD4D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ROBOM</w:t>
      </w:r>
    </w:p>
    <w:p w:rsidR="00EE30F6" w:rsidRPr="00FD4DD5" w:rsidRDefault="00EE30F6" w:rsidP="006D6A85">
      <w:pPr>
        <w:rPr>
          <w:bCs/>
          <w:noProof/>
          <w:lang w:val="sr-Latn-CS"/>
        </w:rPr>
      </w:pPr>
    </w:p>
    <w:p w:rsidR="00EE30F6" w:rsidRPr="00FD4DD5" w:rsidRDefault="00FD4DD5" w:rsidP="00EE30F6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EE30F6" w:rsidRPr="00FD4DD5">
        <w:rPr>
          <w:bCs/>
          <w:noProof/>
          <w:lang w:val="sr-Latn-CS"/>
        </w:rPr>
        <w:t xml:space="preserve"> 1.</w:t>
      </w:r>
    </w:p>
    <w:p w:rsidR="00EE30F6" w:rsidRPr="00FD4DD5" w:rsidRDefault="00EE30F6" w:rsidP="00EE30F6">
      <w:pPr>
        <w:jc w:val="center"/>
        <w:rPr>
          <w:bCs/>
          <w:noProof/>
          <w:lang w:val="sr-Latn-CS"/>
        </w:rPr>
      </w:pPr>
    </w:p>
    <w:p w:rsidR="004D7652" w:rsidRPr="00FD4DD5" w:rsidRDefault="00A019E5" w:rsidP="00EE30F6">
      <w:pPr>
        <w:rPr>
          <w:rFonts w:eastAsia="Calibri"/>
          <w:noProof/>
          <w:lang w:val="sr-Latn-CS"/>
        </w:rPr>
      </w:pPr>
      <w:r w:rsidRPr="00FD4DD5">
        <w:rPr>
          <w:noProof/>
          <w:lang w:val="sr-Latn-CS" w:eastAsia="hr-HR"/>
        </w:rPr>
        <w:t xml:space="preserve">             </w:t>
      </w:r>
      <w:r w:rsidR="00FD4DD5">
        <w:rPr>
          <w:noProof/>
          <w:lang w:val="sr-Latn-CS" w:eastAsia="hr-HR"/>
        </w:rPr>
        <w:t>U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Uredbi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o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carinski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dozvoljenom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postupanju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s</w:t>
      </w:r>
      <w:r w:rsidR="00EE30F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robom</w:t>
      </w:r>
      <w:r w:rsidR="00EE30F6" w:rsidRPr="00FD4DD5">
        <w:rPr>
          <w:noProof/>
          <w:lang w:val="sr-Latn-CS" w:eastAsia="hr-HR"/>
        </w:rPr>
        <w:t xml:space="preserve"> </w:t>
      </w:r>
      <w:r w:rsidR="00EE30F6" w:rsidRPr="00FD4DD5">
        <w:rPr>
          <w:noProof/>
          <w:color w:val="000000"/>
          <w:lang w:val="sr-Latn-CS"/>
        </w:rPr>
        <w:t>(„</w:t>
      </w:r>
      <w:r w:rsidR="00FD4DD5">
        <w:rPr>
          <w:noProof/>
          <w:color w:val="000000"/>
          <w:lang w:val="sr-Latn-CS"/>
        </w:rPr>
        <w:t>Službeni</w:t>
      </w:r>
      <w:r w:rsidR="00EE30F6" w:rsidRPr="00FD4DD5">
        <w:rPr>
          <w:noProof/>
          <w:color w:val="000000"/>
          <w:lang w:val="sr-Latn-CS"/>
        </w:rPr>
        <w:t xml:space="preserve"> </w:t>
      </w:r>
      <w:r w:rsidR="00FD4DD5">
        <w:rPr>
          <w:noProof/>
          <w:color w:val="000000"/>
          <w:lang w:val="sr-Latn-CS"/>
        </w:rPr>
        <w:t>glasnik</w:t>
      </w:r>
      <w:r w:rsidR="00EE30F6" w:rsidRPr="00FD4DD5">
        <w:rPr>
          <w:noProof/>
          <w:color w:val="000000"/>
          <w:lang w:val="sr-Latn-CS"/>
        </w:rPr>
        <w:t xml:space="preserve"> </w:t>
      </w:r>
      <w:r w:rsidR="00FD4DD5">
        <w:rPr>
          <w:noProof/>
          <w:color w:val="000000"/>
          <w:lang w:val="sr-Latn-CS"/>
        </w:rPr>
        <w:t>RS</w:t>
      </w:r>
      <w:r w:rsidR="00EE30F6" w:rsidRPr="00FD4DD5">
        <w:rPr>
          <w:noProof/>
          <w:color w:val="000000"/>
          <w:lang w:val="sr-Latn-CS"/>
        </w:rPr>
        <w:t xml:space="preserve">”, </w:t>
      </w:r>
      <w:r w:rsidR="00FD4DD5">
        <w:rPr>
          <w:noProof/>
          <w:color w:val="000000"/>
          <w:lang w:val="sr-Latn-CS"/>
        </w:rPr>
        <w:t>br</w:t>
      </w:r>
      <w:r w:rsidR="00EE30F6" w:rsidRPr="00FD4DD5">
        <w:rPr>
          <w:noProof/>
          <w:color w:val="000000"/>
          <w:lang w:val="sr-Latn-CS"/>
        </w:rPr>
        <w:t>. 93/10</w:t>
      </w:r>
      <w:r w:rsidR="00C002E6" w:rsidRPr="00FD4DD5">
        <w:rPr>
          <w:noProof/>
          <w:color w:val="000000"/>
          <w:lang w:val="sr-Latn-CS"/>
        </w:rPr>
        <w:t xml:space="preserve">, </w:t>
      </w:r>
      <w:r w:rsidR="00EE30F6" w:rsidRPr="00FD4DD5">
        <w:rPr>
          <w:noProof/>
          <w:color w:val="000000"/>
          <w:lang w:val="sr-Latn-CS"/>
        </w:rPr>
        <w:t xml:space="preserve">63/13 </w:t>
      </w:r>
      <w:r w:rsidR="00FD4DD5">
        <w:rPr>
          <w:noProof/>
          <w:color w:val="000000"/>
          <w:lang w:val="sr-Latn-CS"/>
        </w:rPr>
        <w:t>i</w:t>
      </w:r>
      <w:r w:rsidR="00EE30F6" w:rsidRPr="00FD4DD5">
        <w:rPr>
          <w:noProof/>
          <w:color w:val="000000"/>
          <w:lang w:val="sr-Latn-CS"/>
        </w:rPr>
        <w:t xml:space="preserve"> </w:t>
      </w:r>
      <w:r w:rsidR="00C826CC" w:rsidRPr="00FD4DD5">
        <w:rPr>
          <w:noProof/>
          <w:color w:val="000000"/>
          <w:lang w:val="sr-Latn-CS"/>
        </w:rPr>
        <w:t>145/14</w:t>
      </w:r>
      <w:r w:rsidR="00EE30F6" w:rsidRPr="00FD4DD5">
        <w:rPr>
          <w:noProof/>
          <w:lang w:val="sr-Latn-CS" w:eastAsia="hr-HR"/>
        </w:rPr>
        <w:t>),</w:t>
      </w:r>
      <w:r w:rsidR="00A152F9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posle</w:t>
      </w:r>
      <w:r w:rsidR="00A152F9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člana</w:t>
      </w:r>
      <w:r w:rsidR="00A152F9" w:rsidRPr="00FD4DD5">
        <w:rPr>
          <w:noProof/>
          <w:lang w:val="sr-Latn-CS" w:eastAsia="hr-HR"/>
        </w:rPr>
        <w:t xml:space="preserve"> 485</w:t>
      </w:r>
      <w:r w:rsidR="00C002E6" w:rsidRPr="00FD4DD5">
        <w:rPr>
          <w:noProof/>
          <w:lang w:val="sr-Latn-CS" w:eastAsia="hr-HR"/>
        </w:rPr>
        <w:t xml:space="preserve">. </w:t>
      </w:r>
      <w:r w:rsidR="00FD4DD5">
        <w:rPr>
          <w:noProof/>
          <w:lang w:val="sr-Latn-CS" w:eastAsia="hr-HR"/>
        </w:rPr>
        <w:t>dodaju</w:t>
      </w:r>
      <w:r w:rsidR="004D7652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se</w:t>
      </w:r>
      <w:r w:rsidR="004D7652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naziv</w:t>
      </w:r>
      <w:r w:rsidR="00C002E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iznad</w:t>
      </w:r>
      <w:r w:rsidR="00C002E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člana</w:t>
      </w:r>
      <w:r w:rsidR="00C002E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i</w:t>
      </w:r>
      <w:r w:rsidR="004D7652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član</w:t>
      </w:r>
      <w:r w:rsidR="004D7652" w:rsidRPr="00FD4DD5">
        <w:rPr>
          <w:noProof/>
          <w:lang w:val="sr-Latn-CS" w:eastAsia="hr-HR"/>
        </w:rPr>
        <w:t xml:space="preserve"> 485</w:t>
      </w:r>
      <w:r w:rsidR="00FD4DD5">
        <w:rPr>
          <w:noProof/>
          <w:lang w:val="sr-Latn-CS" w:eastAsia="hr-HR"/>
        </w:rPr>
        <w:t>a</w:t>
      </w:r>
      <w:r w:rsidR="00C002E6" w:rsidRPr="00FD4DD5">
        <w:rPr>
          <w:noProof/>
          <w:lang w:val="sr-Latn-CS" w:eastAsia="hr-HR"/>
        </w:rPr>
        <w:t xml:space="preserve">, </w:t>
      </w:r>
      <w:r w:rsidR="00FD4DD5">
        <w:rPr>
          <w:noProof/>
          <w:lang w:val="sr-Latn-CS" w:eastAsia="hr-HR"/>
        </w:rPr>
        <w:t>koji</w:t>
      </w:r>
      <w:r w:rsidR="00C002E6" w:rsidRPr="00FD4DD5">
        <w:rPr>
          <w:noProof/>
          <w:lang w:val="sr-Latn-CS" w:eastAsia="hr-HR"/>
        </w:rPr>
        <w:t xml:space="preserve"> </w:t>
      </w:r>
      <w:r w:rsidR="00FD4DD5">
        <w:rPr>
          <w:noProof/>
          <w:lang w:val="sr-Latn-CS" w:eastAsia="hr-HR"/>
        </w:rPr>
        <w:t>glase</w:t>
      </w:r>
      <w:r w:rsidR="004D7652" w:rsidRPr="00FD4DD5">
        <w:rPr>
          <w:noProof/>
          <w:lang w:val="sr-Latn-CS" w:eastAsia="hr-HR"/>
        </w:rPr>
        <w:t>:</w:t>
      </w:r>
      <w:r w:rsidR="004D7652" w:rsidRPr="00FD4DD5">
        <w:rPr>
          <w:rFonts w:eastAsia="Calibri"/>
          <w:noProof/>
          <w:lang w:val="sr-Latn-CS"/>
        </w:rPr>
        <w:t xml:space="preserve"> </w:t>
      </w:r>
    </w:p>
    <w:p w:rsidR="006D6A85" w:rsidRPr="00FD4DD5" w:rsidRDefault="004D7652" w:rsidP="00EE30F6">
      <w:pPr>
        <w:rPr>
          <w:rFonts w:eastAsia="Calibri"/>
          <w:noProof/>
          <w:lang w:val="sr-Latn-CS"/>
        </w:rPr>
      </w:pPr>
      <w:r w:rsidRPr="00FD4DD5">
        <w:rPr>
          <w:rFonts w:eastAsia="Calibri"/>
          <w:noProof/>
          <w:lang w:val="sr-Latn-CS"/>
        </w:rPr>
        <w:t xml:space="preserve">   </w:t>
      </w:r>
      <w:r w:rsidR="006D6A85" w:rsidRPr="00FD4DD5">
        <w:rPr>
          <w:rFonts w:eastAsia="Calibri"/>
          <w:noProof/>
          <w:lang w:val="sr-Latn-CS"/>
        </w:rPr>
        <w:t xml:space="preserve"> </w:t>
      </w:r>
    </w:p>
    <w:p w:rsidR="004D7652" w:rsidRPr="00FD4DD5" w:rsidRDefault="006D6A85" w:rsidP="00EE30F6">
      <w:pPr>
        <w:rPr>
          <w:rFonts w:eastAsia="Calibri"/>
          <w:noProof/>
          <w:lang w:val="sr-Latn-CS"/>
        </w:rPr>
      </w:pPr>
      <w:r w:rsidRPr="00FD4DD5">
        <w:rPr>
          <w:rFonts w:eastAsia="Calibri"/>
          <w:noProof/>
          <w:lang w:val="sr-Latn-CS"/>
        </w:rPr>
        <w:t xml:space="preserve">                                         „ </w:t>
      </w:r>
      <w:r w:rsidR="00FD4DD5">
        <w:rPr>
          <w:rFonts w:eastAsiaTheme="minorHAnsi"/>
          <w:noProof/>
          <w:lang w:val="sr-Latn-CS"/>
        </w:rPr>
        <w:t>Prevoz</w:t>
      </w:r>
      <w:r w:rsidRPr="00FD4DD5">
        <w:rPr>
          <w:rFonts w:eastAsiaTheme="minorHAnsi"/>
          <w:noProof/>
          <w:lang w:val="sr-Latn-CS"/>
        </w:rPr>
        <w:t xml:space="preserve"> </w:t>
      </w:r>
      <w:r w:rsidR="00FD4DD5">
        <w:rPr>
          <w:rFonts w:eastAsiaTheme="minorHAnsi"/>
          <w:noProof/>
          <w:lang w:val="sr-Latn-CS"/>
        </w:rPr>
        <w:t>u</w:t>
      </w:r>
      <w:r w:rsidRPr="00FD4DD5">
        <w:rPr>
          <w:rFonts w:eastAsiaTheme="minorHAnsi"/>
          <w:noProof/>
          <w:lang w:val="sr-Latn-CS"/>
        </w:rPr>
        <w:t xml:space="preserve"> </w:t>
      </w:r>
      <w:r w:rsidR="00FD4DD5">
        <w:rPr>
          <w:rFonts w:eastAsiaTheme="minorHAnsi"/>
          <w:noProof/>
          <w:lang w:val="sr-Latn-CS"/>
        </w:rPr>
        <w:t>okviru</w:t>
      </w:r>
      <w:r w:rsidRPr="00FD4DD5">
        <w:rPr>
          <w:rFonts w:eastAsiaTheme="minorHAnsi"/>
          <w:noProof/>
          <w:lang w:val="sr-Latn-CS"/>
        </w:rPr>
        <w:t xml:space="preserve"> </w:t>
      </w:r>
      <w:r w:rsidR="00FD4DD5">
        <w:rPr>
          <w:rFonts w:eastAsiaTheme="minorHAnsi"/>
          <w:noProof/>
          <w:lang w:val="sr-Latn-CS"/>
        </w:rPr>
        <w:t>postupka</w:t>
      </w:r>
      <w:r w:rsidRPr="00FD4DD5">
        <w:rPr>
          <w:rFonts w:eastAsiaTheme="minorHAnsi"/>
          <w:noProof/>
          <w:lang w:val="sr-Latn-CS"/>
        </w:rPr>
        <w:t xml:space="preserve"> </w:t>
      </w:r>
      <w:r w:rsidR="00FD4DD5">
        <w:rPr>
          <w:rFonts w:eastAsiaTheme="minorHAnsi"/>
          <w:noProof/>
          <w:lang w:val="sr-Latn-CS"/>
        </w:rPr>
        <w:t>sa</w:t>
      </w:r>
      <w:r w:rsidRPr="00FD4DD5">
        <w:rPr>
          <w:rFonts w:eastAsiaTheme="minorHAnsi"/>
          <w:noProof/>
          <w:lang w:val="sr-Latn-CS"/>
        </w:rPr>
        <w:t xml:space="preserve"> </w:t>
      </w:r>
      <w:r w:rsidR="00FD4DD5">
        <w:rPr>
          <w:rFonts w:eastAsiaTheme="minorHAnsi"/>
          <w:noProof/>
          <w:lang w:val="sr-Latn-CS"/>
        </w:rPr>
        <w:t>obrascem</w:t>
      </w:r>
      <w:r w:rsidRPr="00FD4DD5">
        <w:rPr>
          <w:rFonts w:eastAsiaTheme="minorHAnsi"/>
          <w:noProof/>
          <w:lang w:val="sr-Latn-CS"/>
        </w:rPr>
        <w:t xml:space="preserve"> 302</w:t>
      </w:r>
    </w:p>
    <w:p w:rsidR="006D6A85" w:rsidRPr="00FD4DD5" w:rsidRDefault="004D7652" w:rsidP="00EE30F6">
      <w:pPr>
        <w:rPr>
          <w:rFonts w:eastAsia="Calibri"/>
          <w:noProof/>
          <w:lang w:val="sr-Latn-CS"/>
        </w:rPr>
      </w:pPr>
      <w:r w:rsidRPr="00FD4DD5">
        <w:rPr>
          <w:rFonts w:eastAsia="Calibri"/>
          <w:noProof/>
          <w:lang w:val="sr-Latn-CS"/>
        </w:rPr>
        <w:t xml:space="preserve">                                                               </w:t>
      </w:r>
    </w:p>
    <w:p w:rsidR="004D7652" w:rsidRPr="00FD4DD5" w:rsidRDefault="006D6A85" w:rsidP="00EE30F6">
      <w:pPr>
        <w:rPr>
          <w:rFonts w:eastAsia="Calibri"/>
          <w:noProof/>
          <w:lang w:val="sr-Latn-CS"/>
        </w:rPr>
      </w:pPr>
      <w:r w:rsidRPr="00FD4DD5">
        <w:rPr>
          <w:rFonts w:eastAsia="Calibri"/>
          <w:noProof/>
          <w:lang w:val="sr-Latn-CS"/>
        </w:rPr>
        <w:t xml:space="preserve">                                                                   </w:t>
      </w:r>
      <w:r w:rsidR="004D7652" w:rsidRPr="00FD4DD5">
        <w:rPr>
          <w:rFonts w:eastAsia="Calibri"/>
          <w:noProof/>
          <w:lang w:val="sr-Latn-CS"/>
        </w:rPr>
        <w:t xml:space="preserve"> </w:t>
      </w:r>
      <w:r w:rsidRPr="00FD4DD5">
        <w:rPr>
          <w:rFonts w:eastAsia="Calibri"/>
          <w:noProof/>
          <w:lang w:val="sr-Latn-CS"/>
        </w:rPr>
        <w:t xml:space="preserve"> </w:t>
      </w:r>
      <w:r w:rsidR="004D7652" w:rsidRPr="00FD4DD5">
        <w:rPr>
          <w:rFonts w:eastAsia="Calibri"/>
          <w:noProof/>
          <w:lang w:val="sr-Latn-CS"/>
        </w:rPr>
        <w:t xml:space="preserve"> </w:t>
      </w:r>
      <w:r w:rsidR="00FD4DD5">
        <w:rPr>
          <w:rFonts w:eastAsia="Calibri"/>
          <w:noProof/>
          <w:lang w:val="sr-Latn-CS"/>
        </w:rPr>
        <w:t>Član</w:t>
      </w:r>
      <w:r w:rsidR="004D7652" w:rsidRPr="00FD4DD5">
        <w:rPr>
          <w:rFonts w:eastAsia="Calibri"/>
          <w:noProof/>
          <w:lang w:val="sr-Latn-CS"/>
        </w:rPr>
        <w:t xml:space="preserve"> 485</w:t>
      </w:r>
      <w:r w:rsidR="00FD4DD5">
        <w:rPr>
          <w:rFonts w:eastAsia="Calibri"/>
          <w:noProof/>
          <w:lang w:val="sr-Latn-CS"/>
        </w:rPr>
        <w:t>a</w:t>
      </w:r>
    </w:p>
    <w:p w:rsidR="004D7652" w:rsidRPr="00FD4DD5" w:rsidRDefault="004D7652" w:rsidP="00EE30F6">
      <w:pPr>
        <w:rPr>
          <w:noProof/>
          <w:lang w:val="sr-Latn-CS" w:eastAsia="hr-HR"/>
        </w:rPr>
      </w:pPr>
    </w:p>
    <w:p w:rsidR="004D7652" w:rsidRPr="00FD4DD5" w:rsidRDefault="00A019E5" w:rsidP="004D7652">
      <w:pPr>
        <w:pStyle w:val="ListParagraph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9263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118.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125.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27451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69263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9263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A152F9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52F9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carinskom</w:t>
      </w:r>
      <w:r w:rsidR="00A152F9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A152F9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152F9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F1AF8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F1AF8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Sporazuma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između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država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članica</w:t>
      </w:r>
      <w:r w:rsidR="007F1AF8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Severnoatlantskog</w:t>
      </w:r>
      <w:r w:rsidR="007F1AF8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ugovora</w:t>
      </w:r>
      <w:r w:rsidR="007F1AF8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i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ostalih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država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hAnsi="Times New Roman"/>
          <w:iCs/>
          <w:noProof/>
          <w:sz w:val="24"/>
          <w:lang w:val="sr-Latn-CS"/>
        </w:rPr>
        <w:t>učesnica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Partnerstvu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za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mir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o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statusu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njihovih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snaga</w:t>
      </w:r>
      <w:r w:rsidR="00FB6125" w:rsidRPr="00FD4DD5">
        <w:rPr>
          <w:rFonts w:ascii="Times New Roman" w:hAnsi="Times New Roman"/>
          <w:iCs/>
          <w:noProof/>
          <w:sz w:val="24"/>
          <w:lang w:val="sr-Latn-CS"/>
        </w:rPr>
        <w:t xml:space="preserve">,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Dodatnim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protokolom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sporazuma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između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država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članica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Severnoatlantskog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ugovora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i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ostalih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država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učesnica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Partnerstvu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za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mir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o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statusu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njihovih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snaga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i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narednim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dodatnim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protokolom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sporazuma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između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država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članica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Severnoatlantskog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ugovora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i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ostalih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država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učesnica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Partnerstvu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za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mir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o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statusu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njihovih</w:t>
      </w:r>
      <w:r w:rsidR="00FB6125" w:rsidRP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 xml:space="preserve"> </w:t>
      </w:r>
      <w:r w:rsidR="00FD4DD5">
        <w:rPr>
          <w:rFonts w:ascii="Times New Roman" w:eastAsia="Times New Roman" w:hAnsi="Times New Roman" w:cs="Times New Roman"/>
          <w:noProof/>
          <w:color w:val="000000"/>
          <w:sz w:val="24"/>
          <w:lang w:val="sr-Latn-CS"/>
        </w:rPr>
        <w:t>snaga</w:t>
      </w:r>
      <w:r w:rsidR="0057574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(„</w:t>
      </w:r>
      <w:r w:rsid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- </w:t>
      </w:r>
      <w:r w:rsid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ugovori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 w:rsid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C002E6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14/15)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302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4DD5"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9933CD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933CD" w:rsidRPr="00FD4DD5" w:rsidRDefault="009933CD" w:rsidP="004D7652">
      <w:pPr>
        <w:pStyle w:val="ListParagraph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D7652" w:rsidRPr="00FD4DD5" w:rsidRDefault="00FD4DD5" w:rsidP="004D7652">
      <w:pPr>
        <w:pStyle w:val="ListParagraph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prođe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formalnosti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obrascem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tačkama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napušta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D7652" w:rsidRPr="00FD4DD5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D7652" w:rsidRPr="00FD4DD5" w:rsidRDefault="004D7652" w:rsidP="004D7652">
      <w:pPr>
        <w:pStyle w:val="ListParagraph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D7652" w:rsidRPr="00FD4DD5" w:rsidRDefault="00FD4DD5" w:rsidP="004D7652">
      <w:pPr>
        <w:pStyle w:val="ListParagraph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postupkom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obavljenim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obrasca</w:t>
      </w:r>
      <w:r w:rsidR="00C002E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302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učinjen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plate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25416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dovodeći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7E75E0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krivičnih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4D7652" w:rsidRPr="00FD4DD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152F9" w:rsidRPr="00FD4DD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</w:p>
    <w:p w:rsidR="004D7652" w:rsidRPr="00FD4DD5" w:rsidRDefault="004D7652" w:rsidP="004D7652">
      <w:pPr>
        <w:rPr>
          <w:noProof/>
          <w:lang w:val="sr-Latn-CS"/>
        </w:rPr>
      </w:pPr>
    </w:p>
    <w:p w:rsidR="006D6A85" w:rsidRPr="00FD4DD5" w:rsidRDefault="00066742" w:rsidP="006D6A85">
      <w:pPr>
        <w:ind w:firstLine="720"/>
        <w:jc w:val="center"/>
        <w:rPr>
          <w:iCs/>
          <w:noProof/>
          <w:lang w:val="sr-Latn-CS"/>
        </w:rPr>
      </w:pPr>
      <w:r w:rsidRPr="00FD4DD5">
        <w:rPr>
          <w:iCs/>
          <w:noProof/>
          <w:lang w:val="sr-Latn-CS"/>
        </w:rPr>
        <w:br/>
      </w:r>
      <w:r w:rsidR="00FD4DD5">
        <w:rPr>
          <w:iCs/>
          <w:noProof/>
          <w:lang w:val="sr-Latn-CS"/>
        </w:rPr>
        <w:t>Član</w:t>
      </w:r>
      <w:r w:rsidR="006D6A85" w:rsidRPr="00FD4DD5">
        <w:rPr>
          <w:iCs/>
          <w:noProof/>
          <w:lang w:val="sr-Latn-CS"/>
        </w:rPr>
        <w:t xml:space="preserve"> 2.</w:t>
      </w:r>
    </w:p>
    <w:p w:rsidR="006D6A85" w:rsidRPr="00FD4DD5" w:rsidRDefault="006D6A85" w:rsidP="006D6A85">
      <w:pPr>
        <w:ind w:firstLine="720"/>
        <w:jc w:val="both"/>
        <w:rPr>
          <w:iCs/>
          <w:noProof/>
          <w:lang w:val="sr-Latn-CS"/>
        </w:rPr>
      </w:pPr>
    </w:p>
    <w:p w:rsidR="006D6A85" w:rsidRPr="00FD4DD5" w:rsidRDefault="00FD4DD5" w:rsidP="001D2125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720"/>
        <w:jc w:val="both"/>
        <w:rPr>
          <w:noProof/>
          <w:lang w:val="sr-Latn-CS" w:eastAsia="hr-HR"/>
        </w:rPr>
      </w:pPr>
      <w:r>
        <w:rPr>
          <w:noProof/>
          <w:lang w:val="sr-Latn-CS" w:eastAsia="hr-HR"/>
        </w:rPr>
        <w:t>Ova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uredba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stupa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na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snagu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osmog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dana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od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dana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objavljivanja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u</w:t>
      </w:r>
      <w:r w:rsidR="006D6A85" w:rsidRPr="00FD4DD5">
        <w:rPr>
          <w:noProof/>
          <w:lang w:val="sr-Latn-CS" w:eastAsia="hr-HR"/>
        </w:rPr>
        <w:t xml:space="preserve"> „</w:t>
      </w:r>
      <w:r>
        <w:rPr>
          <w:noProof/>
          <w:lang w:val="sr-Latn-CS" w:eastAsia="hr-HR"/>
        </w:rPr>
        <w:t>Službenom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glasniku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Republike</w:t>
      </w:r>
      <w:r w:rsidR="006D6A85" w:rsidRPr="00FD4DD5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Srbije</w:t>
      </w:r>
      <w:r w:rsidR="006D6A85" w:rsidRPr="00FD4DD5">
        <w:rPr>
          <w:iCs/>
          <w:noProof/>
          <w:lang w:val="sr-Latn-CS" w:eastAsia="hr-HR"/>
        </w:rPr>
        <w:t>”</w:t>
      </w:r>
      <w:r w:rsidR="006D6A85" w:rsidRPr="00FD4DD5">
        <w:rPr>
          <w:noProof/>
          <w:lang w:val="sr-Latn-CS" w:eastAsia="hr-HR"/>
        </w:rPr>
        <w:t>.</w:t>
      </w:r>
    </w:p>
    <w:p w:rsidR="008663F5" w:rsidRPr="00FD4DD5" w:rsidRDefault="008663F5" w:rsidP="006D6A85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noProof/>
          <w:lang w:val="sr-Latn-CS" w:eastAsia="hr-HR"/>
        </w:rPr>
      </w:pPr>
    </w:p>
    <w:p w:rsidR="008663F5" w:rsidRPr="00FD4DD5" w:rsidRDefault="008663F5" w:rsidP="006D6A85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noProof/>
          <w:lang w:val="sr-Latn-CS" w:eastAsia="hr-HR"/>
        </w:rPr>
      </w:pPr>
    </w:p>
    <w:p w:rsidR="008663F5" w:rsidRPr="00FD4DD5" w:rsidRDefault="00FD4DD5" w:rsidP="008663F5">
      <w:pPr>
        <w:pStyle w:val="Header"/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Broj</w:t>
      </w:r>
      <w:r w:rsidR="008663F5" w:rsidRPr="00FD4DD5">
        <w:rPr>
          <w:noProof/>
          <w:lang w:val="sr-Latn-CS"/>
        </w:rPr>
        <w:t xml:space="preserve"> </w:t>
      </w:r>
    </w:p>
    <w:p w:rsidR="008663F5" w:rsidRPr="00FD4DD5" w:rsidRDefault="008663F5" w:rsidP="008663F5">
      <w:pPr>
        <w:pStyle w:val="Header"/>
        <w:tabs>
          <w:tab w:val="left" w:pos="720"/>
        </w:tabs>
        <w:ind w:left="720"/>
        <w:jc w:val="both"/>
        <w:rPr>
          <w:noProof/>
          <w:lang w:val="sr-Latn-CS"/>
        </w:rPr>
      </w:pPr>
    </w:p>
    <w:p w:rsidR="008663F5" w:rsidRPr="00FD4DD5" w:rsidRDefault="00FD4DD5" w:rsidP="001D2125">
      <w:pPr>
        <w:pStyle w:val="Header"/>
        <w:tabs>
          <w:tab w:val="left" w:pos="720"/>
        </w:tabs>
        <w:jc w:val="both"/>
        <w:rPr>
          <w:noProof/>
          <w:color w:val="FF0000"/>
          <w:lang w:val="sr-Latn-CS"/>
        </w:rPr>
      </w:pPr>
      <w:r>
        <w:rPr>
          <w:noProof/>
          <w:lang w:val="sr-Latn-CS"/>
        </w:rPr>
        <w:t>U</w:t>
      </w:r>
      <w:r w:rsidR="008663F5" w:rsidRPr="00FD4DD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663F5" w:rsidRPr="00FD4DD5">
        <w:rPr>
          <w:noProof/>
          <w:color w:val="FF0000"/>
          <w:lang w:val="sr-Latn-CS"/>
        </w:rPr>
        <w:t xml:space="preserve"> </w:t>
      </w:r>
      <w:r w:rsidR="001D2125" w:rsidRPr="00FD4DD5">
        <w:rPr>
          <w:noProof/>
          <w:lang w:val="sr-Latn-CS"/>
        </w:rPr>
        <w:t xml:space="preserve">19. </w:t>
      </w:r>
      <w:r>
        <w:rPr>
          <w:noProof/>
          <w:lang w:val="sr-Latn-CS"/>
        </w:rPr>
        <w:t>novembar</w:t>
      </w:r>
      <w:r w:rsidR="001D2125" w:rsidRPr="00FD4DD5">
        <w:rPr>
          <w:noProof/>
          <w:lang w:val="sr-Latn-CS"/>
        </w:rPr>
        <w:t xml:space="preserve"> </w:t>
      </w:r>
      <w:r w:rsidR="008663F5" w:rsidRPr="00FD4DD5">
        <w:rPr>
          <w:noProof/>
          <w:lang w:val="sr-Latn-CS"/>
        </w:rPr>
        <w:t xml:space="preserve">2015. </w:t>
      </w:r>
      <w:r>
        <w:rPr>
          <w:noProof/>
          <w:lang w:val="sr-Latn-CS"/>
        </w:rPr>
        <w:t>godine</w:t>
      </w:r>
    </w:p>
    <w:p w:rsidR="008663F5" w:rsidRPr="00FD4DD5" w:rsidRDefault="008663F5" w:rsidP="008663F5">
      <w:pPr>
        <w:pStyle w:val="Header"/>
        <w:tabs>
          <w:tab w:val="left" w:pos="720"/>
        </w:tabs>
        <w:jc w:val="both"/>
        <w:rPr>
          <w:noProof/>
          <w:sz w:val="22"/>
          <w:szCs w:val="22"/>
          <w:lang w:val="sr-Latn-CS"/>
        </w:rPr>
      </w:pPr>
    </w:p>
    <w:p w:rsidR="001D2125" w:rsidRPr="00FD4DD5" w:rsidRDefault="001D2125" w:rsidP="008663F5">
      <w:pPr>
        <w:pStyle w:val="Header"/>
        <w:tabs>
          <w:tab w:val="left" w:pos="720"/>
        </w:tabs>
        <w:jc w:val="center"/>
        <w:rPr>
          <w:noProof/>
          <w:sz w:val="22"/>
          <w:szCs w:val="22"/>
          <w:lang w:val="sr-Latn-CS"/>
        </w:rPr>
      </w:pPr>
    </w:p>
    <w:p w:rsidR="008663F5" w:rsidRPr="00FD4DD5" w:rsidRDefault="00FD4DD5" w:rsidP="008663F5">
      <w:pPr>
        <w:pStyle w:val="Header"/>
        <w:tabs>
          <w:tab w:val="left" w:pos="720"/>
        </w:tabs>
        <w:jc w:val="center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</w:p>
    <w:p w:rsidR="008663F5" w:rsidRPr="00FD4DD5" w:rsidRDefault="008663F5" w:rsidP="008663F5">
      <w:pPr>
        <w:pStyle w:val="Header"/>
        <w:tabs>
          <w:tab w:val="left" w:pos="720"/>
        </w:tabs>
        <w:jc w:val="center"/>
        <w:rPr>
          <w:noProof/>
          <w:sz w:val="22"/>
          <w:szCs w:val="22"/>
          <w:lang w:val="sr-Latn-CS"/>
        </w:rPr>
      </w:pPr>
      <w:r w:rsidRPr="00FD4DD5">
        <w:rPr>
          <w:noProof/>
          <w:sz w:val="22"/>
          <w:szCs w:val="22"/>
          <w:lang w:val="sr-Latn-CS"/>
        </w:rPr>
        <w:t xml:space="preserve">            </w:t>
      </w:r>
    </w:p>
    <w:p w:rsidR="001D2125" w:rsidRPr="00FD4DD5" w:rsidRDefault="008663F5" w:rsidP="008663F5">
      <w:pPr>
        <w:pStyle w:val="Header"/>
        <w:tabs>
          <w:tab w:val="left" w:pos="720"/>
        </w:tabs>
        <w:jc w:val="center"/>
        <w:rPr>
          <w:noProof/>
          <w:sz w:val="22"/>
          <w:szCs w:val="22"/>
          <w:lang w:val="sr-Latn-CS"/>
        </w:rPr>
      </w:pPr>
      <w:r w:rsidRPr="00FD4DD5">
        <w:rPr>
          <w:noProof/>
          <w:sz w:val="22"/>
          <w:szCs w:val="22"/>
          <w:lang w:val="sr-Latn-CS"/>
        </w:rPr>
        <w:t xml:space="preserve">                                                                                                                            </w:t>
      </w:r>
    </w:p>
    <w:p w:rsidR="008663F5" w:rsidRPr="00FD4DD5" w:rsidRDefault="00FD4DD5" w:rsidP="001D2125">
      <w:pPr>
        <w:pStyle w:val="Header"/>
        <w:tabs>
          <w:tab w:val="left" w:pos="720"/>
        </w:tabs>
        <w:jc w:val="right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PREDSEDNIK</w:t>
      </w:r>
      <w:r w:rsidR="008663F5" w:rsidRPr="00FD4DD5">
        <w:rPr>
          <w:noProof/>
          <w:sz w:val="22"/>
          <w:szCs w:val="22"/>
          <w:lang w:val="sr-Latn-CS"/>
        </w:rPr>
        <w:t xml:space="preserve">          </w:t>
      </w:r>
    </w:p>
    <w:sectPr w:rsidR="008663F5" w:rsidRPr="00FD4DD5" w:rsidSect="00D56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C6" w:rsidRDefault="008B35C6" w:rsidP="00FD4DD5">
      <w:r>
        <w:separator/>
      </w:r>
    </w:p>
  </w:endnote>
  <w:endnote w:type="continuationSeparator" w:id="0">
    <w:p w:rsidR="008B35C6" w:rsidRDefault="008B35C6" w:rsidP="00FD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5" w:rsidRDefault="00FD4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5" w:rsidRDefault="00FD4D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5" w:rsidRDefault="00FD4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C6" w:rsidRDefault="008B35C6" w:rsidP="00FD4DD5">
      <w:r>
        <w:separator/>
      </w:r>
    </w:p>
  </w:footnote>
  <w:footnote w:type="continuationSeparator" w:id="0">
    <w:p w:rsidR="008B35C6" w:rsidRDefault="008B35C6" w:rsidP="00FD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5" w:rsidRDefault="00FD4D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5" w:rsidRDefault="00FD4D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5" w:rsidRDefault="00FD4D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30F6"/>
    <w:rsid w:val="000361D0"/>
    <w:rsid w:val="00066742"/>
    <w:rsid w:val="000C4E12"/>
    <w:rsid w:val="001839B3"/>
    <w:rsid w:val="001D2125"/>
    <w:rsid w:val="002028E1"/>
    <w:rsid w:val="00236AF2"/>
    <w:rsid w:val="002E73C4"/>
    <w:rsid w:val="003B3B45"/>
    <w:rsid w:val="00444EED"/>
    <w:rsid w:val="004A1DF9"/>
    <w:rsid w:val="004D7652"/>
    <w:rsid w:val="004E483B"/>
    <w:rsid w:val="00575742"/>
    <w:rsid w:val="00582147"/>
    <w:rsid w:val="0069263D"/>
    <w:rsid w:val="006D6A85"/>
    <w:rsid w:val="00727451"/>
    <w:rsid w:val="007E75E0"/>
    <w:rsid w:val="007F1AF8"/>
    <w:rsid w:val="008663F5"/>
    <w:rsid w:val="008812EE"/>
    <w:rsid w:val="008B35C6"/>
    <w:rsid w:val="00903C3C"/>
    <w:rsid w:val="00935188"/>
    <w:rsid w:val="009624DE"/>
    <w:rsid w:val="009933CD"/>
    <w:rsid w:val="00A019E5"/>
    <w:rsid w:val="00A152F9"/>
    <w:rsid w:val="00A96CEE"/>
    <w:rsid w:val="00C002E6"/>
    <w:rsid w:val="00C25416"/>
    <w:rsid w:val="00C826CC"/>
    <w:rsid w:val="00D01A64"/>
    <w:rsid w:val="00D56263"/>
    <w:rsid w:val="00D565A8"/>
    <w:rsid w:val="00D72622"/>
    <w:rsid w:val="00D9612C"/>
    <w:rsid w:val="00E575E0"/>
    <w:rsid w:val="00EE30F6"/>
    <w:rsid w:val="00F07EBB"/>
    <w:rsid w:val="00FB6125"/>
    <w:rsid w:val="00FD4DD5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0F6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F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D7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6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3F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3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4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0F6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F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D7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6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3F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3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Simic</dc:creator>
  <cp:lastModifiedBy>jovan</cp:lastModifiedBy>
  <cp:revision>2</cp:revision>
  <cp:lastPrinted>2015-11-19T08:24:00Z</cp:lastPrinted>
  <dcterms:created xsi:type="dcterms:W3CDTF">2015-11-20T10:17:00Z</dcterms:created>
  <dcterms:modified xsi:type="dcterms:W3CDTF">2015-11-20T10:17:00Z</dcterms:modified>
</cp:coreProperties>
</file>