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48" w:rsidRPr="00AD2538" w:rsidRDefault="00C97948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2F7D1D" w:rsidRPr="00AD2538" w:rsidRDefault="002F7D1D" w:rsidP="002F7D1D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2F7D1D" w:rsidRPr="00AD2538" w:rsidRDefault="002F7D1D" w:rsidP="00B24C6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24C65" w:rsidRPr="00AD2538" w:rsidRDefault="00AD2538" w:rsidP="00B24C6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B24C6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EE434A" w:rsidRPr="00AD2538" w:rsidRDefault="00AD2538" w:rsidP="00B24C6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0C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D70C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B24C65" w:rsidRPr="00AD2538" w:rsidRDefault="00B24C65" w:rsidP="00B24C6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34A" w:rsidRPr="00AD2538" w:rsidRDefault="00EE434A" w:rsidP="00EE434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UVODNE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EE0A95" w:rsidRPr="00AD2538" w:rsidRDefault="00EE0A95" w:rsidP="00EE434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34A" w:rsidRPr="00AD2538" w:rsidRDefault="00AD2538" w:rsidP="00EE434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EE434A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B1925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pomoćne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garaže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septičke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jame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bunari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bazeni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cisterne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vodu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odvijanja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tehnološkog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procesa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C35FE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ozakonjuju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objektom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5833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izvedene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A067E" w:rsidRPr="00AD2538">
        <w:rPr>
          <w:noProof/>
          <w:lang w:val="sr-Latn-CS"/>
        </w:rPr>
        <w:t xml:space="preserve"> 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72/09, 81/09 -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64/10 -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 24/11, 121/12, 42/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13 -</w:t>
      </w:r>
      <w:r w:rsidR="00167154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 50/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13 -</w:t>
      </w:r>
      <w:r w:rsidR="00167154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 98/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13 -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132/14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71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14</w:t>
      </w:r>
      <w:r w:rsidR="003B583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CB1C5B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vodove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instalacije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F0CBE" w:rsidRPr="00AD2538" w:rsidRDefault="00AD2538" w:rsidP="004F0CB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491440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4914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34A" w:rsidRPr="00AD2538" w:rsidRDefault="00AD2538" w:rsidP="00EE434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538B" w:rsidRPr="00AD2538" w:rsidRDefault="003B5833" w:rsidP="003B583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5833" w:rsidRPr="00AD2538" w:rsidRDefault="00AD2538" w:rsidP="00E1538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konstruktivni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temelj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zidovi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armiranobetonski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čelični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stubovi</w:t>
      </w:r>
      <w:r w:rsidR="007B725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5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gredama</w:t>
      </w:r>
      <w:r w:rsidR="007B725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5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armiranobetonska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tavanica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krovna</w:t>
      </w:r>
      <w:r w:rsidR="00E153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konstrukcija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završene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fasade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72F6" w:rsidRPr="00AD2538" w:rsidRDefault="00AD2538" w:rsidP="00E1538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završenosti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5643" w:rsidRPr="00AD2538" w:rsidRDefault="00AD2538" w:rsidP="0006564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0BFC" w:rsidRPr="00AD2538" w:rsidRDefault="00AD253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57FC6" w:rsidRPr="00AD2538" w:rsidRDefault="00AD253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Ovaj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pribavljanjem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B57F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podobna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premer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95F13" w:rsidRPr="00AD2538" w:rsidRDefault="00AD253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izdatog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B1E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95F1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podobnosti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B4BD9" w:rsidRPr="00AD2538" w:rsidRDefault="00AD253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1122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takav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okončava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4BD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0BFC" w:rsidRPr="00AD2538" w:rsidRDefault="00AD253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uredio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jedinicom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primenjivan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uplaćenih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E0B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912AB" w:rsidRPr="00AD2538" w:rsidRDefault="00AD253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vojnim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rudarstvo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postrojenjima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uređajima</w:t>
      </w:r>
      <w:r w:rsidR="004912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26518" w:rsidRPr="00AD2538" w:rsidRDefault="00726518" w:rsidP="00170C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5643" w:rsidRPr="00AD2538" w:rsidRDefault="00065643" w:rsidP="006D16EC">
      <w:pPr>
        <w:tabs>
          <w:tab w:val="left" w:pos="720"/>
        </w:tabs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</w:p>
    <w:p w:rsidR="00EE434A" w:rsidRPr="00AD2538" w:rsidRDefault="00AD2538" w:rsidP="006D16EC">
      <w:pPr>
        <w:tabs>
          <w:tab w:val="left" w:pos="720"/>
        </w:tabs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50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34A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06564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</w:p>
    <w:p w:rsidR="00EE434A" w:rsidRPr="00AD2538" w:rsidRDefault="00EE434A" w:rsidP="00DD4752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rekonstruisan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nepovoljnom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močvarno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.);  </w:t>
      </w:r>
    </w:p>
    <w:p w:rsidR="00EE434A" w:rsidRPr="00AD2538" w:rsidRDefault="00EE434A" w:rsidP="00DD4752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rekonstruisan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trajnost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EE434A" w:rsidRPr="00AD2538" w:rsidRDefault="00EE434A" w:rsidP="00DD4752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planiranom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6D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EE434A" w:rsidRPr="00AD2538" w:rsidRDefault="00EE434A" w:rsidP="00DD4752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vikendica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odmor</w:t>
      </w:r>
      <w:r w:rsidR="00BE14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baštine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baštine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sanitarne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izvorišta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vodosnabdevanja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vojnom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kompleksu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vojnih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kompleksa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rekonstruisan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odbrani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izgradnju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2976" w:rsidRPr="00AD2538" w:rsidRDefault="006D16EC" w:rsidP="00DD4752">
      <w:pPr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0577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577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zaštitnoj</w:t>
      </w:r>
      <w:r w:rsidR="000577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trase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koridora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pravcima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prostiranja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usmerenih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signala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0577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antenskih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ometati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prostiranje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signala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uzrokovati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smetnje</w:t>
      </w:r>
      <w:r w:rsidR="006429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4681" w:rsidRPr="00AD2538" w:rsidRDefault="00824681" w:rsidP="00625C4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523F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23F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523F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23F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</w:t>
      </w:r>
      <w:r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ugrožavanje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susednih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grafičkih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priloga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označenim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površinama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tla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nepovoljno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inženjersko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34A" w:rsidRPr="00AD2538" w:rsidRDefault="00AD2538" w:rsidP="00DF6EC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pribavljena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4E74" w:rsidRPr="00AD2538" w:rsidRDefault="00AD2538" w:rsidP="008D4E7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4E74" w:rsidRPr="00AD2538" w:rsidRDefault="008D4E74" w:rsidP="008D4E7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promenjen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4E74" w:rsidRPr="00AD2538" w:rsidRDefault="008D4E74" w:rsidP="00DF6EC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34A" w:rsidRPr="00AD2538" w:rsidRDefault="00AD2538" w:rsidP="00EE434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50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34A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A6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434A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potvrđenog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odstupljeno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potvrđenog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glavnog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F03FC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</w:t>
      </w:r>
      <w:r w:rsidR="004545F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545F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4545F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45F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AA7F4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F03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750A6" w:rsidRPr="00AD2538" w:rsidRDefault="00AD2538" w:rsidP="00EE434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F0CB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06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06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06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vidljiv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satelitskom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snimku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760D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B7984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Satelitski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dostupan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A273B" w:rsidRPr="00AD2538" w:rsidRDefault="00EB7984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435C" w:rsidRPr="00AD2538" w:rsidRDefault="00AD2538" w:rsidP="0084727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Predmet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25/13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4F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</w:t>
      </w:r>
      <w:r w:rsidR="00D543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227E" w:rsidRPr="00AD2538" w:rsidRDefault="00AD2538" w:rsidP="0084727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435C" w:rsidRPr="00AD2538" w:rsidRDefault="00D5435C" w:rsidP="0084727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5EDE" w:rsidRPr="00AD2538" w:rsidRDefault="00AD2538" w:rsidP="001D5ED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F736D1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7612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A7612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7612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celinama</w:t>
      </w:r>
      <w:r w:rsidR="00A7612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načelnik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736D1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3D48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obrazovati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pomoćno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D2BA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1D2BA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2BA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D2BA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1D2BA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uključena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struka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6027" w:rsidRPr="00AD2538" w:rsidRDefault="00AD2538" w:rsidP="000A476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pojedinačnom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popisnom</w:t>
      </w:r>
      <w:r w:rsidR="00B7721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="00B7721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B7721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B7721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B7721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F736D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FE21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E21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FE21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FE218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A4766" w:rsidRPr="00AD2538" w:rsidRDefault="00AD2538" w:rsidP="000A476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celinama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dinamikom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javan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zvaničnoj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prezentaciji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A273B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A273B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043D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71DB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71DB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71DB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A476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0B14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14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B14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B14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0B14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0B14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A273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606A26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F0DD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B68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F0DD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izvršavati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pravnosnažnog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okončanja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530F1" w:rsidRPr="00AD2538" w:rsidRDefault="00AD2538" w:rsidP="00460F0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530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A273B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2626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626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626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vidljivi</w:t>
      </w:r>
      <w:r w:rsidR="002626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satelitskom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snimku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533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6320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72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9F78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izvršno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7572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57D74" w:rsidRPr="00AD2538" w:rsidRDefault="00AD2538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inspekciju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B57D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520" w:rsidRPr="00AD2538" w:rsidRDefault="00061520" w:rsidP="005A273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34A" w:rsidRPr="00AD2538" w:rsidRDefault="00AD2538" w:rsidP="00EE434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064D3" w:rsidRPr="00AD2538" w:rsidRDefault="005064D3" w:rsidP="005064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064D3" w:rsidRPr="00AD2538" w:rsidRDefault="005064D3" w:rsidP="005064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101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="002572F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kompatibilnosti</w:t>
      </w:r>
      <w:r w:rsidR="00050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70C52" w:rsidRPr="00AD2538" w:rsidRDefault="0005032D" w:rsidP="005064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propisanu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0E186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etaže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129C" w:rsidRPr="00AD2538" w:rsidRDefault="0042637E" w:rsidP="005064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542B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maksimalna</w:t>
      </w:r>
      <w:r w:rsidR="00542B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="00542B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E309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309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CE309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urbanističkoj</w:t>
      </w:r>
      <w:r w:rsidR="00CE309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maksimalno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potkrovljem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520" w:rsidRPr="00AD2538" w:rsidRDefault="00061520" w:rsidP="005064D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D47AF" w:rsidRPr="00AD2538" w:rsidRDefault="00AD2538" w:rsidP="00BD47A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BD47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D47AF" w:rsidRPr="00AD2538" w:rsidRDefault="00BD47AF" w:rsidP="00D339A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4A066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A066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2FD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52FD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5, 6.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52FD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E52FD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</w:t>
      </w:r>
      <w:r w:rsidR="004A066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066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="004A066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5032D" w:rsidRPr="00AD2538" w:rsidRDefault="00AD2538" w:rsidP="0005032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050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5032D" w:rsidRPr="00AD2538" w:rsidRDefault="0005032D" w:rsidP="0005032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014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3B06D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4681" w:rsidRPr="00AD2538" w:rsidRDefault="00D7774D" w:rsidP="0005032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5B54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B54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E928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24681" w:rsidRPr="00AD2538" w:rsidRDefault="00824681" w:rsidP="0082468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24681" w:rsidRPr="00AD2538" w:rsidRDefault="00824681" w:rsidP="00FA1C1E">
      <w:pPr>
        <w:tabs>
          <w:tab w:val="left" w:pos="900"/>
          <w:tab w:val="left" w:pos="99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E2346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346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2346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E2346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E2346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sudska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presuda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536FC2" w:rsidRPr="00AD2538" w:rsidRDefault="00824681" w:rsidP="00FA1C1E">
      <w:pPr>
        <w:tabs>
          <w:tab w:val="left" w:pos="900"/>
          <w:tab w:val="left" w:pos="99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tadašnjeg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vršeno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zemljištem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prenosu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tadašnjih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B048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5B54AB" w:rsidRPr="00AD2538" w:rsidRDefault="00255B35" w:rsidP="00FA1C1E">
      <w:pPr>
        <w:tabs>
          <w:tab w:val="left" w:pos="900"/>
          <w:tab w:val="left" w:pos="99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20AA6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24681" w:rsidRPr="00AD2538" w:rsidRDefault="00255B35" w:rsidP="00FA1C1E">
      <w:pPr>
        <w:tabs>
          <w:tab w:val="left" w:pos="900"/>
          <w:tab w:val="left" w:pos="99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suinvestiranju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="00824681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E632D" w:rsidRPr="00AD2538" w:rsidRDefault="00213E90" w:rsidP="00213E90">
      <w:pPr>
        <w:tabs>
          <w:tab w:val="left" w:pos="900"/>
          <w:tab w:val="left" w:pos="990"/>
          <w:tab w:val="left" w:pos="1080"/>
          <w:tab w:val="left" w:pos="126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5)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nužnog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smeštaja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E632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4681" w:rsidRPr="00AD2538" w:rsidRDefault="007E632D" w:rsidP="00FA1C1E">
      <w:pPr>
        <w:tabs>
          <w:tab w:val="left" w:pos="900"/>
          <w:tab w:val="left" w:pos="99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nasleđivanju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981957" w:rsidRPr="00AD2538" w:rsidRDefault="007E632D" w:rsidP="00FA1C1E">
      <w:pPr>
        <w:tabs>
          <w:tab w:val="left" w:pos="900"/>
          <w:tab w:val="left" w:pos="990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statusnoj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nesporan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82468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kontinuitet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241C" w:rsidRPr="00AD2538" w:rsidRDefault="00981957" w:rsidP="0098195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nadziđivanje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pretvaranje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zajedničkih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pripajanje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zajedničkih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zgradu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8335D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regulisanju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međusobnih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6B7D2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formirani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većine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55C8" w:rsidRPr="00AD2538" w:rsidRDefault="00AD2538" w:rsidP="0098195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izgrađenom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031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655C8" w:rsidRPr="00AD2538" w:rsidRDefault="00AD2538" w:rsidP="009655C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susvojine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suvlasnika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7774D" w:rsidRPr="00AD2538" w:rsidRDefault="00AD2538" w:rsidP="009655C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suvlasnik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mogao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znati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9655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protivio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25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62B0A" w:rsidRPr="00AD2538" w:rsidRDefault="00AD2538" w:rsidP="0098195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62B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105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55B3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EC06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C06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C06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C06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primenjivan</w:t>
      </w:r>
      <w:r w:rsidR="00EC06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1E36A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65A9" w:rsidRPr="00AD2538" w:rsidRDefault="00AD2538" w:rsidP="00AD1DE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E70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70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70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rešenim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odnosima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4E70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E70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817DE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priznaje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izgrađenom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zaključio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13D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udeo</w:t>
      </w:r>
      <w:r w:rsidR="00E13D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13D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E13D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srazmeri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površinom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65A9" w:rsidRPr="00AD2538" w:rsidRDefault="00AD2538" w:rsidP="00AD1DE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FC53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="00FC53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53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ukupnoj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tržišnoj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pojedinačnog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EE1BC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tržišnu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1BC6" w:rsidRPr="00AD2538" w:rsidRDefault="00AD2538" w:rsidP="00AD1DE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izgrađenom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zaključuju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F065A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227E" w:rsidRPr="00AD2538" w:rsidRDefault="00AD2538" w:rsidP="00AD1DE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FE45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AD1D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24C6A" w:rsidRPr="00AD2538" w:rsidRDefault="00AD2538" w:rsidP="00D24C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komunikacione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linijske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nadzemnih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nosačima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nadzemne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24C6A" w:rsidRPr="00AD2538" w:rsidRDefault="00AD2538" w:rsidP="00D24C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ozakonjenjem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havarije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24C6A" w:rsidRPr="00AD2538" w:rsidRDefault="00AD2538" w:rsidP="00D24C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1A31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A31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eventualnu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eksploataciji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D24C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520" w:rsidRPr="00AD2538" w:rsidRDefault="00061520" w:rsidP="00D24C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064D3" w:rsidRPr="00AD2538" w:rsidRDefault="00AD2538" w:rsidP="00981957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9819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1957" w:rsidRPr="00AD2538" w:rsidRDefault="00AD2538" w:rsidP="008342E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24D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F24D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F24D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190528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342E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071C0" w:rsidRPr="00AD2538" w:rsidRDefault="00AD2538" w:rsidP="008342E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62B0A" w:rsidRPr="00AD2538" w:rsidRDefault="00AD2538" w:rsidP="00DA39C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zavisi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6B621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B621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2F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C129C" w:rsidRPr="00AD2538" w:rsidRDefault="00EC129C" w:rsidP="00DA39C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071C0" w:rsidRPr="00AD2538" w:rsidRDefault="00C071C0" w:rsidP="00C071C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</w:p>
    <w:p w:rsidR="00C071C0" w:rsidRPr="00AD2538" w:rsidRDefault="00AD2538" w:rsidP="00C071C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C071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071C0" w:rsidRPr="00AD2538" w:rsidRDefault="00C071C0" w:rsidP="00C071C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F4199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A107C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026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5026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5026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2425C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84C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F4199" w:rsidRPr="00AD2538" w:rsidRDefault="00AD2538" w:rsidP="00BF419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B246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246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46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B246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B246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863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9863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863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9863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863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redovnom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107C3" w:rsidRPr="00AD2538" w:rsidRDefault="00AD2538" w:rsidP="0022425C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905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tužbi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2425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F419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331E14" w:rsidRPr="00AD2538" w:rsidRDefault="00331E14" w:rsidP="0022425C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B5833" w:rsidRPr="00AD2538" w:rsidRDefault="00AD2538" w:rsidP="0022425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D5ED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20AA6" w:rsidRPr="00AD2538" w:rsidRDefault="00502652" w:rsidP="005026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Pr="00AD2538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467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467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467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6B621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B621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pribavljanjem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5D3E9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D3E9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D3E9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6795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E0767" w:rsidRPr="00AD2538" w:rsidRDefault="001E36AD" w:rsidP="005026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522E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pribavljanju</w:t>
      </w:r>
      <w:r w:rsidR="006522E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6522E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522E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522E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6567" w:rsidRPr="00AD2538" w:rsidRDefault="00236567" w:rsidP="005026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042F" w:rsidRPr="00AD2538" w:rsidRDefault="00AD2538" w:rsidP="0006042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6042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06042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042F" w:rsidRPr="00AD2538" w:rsidRDefault="0006042F" w:rsidP="0006042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9339E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9339E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339E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339E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vođenom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C347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propisanu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tada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9E0767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0767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9E07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F63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="00CF63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F63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CF63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F63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9D15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347FD" w:rsidRPr="00AD2538" w:rsidRDefault="00C347FD" w:rsidP="0006042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129C" w:rsidRPr="00AD2538" w:rsidRDefault="00C347FD" w:rsidP="005026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dostavljene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vođenom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sadržini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dostavljeni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priznaje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F910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20EE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A123A" w:rsidRPr="00AD2538" w:rsidRDefault="005A123A" w:rsidP="0050265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34A" w:rsidRPr="00AD2538" w:rsidRDefault="00AD2538" w:rsidP="001C08C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E6D4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EE434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25B18" w:rsidRPr="00AD2538" w:rsidRDefault="005C512C" w:rsidP="00694C1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C2850" w:rsidRPr="00AD2538" w:rsidRDefault="00B25B18" w:rsidP="00694C1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5F1F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5F1F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18170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8170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8170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06042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042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06042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8170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18170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343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694C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750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F6307" w:rsidRPr="00AD2538" w:rsidRDefault="00AD2538" w:rsidP="0023656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B25B18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3A55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zavisi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C2850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A55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FC28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propisanu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C7EC5" w:rsidRPr="00AD2538" w:rsidRDefault="00AD2538" w:rsidP="0023656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3A1D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1D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3A1D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3A1D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A1D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projektnu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14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0914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saglasnošću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8C7EC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B7AAB" w:rsidRPr="00AD2538" w:rsidRDefault="00AD2538" w:rsidP="0023656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0914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14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09145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6B7A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4E74" w:rsidRPr="00AD2538" w:rsidRDefault="00AD2538" w:rsidP="008D4E7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8D4E7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1520" w:rsidRPr="00AD2538" w:rsidRDefault="00061520" w:rsidP="008D4E7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6042F" w:rsidRPr="00AD2538" w:rsidRDefault="00AD2538" w:rsidP="0006042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C147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06042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1F07" w:rsidRPr="00AD2538" w:rsidRDefault="005F1F07" w:rsidP="002C147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A976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05E8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premeru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341F3" w:rsidRPr="00AD2538" w:rsidRDefault="00A341F3" w:rsidP="00A341F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provedeni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grafičkoj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kopija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slemena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ovlašćene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341F3" w:rsidRPr="00AD2538" w:rsidRDefault="00A341F3" w:rsidP="00A341F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fizičke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E0A3C" w:rsidRPr="00AD2538" w:rsidRDefault="00AD2538" w:rsidP="00DE0A3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0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0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0A3C" w:rsidRPr="00AD2538" w:rsidRDefault="00AD2538" w:rsidP="00280B7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B25B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9443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E0A3C" w:rsidRPr="00AD2538" w:rsidRDefault="007F59A0" w:rsidP="006C6D28">
      <w:pPr>
        <w:pStyle w:val="ListParagraph"/>
        <w:numPr>
          <w:ilvl w:val="0"/>
          <w:numId w:val="2"/>
        </w:numPr>
        <w:ind w:left="990" w:hanging="28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bjekte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="00E433D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024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111011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112111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E0A3C" w:rsidRPr="00AD2538" w:rsidRDefault="00DE0A3C" w:rsidP="00F35E66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59A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C32F8" w:rsidRPr="00AD253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46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razvijen</w:t>
      </w:r>
      <w:r w:rsidR="00D946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</w:t>
      </w:r>
      <w:r w:rsidR="00D946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</w:t>
      </w:r>
      <w:r w:rsidR="00D946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C32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F59A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32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7A2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E7A2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E7A2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7C32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400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2; </w:t>
      </w:r>
    </w:p>
    <w:p w:rsidR="00DE0A3C" w:rsidRPr="00AD2538" w:rsidRDefault="00AD2538" w:rsidP="006C6D28">
      <w:pPr>
        <w:pStyle w:val="ListParagraph"/>
        <w:numPr>
          <w:ilvl w:val="0"/>
          <w:numId w:val="2"/>
        </w:numPr>
        <w:ind w:left="990" w:hanging="28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94C1E" w:rsidRPr="00AD2538" w:rsidRDefault="00AD2538" w:rsidP="006C6D28">
      <w:pPr>
        <w:pStyle w:val="ListParagraph"/>
        <w:numPr>
          <w:ilvl w:val="0"/>
          <w:numId w:val="2"/>
        </w:numPr>
        <w:ind w:left="990" w:hanging="28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227E" w:rsidRPr="00AD2538" w:rsidRDefault="00694C1E" w:rsidP="00694C1E">
      <w:pPr>
        <w:ind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80B79" w:rsidRPr="00AD2538" w:rsidRDefault="00AD2538" w:rsidP="00DE0A3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</w:t>
      </w:r>
      <w:r w:rsidR="00DE0A3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0BAF" w:rsidRPr="00AD2538" w:rsidRDefault="005B0BAF" w:rsidP="005B0BA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724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638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638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638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638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111011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112111,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B724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B724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B724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izvedenog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nosivosti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eventualni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013A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0BAF" w:rsidRPr="00AD2538" w:rsidRDefault="00542321" w:rsidP="005B0BA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tekstualnu</w:t>
      </w:r>
      <w:r w:rsidR="003376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numeričku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grafičku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42321" w:rsidRPr="00AD2538" w:rsidRDefault="00542321" w:rsidP="005B0BA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42321" w:rsidRPr="00AD2538" w:rsidRDefault="00152A5B" w:rsidP="00152A5B">
      <w:pPr>
        <w:pStyle w:val="ListParagraph"/>
        <w:numPr>
          <w:ilvl w:val="0"/>
          <w:numId w:val="7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naslovnu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42321" w:rsidRPr="00AD2538" w:rsidRDefault="00B64CCD" w:rsidP="006F2B16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(1</w:t>
      </w:r>
      <w:r w:rsidR="00AC589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423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lokacijom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ulica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kućni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katastarske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katastarskom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opštinom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0B78" w:rsidRPr="00AD2538" w:rsidRDefault="00B64CCD" w:rsidP="00BD257A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(2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sagrađenog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0B78" w:rsidRPr="00AD2538" w:rsidRDefault="00B64CCD" w:rsidP="007D2B9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(3</w:t>
      </w:r>
      <w:r w:rsidR="00C966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7D2B9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7D2B9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zatečenog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D2B9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720B78" w:rsidRPr="00AD2538" w:rsidRDefault="00B64CCD" w:rsidP="00BD257A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(4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izradilo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20B78" w:rsidRPr="00AD2538" w:rsidRDefault="00B64CCD" w:rsidP="006F2B16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(5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E3F48" w:rsidRPr="00AD2538" w:rsidRDefault="00B64CCD" w:rsidP="00BD257A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(6</w:t>
      </w:r>
      <w:r w:rsidR="00C966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C966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66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20B7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E3F48" w:rsidRPr="00AD2538" w:rsidRDefault="004A34B4" w:rsidP="00413BE7">
      <w:pPr>
        <w:pStyle w:val="ListParagraph"/>
        <w:ind w:left="360" w:firstLine="34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58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94E37" w:rsidRPr="00AD2538" w:rsidRDefault="00894E37" w:rsidP="00AE3F48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7124" w:rsidRPr="00AD2538" w:rsidRDefault="00AE3F48" w:rsidP="00AE3F48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Tekstualna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7124" w:rsidRPr="00AD2538" w:rsidRDefault="005F4592" w:rsidP="004A34B4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ind w:left="810"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7124" w:rsidRPr="00AD2538" w:rsidRDefault="00B67124" w:rsidP="00313A21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ind w:left="-90" w:firstLine="9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4A3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hidrotehničke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elektroenergetske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telekomunikacione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signalne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mašinske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načinom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priključenja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spoljnu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mrežu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7124" w:rsidRPr="00AD2538" w:rsidRDefault="00B67124" w:rsidP="00313A21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ind w:left="810"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3F48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7124" w:rsidRPr="00AD2538" w:rsidRDefault="00AE3F48" w:rsidP="004A34B4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ind w:left="810"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noProof/>
          <w:lang w:val="sr-Latn-CS"/>
        </w:rPr>
        <w:lastRenderedPageBreak/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45ED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00EB" w:rsidRPr="00AD2538" w:rsidRDefault="00313A21" w:rsidP="00313A21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5)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materijalu</w:t>
      </w:r>
      <w:r w:rsidR="001600EB" w:rsidRPr="00AD2538">
        <w:rPr>
          <w:noProof/>
          <w:lang w:val="sr-Latn-CS"/>
        </w:rPr>
        <w:t xml:space="preserve"> </w:t>
      </w:r>
      <w:r w:rsidR="00AD2538">
        <w:rPr>
          <w:noProof/>
          <w:lang w:val="sr-Latn-CS"/>
        </w:rPr>
        <w:t>od</w:t>
      </w:r>
      <w:r w:rsidR="001600EB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konstatacijom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materijalu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trajnost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45EDA" w:rsidRPr="00AD2538" w:rsidRDefault="00313A21" w:rsidP="00313A21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6)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F314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14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F314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završenosti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upotrebljivosti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konstatacijom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vizuelnoj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detekciji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45ED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94E37" w:rsidRPr="00AD2538" w:rsidRDefault="00894E37" w:rsidP="00894E37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instalacije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tekstualnoj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14EF" w:rsidRPr="00AD2538" w:rsidRDefault="00327028" w:rsidP="00EF1A8C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zanatskom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tekstualna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završetak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F1A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F1A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F1A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EF1A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EF1A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F1A8C" w:rsidRPr="00AD2538" w:rsidRDefault="00EF1A8C" w:rsidP="00EF1A8C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45EDA" w:rsidRPr="00AD2538" w:rsidRDefault="00545EDA" w:rsidP="00AE3F48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Numerička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67124" w:rsidRPr="00AD2538" w:rsidRDefault="001815AD" w:rsidP="00B67124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1</w:t>
      </w:r>
      <w:r w:rsidR="00545ED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E3F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tabelarni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numeracija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neto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etaže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894E3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B67124" w:rsidRPr="00AD2538" w:rsidRDefault="001815AD" w:rsidP="00B67124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korisnu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5B0BAF" w:rsidRPr="00AD2538" w:rsidRDefault="001815AD" w:rsidP="00B67124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3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7124" w:rsidRPr="00AD2538" w:rsidRDefault="00B67124" w:rsidP="00B67124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F4592" w:rsidRPr="00AD2538" w:rsidRDefault="00B67124" w:rsidP="00B67124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Grafička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F4592" w:rsidRPr="00AD2538" w:rsidRDefault="003C0D75" w:rsidP="003C0D75">
      <w:pPr>
        <w:pStyle w:val="ListParagraph"/>
        <w:ind w:left="-90" w:firstLine="79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grafički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prikaz</w:t>
      </w:r>
      <w:r w:rsidR="00CF63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osnove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etaža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krova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B0BAF" w:rsidRPr="00AD2538" w:rsidRDefault="003C0D75" w:rsidP="003C0D75">
      <w:pPr>
        <w:pStyle w:val="ListParagraph"/>
        <w:ind w:left="-90" w:firstLine="79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6712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fotografije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boji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crno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bele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vidne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fasade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95567" w:rsidRPr="00AD2538" w:rsidRDefault="00595567" w:rsidP="005F4592">
      <w:pPr>
        <w:pStyle w:val="ListParagraph"/>
        <w:ind w:left="-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nosivosti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B7AAB" w:rsidRPr="00AD2538" w:rsidRDefault="006B7AAB" w:rsidP="000F3E5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0BAF" w:rsidRPr="00AD2538" w:rsidRDefault="00AD2538" w:rsidP="005B0BA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1F07" w:rsidRPr="00AD2538" w:rsidRDefault="006044CF" w:rsidP="006044C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3A651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1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07E8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400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766B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40DB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740DB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740DB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34171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izvedenog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41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eventualni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4592" w:rsidRPr="00AD2538" w:rsidRDefault="00AD2538" w:rsidP="00280B7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="00280B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izvedenog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5B0BA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F4592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tekstualnu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numeričku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grafičku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4592" w:rsidRPr="00AD2538" w:rsidRDefault="00AD2538" w:rsidP="005F459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5E49A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sadržine</w:t>
      </w:r>
      <w:r w:rsidR="005E49A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5E49A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49A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E49A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5E49A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452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4524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grafički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</w:t>
      </w:r>
      <w:r w:rsidR="005F459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karakteristična</w:t>
      </w:r>
      <w:r w:rsidR="00E5761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preseka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karakteristične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preseke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izglede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A07CC" w:rsidRPr="00AD2538" w:rsidRDefault="00AD2538" w:rsidP="00280B7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2668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2668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sadržine</w:t>
      </w:r>
      <w:r w:rsidR="002668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668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68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specifične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karakteristični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A633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niskogradnje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podužni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profil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karakteristične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poprečne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profile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1F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="005F1F0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B4180" w:rsidRPr="00AD2538" w:rsidRDefault="00AD2538" w:rsidP="00DE3DC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visokogradnje</w:t>
      </w:r>
      <w:r w:rsidR="00171B72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2B418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nosivosti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91E1D" w:rsidRPr="00AD2538" w:rsidRDefault="00AD2538" w:rsidP="00DE3DC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visokogradnje</w:t>
      </w:r>
      <w:r w:rsidR="00020AA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EA187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1B7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+4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D4BCA" w:rsidRPr="00AD2538" w:rsidRDefault="00AD2538" w:rsidP="00DE3DC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595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DE3DC8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inženjerski</w:t>
      </w:r>
      <w:r w:rsidR="009A07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9A07CC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licencom</w:t>
      </w:r>
      <w:r w:rsidR="00791E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nosivosti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pristupačnosti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važili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E3DC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5761C" w:rsidRPr="00AD2538" w:rsidRDefault="00AD2538" w:rsidP="00646D2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zadovoljavajući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međuvremenu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izmenjeni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6C61B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preduzimaju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32702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6515" w:rsidRPr="00AD2538" w:rsidRDefault="003A6515" w:rsidP="00646D2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185C" w:rsidRPr="00AD2538" w:rsidRDefault="000C185C" w:rsidP="00646D2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6515" w:rsidRPr="00AD2538" w:rsidRDefault="003A6515" w:rsidP="00646D2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9200A" w:rsidRPr="00AD2538" w:rsidRDefault="00AD2538" w:rsidP="0099200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920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9920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A07CC" w:rsidRPr="00AD2538" w:rsidRDefault="009A07CC" w:rsidP="009A07C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sadržajem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obimom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razrade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razrade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2E49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6515" w:rsidRPr="00AD2538" w:rsidRDefault="003A6515" w:rsidP="009A07C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05BF" w:rsidRPr="00AD2538" w:rsidRDefault="00AD2538" w:rsidP="006905B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D317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DD317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1F07" w:rsidRPr="00AD2538" w:rsidRDefault="00DD3177" w:rsidP="00DD317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905B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8257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257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8257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257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257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91440" w:rsidRPr="00AD2538" w:rsidRDefault="00491440" w:rsidP="00DD317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C73AC" w:rsidRPr="00AD2538" w:rsidRDefault="00757C7E" w:rsidP="00CC73A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</w:p>
    <w:p w:rsidR="00CC73AC" w:rsidRPr="00AD2538" w:rsidRDefault="00AD2538" w:rsidP="00CC73A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CC73A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C73AC" w:rsidRPr="00AD2538" w:rsidRDefault="00CC73AC" w:rsidP="00CC73A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C73AC" w:rsidRPr="00AD2538" w:rsidRDefault="00CC73AC" w:rsidP="00CC73A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46A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16796" w:rsidRPr="00AD2538" w:rsidRDefault="00A16796" w:rsidP="00CC73A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3BB" w:rsidRPr="00AD2538" w:rsidRDefault="00AD2538" w:rsidP="00EE43B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1F32" w:rsidRPr="00AD2538" w:rsidRDefault="007F1F32" w:rsidP="00EE43B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E43BB" w:rsidRPr="00AD2538" w:rsidRDefault="00AD2538" w:rsidP="004611AF">
      <w:pPr>
        <w:pStyle w:val="ListParagraph"/>
        <w:numPr>
          <w:ilvl w:val="0"/>
          <w:numId w:val="8"/>
        </w:numPr>
        <w:tabs>
          <w:tab w:val="left" w:pos="1080"/>
        </w:tabs>
        <w:ind w:left="0" w:firstLine="70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podnela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EE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F6449" w:rsidRPr="00AD2538" w:rsidRDefault="00AD2538" w:rsidP="004611AF">
      <w:pPr>
        <w:pStyle w:val="ListParagraph"/>
        <w:numPr>
          <w:ilvl w:val="0"/>
          <w:numId w:val="8"/>
        </w:numPr>
        <w:tabs>
          <w:tab w:val="left" w:pos="1080"/>
        </w:tabs>
        <w:ind w:left="0" w:firstLine="70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1F6449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1F64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53544" w:rsidRPr="00AD2538" w:rsidRDefault="00AD2538" w:rsidP="004611AF">
      <w:pPr>
        <w:pStyle w:val="ListParagraph"/>
        <w:numPr>
          <w:ilvl w:val="0"/>
          <w:numId w:val="8"/>
        </w:numPr>
        <w:tabs>
          <w:tab w:val="left" w:pos="1080"/>
        </w:tabs>
        <w:ind w:left="0" w:firstLine="70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0F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4AF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53544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E535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F1F32" w:rsidRPr="00AD2538" w:rsidRDefault="00AD2538" w:rsidP="004611AF">
      <w:pPr>
        <w:pStyle w:val="ListParagraph"/>
        <w:numPr>
          <w:ilvl w:val="0"/>
          <w:numId w:val="8"/>
        </w:numPr>
        <w:tabs>
          <w:tab w:val="left" w:pos="1080"/>
        </w:tabs>
        <w:ind w:left="0" w:firstLine="70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0F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izgrađenom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8819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podnošenjem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A672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F6449" w:rsidRPr="00AD2538" w:rsidRDefault="001F6449" w:rsidP="00EE43B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F1F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E407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računaju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6567" w:rsidRPr="00AD2538" w:rsidRDefault="00236567" w:rsidP="00EE43B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4635" w:rsidRPr="00AD2538" w:rsidRDefault="008B4635" w:rsidP="00EE43B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552AA" w:rsidRPr="00AD2538" w:rsidRDefault="008552AA" w:rsidP="00EE43B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C73AC" w:rsidRPr="00AD2538" w:rsidRDefault="00AD2538" w:rsidP="00A46AA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46A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A46A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4C84" w:rsidRPr="00AD2538" w:rsidRDefault="00A46AA3" w:rsidP="00A46AA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pokretanju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90149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52AA" w:rsidRPr="00AD2538" w:rsidRDefault="008552AA" w:rsidP="00A46AA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46AA3" w:rsidRPr="00AD2538" w:rsidRDefault="00AD2538" w:rsidP="00975E5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75E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975E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60557" w:rsidRPr="00AD2538" w:rsidRDefault="00C34357" w:rsidP="00C6055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grubi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formiranim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konstruktivnim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sklopom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noseće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9D4BCA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temelj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zidove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armirano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betonske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čelične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stubove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gredama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armirano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betonske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tavanice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krovnu</w:t>
      </w:r>
      <w:r w:rsidR="0085129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konstrukciju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spoljna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stolarija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razvodi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fasaderski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podopolagački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stolarski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B19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17D0A" w:rsidRPr="00AD2538" w:rsidRDefault="00975E54" w:rsidP="00217D0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propisanoj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odbiti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17D0A" w:rsidRPr="00AD2538" w:rsidRDefault="00217D0A" w:rsidP="00217D0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331E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drugostepenom</w:t>
      </w:r>
      <w:r w:rsidR="00331E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331E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17D0A" w:rsidRPr="00AD2538" w:rsidRDefault="00217D0A" w:rsidP="00217D0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75E54" w:rsidRPr="00AD2538" w:rsidRDefault="00217D0A" w:rsidP="00217D0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1925" w:rsidRPr="00AD2538" w:rsidRDefault="00FC0C48" w:rsidP="00C6055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okončanju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23F6A" w:rsidRPr="00AD2538" w:rsidRDefault="00975E54" w:rsidP="00C60557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završenosti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52AA" w:rsidRPr="00AD2538" w:rsidRDefault="008552AA" w:rsidP="00C60557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C60557" w:rsidRPr="00AD2538" w:rsidRDefault="00AD2538" w:rsidP="00C60557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C6055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46AA3" w:rsidRPr="00AD2538" w:rsidRDefault="00A46AA3" w:rsidP="00A46AA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nepovoljnom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E39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75E54" w:rsidRPr="00AD2538" w:rsidRDefault="00975E54" w:rsidP="00A46AA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nepovoljnom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obavestiće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naložiti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24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Pr="00AD2538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C4C7D" w:rsidRPr="00AD2538" w:rsidRDefault="00236567" w:rsidP="00A46AA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stabilan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217D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A488E" w:rsidRPr="00AD2538" w:rsidRDefault="00217D0A" w:rsidP="000A488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odbiti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A488E" w:rsidRPr="00AD2538" w:rsidRDefault="00236567" w:rsidP="000A488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331E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drugostepenom</w:t>
      </w:r>
      <w:r w:rsidR="00331E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331E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A488E" w:rsidRPr="00AD2538" w:rsidRDefault="00236567" w:rsidP="000A488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0A48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E39CA" w:rsidRPr="00AD2538" w:rsidRDefault="000A488E" w:rsidP="000A488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3656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A488E" w:rsidRPr="00AD2538" w:rsidRDefault="00AD2538" w:rsidP="007D57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D57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D57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764A0" w:rsidRPr="00AD2538" w:rsidRDefault="002764A0" w:rsidP="002764A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trajnost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C4C7D" w:rsidRPr="00AD2538" w:rsidRDefault="0011227E" w:rsidP="001600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C39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C398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600E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A7575" w:rsidRPr="00AD2538" w:rsidRDefault="001A7575" w:rsidP="001600E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5764" w:rsidRPr="00AD2538" w:rsidRDefault="00AD2538" w:rsidP="009C4C7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1D38" w:rsidRPr="00AD2538" w:rsidRDefault="00D01D38" w:rsidP="007D5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upravljaču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1D38" w:rsidRPr="00AD2538" w:rsidRDefault="00236567" w:rsidP="007D5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spise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D01D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1D38" w:rsidRPr="00AD2538" w:rsidRDefault="00D01D38" w:rsidP="007D57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pisanu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6F1F" w:rsidRPr="00AD2538" w:rsidRDefault="00D01D38" w:rsidP="005F035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035A" w:rsidRPr="00AD2538" w:rsidRDefault="00AD2538" w:rsidP="00F06F1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upravljač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odbiti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F035A" w:rsidRPr="00AD2538" w:rsidRDefault="009C4C7D" w:rsidP="005F035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F035A" w:rsidRPr="00AD2538" w:rsidRDefault="009C4C7D" w:rsidP="005F035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C129C" w:rsidRPr="00AD2538" w:rsidRDefault="005F035A" w:rsidP="005F035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C4C7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="00F07B0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035A" w:rsidRPr="00AD2538" w:rsidRDefault="00AD2538" w:rsidP="005F035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</w:t>
      </w:r>
      <w:r w:rsidR="005F03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035A" w:rsidRPr="00AD2538" w:rsidRDefault="005F035A" w:rsidP="005F035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837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263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637E" w:rsidRPr="00AD2538" w:rsidRDefault="0042637E" w:rsidP="0042637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kompatibilnosti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viša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viša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sprata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sprata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potkrovljem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maksimalna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urbanističkoj</w:t>
      </w:r>
      <w:r w:rsidR="009D4B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2637E" w:rsidRPr="00AD2538" w:rsidRDefault="0042637E" w:rsidP="0042637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2637E" w:rsidRPr="00AD2538" w:rsidRDefault="0042637E" w:rsidP="0042637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F25F1" w:rsidRPr="00AD2538" w:rsidRDefault="0042637E" w:rsidP="0042637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34D2" w:rsidRPr="00AD2538" w:rsidRDefault="004034D2" w:rsidP="0042637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23F6A" w:rsidRPr="00AD2538" w:rsidRDefault="00AD2538" w:rsidP="00923F6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23F6A" w:rsidRPr="00AD2538" w:rsidRDefault="00923F6A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6008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008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23F6A" w:rsidRPr="00AD2538" w:rsidRDefault="00923F6A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23F6A" w:rsidRPr="00AD2538" w:rsidRDefault="00923F6A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23F6A" w:rsidRPr="00AD2538" w:rsidRDefault="00923F6A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57C7E" w:rsidRPr="00AD2538" w:rsidRDefault="00923F6A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129C" w:rsidRPr="00AD2538" w:rsidRDefault="00EC129C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promenjen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povoljniji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34D2" w:rsidRPr="00AD2538" w:rsidRDefault="004034D2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23F6A" w:rsidRPr="00AD2538" w:rsidRDefault="00AD2538" w:rsidP="00923F6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923F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23258" w:rsidRPr="00AD2538" w:rsidRDefault="00923F6A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C717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43028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dostavljen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0C25" w:rsidRPr="00AD2538" w:rsidRDefault="000B0C25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produžetak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684E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A0F59" w:rsidRPr="00AD2538" w:rsidRDefault="00420332" w:rsidP="00923F6A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produžetak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okončanje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A0F5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prekinuti</w:t>
      </w:r>
      <w:r w:rsidR="00104C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04C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104C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104C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104C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104C6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04C68" w:rsidRPr="00AD2538" w:rsidRDefault="00104C68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04C68" w:rsidRPr="00AD2538" w:rsidRDefault="00104C68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odlučeno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04C68" w:rsidRPr="00AD2538" w:rsidRDefault="00104C68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0332" w:rsidRPr="00AD2538" w:rsidRDefault="00420332" w:rsidP="00923F6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2325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816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816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816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zatraži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produžetak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0332" w:rsidRPr="00AD2538" w:rsidRDefault="00281650" w:rsidP="0042033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20332" w:rsidRPr="00AD2538" w:rsidRDefault="00281650" w:rsidP="0042033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20332" w:rsidRPr="00AD2538" w:rsidRDefault="00420332" w:rsidP="0042033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2816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816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816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034D2" w:rsidRPr="00AD2538" w:rsidRDefault="004034D2" w:rsidP="0042033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20332" w:rsidRPr="00AD2538" w:rsidRDefault="00AD2538" w:rsidP="00420332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42033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0332" w:rsidRPr="00AD2538" w:rsidRDefault="00420332" w:rsidP="0042033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BC004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C004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C004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C004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F203C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203C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203C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B0C2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88770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0F25F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dostavljeni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69FC" w:rsidRPr="00AD2538" w:rsidRDefault="0088770F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8F39D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8F39D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F39D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odbaciti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69FC" w:rsidRPr="00AD2538" w:rsidRDefault="00D56EFD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4C6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69FC" w:rsidRPr="00AD2538" w:rsidRDefault="004C69FC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8770F" w:rsidRPr="00AD2538" w:rsidRDefault="004C69FC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6EFD" w:rsidRPr="00AD2538" w:rsidRDefault="004C69FC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31F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631F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631F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631F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8F39D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8F39D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dokumenti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B3A22" w:rsidRPr="00AD2538" w:rsidRDefault="00D56EFD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A09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1A09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A09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A092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nalaže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C61B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61B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C61B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C61B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traženi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6EFD" w:rsidRPr="00AD2538" w:rsidRDefault="00D56EFD" w:rsidP="00D56EF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84F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6EFD" w:rsidRPr="00AD2538" w:rsidRDefault="00D56EFD" w:rsidP="00D56EF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56EFD" w:rsidRPr="00AD2538" w:rsidRDefault="00B866F0" w:rsidP="00D56EF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D56EF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866F0" w:rsidRPr="00AD2538" w:rsidRDefault="00D56EFD" w:rsidP="00B866F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6686" w:rsidRPr="00AD2538" w:rsidRDefault="00BC6686" w:rsidP="00B866F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37F2A" w:rsidRPr="00AD2538" w:rsidRDefault="00AD2538" w:rsidP="00B37F2A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37F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07A3E" w:rsidRPr="00AD2538" w:rsidRDefault="00507A3E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F4514" w:rsidRPr="00AD2538" w:rsidRDefault="00DF4514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uplaćuje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0%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0%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budžeta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F15A6E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15%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5A6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15%,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A5883" w:rsidRPr="00AD2538" w:rsidRDefault="00507A3E" w:rsidP="004C69F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16A6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17A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pomoćne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proizvodne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skladišne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A5883" w:rsidRPr="00AD2538" w:rsidRDefault="00AD2538" w:rsidP="006A588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vlasnike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D83F1F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D83F1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samohrani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roditelj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A588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20A2" w:rsidRPr="00AD2538" w:rsidRDefault="00AD2538" w:rsidP="006A588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0167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17A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20A2" w:rsidRPr="00AD2538" w:rsidRDefault="00AD2538" w:rsidP="006A588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7A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97AF7" w:rsidRPr="00AD2538" w:rsidRDefault="00AD2538" w:rsidP="006A588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84C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7A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C3801" w:rsidRPr="00AD2538" w:rsidRDefault="00AD2538" w:rsidP="006A588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72BC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7A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250.000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54D3" w:rsidRPr="00AD2538" w:rsidRDefault="00AD2538" w:rsidP="006A588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E6379B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2235A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8C380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8452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734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50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467C2" w:rsidRPr="00AD2538" w:rsidRDefault="00AD2538" w:rsidP="009467C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746A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75E3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7AD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F4514" w:rsidRPr="00AD2538" w:rsidRDefault="00AD2538" w:rsidP="0072651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namenjene</w:t>
      </w:r>
      <w:r w:rsidR="00D8623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E6379B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E637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korisne</w:t>
      </w:r>
      <w:r w:rsidR="008F20A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AD54D3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15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C29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²</w:t>
      </w:r>
      <w:r w:rsidR="002235A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2235A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35A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916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7AF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32555" w:rsidRPr="00AD2538" w:rsidRDefault="00732555" w:rsidP="0072651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866F0" w:rsidRPr="00AD2538" w:rsidRDefault="00AD2538" w:rsidP="008456DD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1F76E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CB4" w:rsidRPr="00AD2538" w:rsidRDefault="008D3CB4" w:rsidP="001F76E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F76E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propisanu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CB4" w:rsidRPr="00AD2538" w:rsidRDefault="008D3CB4" w:rsidP="008D3CB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D3CB4" w:rsidRPr="00AD2538" w:rsidRDefault="008456DD" w:rsidP="008D3CB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D3CB4" w:rsidRPr="00AD2538" w:rsidRDefault="008456DD" w:rsidP="008D3CB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D3CB4" w:rsidRPr="00AD2538" w:rsidRDefault="00CA1540" w:rsidP="008D3CB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okončanom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nadležnoj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="008D3C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A1540" w:rsidRPr="00AD2538" w:rsidRDefault="00CA1540" w:rsidP="00CA154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plaćena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06F04" w:rsidRPr="00AD2538" w:rsidRDefault="001F1F3F" w:rsidP="00206F0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8456D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A067E" w:rsidRPr="00AD2538" w:rsidRDefault="003744CF" w:rsidP="00CF09B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konstataciju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izvedenih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B866F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44CF" w:rsidRPr="00AD2538" w:rsidRDefault="008A067E" w:rsidP="00CF09B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naznakom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sedišta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adrese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44CF" w:rsidRPr="00AD2538" w:rsidRDefault="008A067E" w:rsidP="00CF09B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D94B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4B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4B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D94B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D94B4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njegovoj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gabaritu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neto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katastarska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katastarska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ulica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kućni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14A9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3744CF" w:rsidRPr="00AD2538" w:rsidRDefault="008A067E" w:rsidP="00CF09B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izradilo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966FF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projektanta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44CF" w:rsidRPr="00AD2538" w:rsidRDefault="008A067E" w:rsidP="00CF09BE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konstataciju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6769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FE7A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FE7A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E7A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6612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C2AFF" w:rsidRPr="00AD2538" w:rsidRDefault="00AD54D3" w:rsidP="00CF09BE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7C2A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50176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49F8" w:rsidRPr="00AD2538" w:rsidRDefault="000B49F8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6F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ozakonjuju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E45A4" w:rsidRPr="00AD2538" w:rsidRDefault="000027C4" w:rsidP="00FE45A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garaža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D17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2D17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D17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specifikaciju</w:t>
      </w:r>
      <w:r w:rsidR="002D17F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5F085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E45A4" w:rsidRPr="00AD2538" w:rsidRDefault="00FE45A4" w:rsidP="00FE45A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0854" w:rsidRPr="00AD2538" w:rsidRDefault="005F0854" w:rsidP="005F085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0854" w:rsidRPr="00AD2538" w:rsidRDefault="005F0854" w:rsidP="005F085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zgradu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naplaćuje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49F8" w:rsidRPr="00AD2538" w:rsidRDefault="000B49F8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donelo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F1F3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57C7E" w:rsidRPr="00AD2538" w:rsidRDefault="000B49F8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966F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nadležnoj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="008A06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43DA" w:rsidRPr="00AD2538" w:rsidRDefault="003743DA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32555" w:rsidRPr="00AD2538" w:rsidRDefault="00732555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32555" w:rsidRPr="00AD2538" w:rsidRDefault="00732555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1540" w:rsidRPr="00AD2538" w:rsidRDefault="00AD2538" w:rsidP="00CA154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CA15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24C6A" w:rsidRPr="00AD2538" w:rsidRDefault="0079431E" w:rsidP="0079431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A46B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4210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210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4210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="004210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4210F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elektronskom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dostupan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interneta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E62870" w:rsidRPr="00AD2538" w:rsidRDefault="00E62870" w:rsidP="0079431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57C7E" w:rsidRPr="00AD2538" w:rsidRDefault="00757C7E" w:rsidP="00757C7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</w:p>
    <w:p w:rsidR="0079431E" w:rsidRPr="00AD2538" w:rsidRDefault="00AD2538" w:rsidP="0079431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5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79431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B1C5B" w:rsidRPr="00AD2538" w:rsidRDefault="001F1F3F" w:rsidP="001F1F3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stiču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knjizi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vodova</w:t>
      </w:r>
      <w:r w:rsidR="00CB1C5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B1C5B" w:rsidRPr="00AD2538" w:rsidRDefault="000F4714" w:rsidP="001F1F3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1E86" w:rsidRPr="00AD2538" w:rsidRDefault="00662B0A" w:rsidP="001F1F3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kućnom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41E8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041E8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041E8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041E8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574B4" w:rsidRPr="00AD2538" w:rsidRDefault="00BA5CC0" w:rsidP="001F1F3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8B3FB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geodetskog</w:t>
      </w:r>
      <w:r w:rsidR="008B3FB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8B3FB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8B3FB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A07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0F471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574B4" w:rsidRPr="00AD2538" w:rsidRDefault="009574B4" w:rsidP="001F1F3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0A64" w:rsidRPr="00AD2538" w:rsidRDefault="00710A64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57C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E60D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</w:p>
    <w:p w:rsidR="000B49F8" w:rsidRPr="00AD2538" w:rsidRDefault="00AD2538" w:rsidP="000B49F8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0B49F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574B4" w:rsidRPr="00AD2538" w:rsidRDefault="00710A64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izvršavati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1A7575" w:rsidRPr="00AD2538" w:rsidRDefault="001A7575" w:rsidP="000B49F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0A64" w:rsidRPr="00AD2538" w:rsidRDefault="00AD2538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06A26" w:rsidRPr="00AD2538" w:rsidRDefault="00606A26" w:rsidP="00606A26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pravnosnažnom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okončanju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22F8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stiču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Pravnosnažni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2D1AC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2D1ACD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234B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970C5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633590" w:rsidRPr="00AD2538" w:rsidRDefault="00633590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9467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3590" w:rsidRPr="00AD2538" w:rsidRDefault="00100EBF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3359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42BCC" w:rsidRPr="00AD2538" w:rsidRDefault="00633590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zabeležbu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teretni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614FA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B1543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57C7E" w:rsidRPr="00AD2538" w:rsidRDefault="00142BCC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42BCC" w:rsidRPr="00AD2538" w:rsidRDefault="002F7108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42BC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stiču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zabeležbe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E388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E3889" w:rsidRPr="00AD2538" w:rsidRDefault="008E3889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3C4B" w:rsidRPr="00AD2538" w:rsidRDefault="00757C7E" w:rsidP="00A63C4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VII.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PRIKLJUČENJE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INFRASTRUKTURU</w:t>
      </w:r>
    </w:p>
    <w:p w:rsidR="00710A64" w:rsidRPr="00AD2538" w:rsidRDefault="00AD2538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pravosnažnog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elektroenergetsku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gasnu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mrežu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komunikacija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mrežu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daljinskog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grejanja</w:t>
      </w:r>
      <w:r w:rsidR="001323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vodovod</w:t>
      </w:r>
      <w:r w:rsidR="001323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323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kanalizaciju</w:t>
      </w:r>
      <w:r w:rsidR="0013234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priključenje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73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73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A73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A73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734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300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38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primerak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komunalnom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="009574B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mrežu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339A3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F068F9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6312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isključi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91DDE" w:rsidRPr="00AD2538" w:rsidRDefault="00F91DDE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3C4B" w:rsidRPr="00AD2538" w:rsidRDefault="00A63C4B" w:rsidP="00A63C4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VII</w:t>
      </w:r>
      <w:r w:rsidR="00757C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</w:p>
    <w:p w:rsidR="00A63C4B" w:rsidRPr="00AD2538" w:rsidRDefault="00AD2538" w:rsidP="00A63C4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3C4B" w:rsidRPr="00AD2538" w:rsidRDefault="00A63C4B" w:rsidP="00A63C4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12BA3" w:rsidRPr="00AD2538" w:rsidRDefault="00A63C4B" w:rsidP="00A63C4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668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12BA3" w:rsidRPr="00AD2538" w:rsidRDefault="00F12BA3" w:rsidP="00A63C4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1DDE" w:rsidRPr="00AD2538" w:rsidRDefault="00F91DDE" w:rsidP="00A63C4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0A64" w:rsidRPr="00AD2538" w:rsidRDefault="00710A64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D151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X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F91DDE" w:rsidRPr="00AD2538" w:rsidRDefault="00F91DDE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0A64" w:rsidRPr="00AD2538" w:rsidRDefault="00AD2538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E4B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1.500.000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3.000.000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1A75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isključi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priključen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A7B9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komunalnom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9022CB" w:rsidRPr="00AD2538" w:rsidRDefault="00AD2538" w:rsidP="009022C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E4BC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022CB" w:rsidRPr="00AD2538" w:rsidRDefault="00E3488C" w:rsidP="009022C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1.000.000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66BD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unese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netačne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prikaže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stvarno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završenosti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2151D" w:rsidRPr="00AD2538" w:rsidRDefault="009022CB" w:rsidP="009022C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512239" w:rsidRPr="00AD2538" w:rsidRDefault="00512239" w:rsidP="009022C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0A64" w:rsidRPr="00AD2538" w:rsidRDefault="00AD2538" w:rsidP="00710A6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10A64" w:rsidRPr="00AD2538" w:rsidRDefault="00710A6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10A64" w:rsidRPr="00AD2538" w:rsidRDefault="00AD2538" w:rsidP="007108D4">
      <w:pPr>
        <w:pStyle w:val="ListParagraph"/>
        <w:numPr>
          <w:ilvl w:val="0"/>
          <w:numId w:val="4"/>
        </w:numPr>
        <w:tabs>
          <w:tab w:val="left" w:pos="1080"/>
        </w:tabs>
        <w:ind w:firstLine="1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3D47B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D47B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3D47B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027C4" w:rsidRPr="00AD2538" w:rsidRDefault="00AD2538" w:rsidP="007108D4">
      <w:pPr>
        <w:pStyle w:val="ListParagraph"/>
        <w:numPr>
          <w:ilvl w:val="0"/>
          <w:numId w:val="4"/>
        </w:numPr>
        <w:tabs>
          <w:tab w:val="left" w:pos="1080"/>
        </w:tabs>
        <w:ind w:firstLine="1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11B0B" w:rsidRPr="00AD2538" w:rsidRDefault="00AD2538" w:rsidP="007108D4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inspekciji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D47B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47B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D5823" w:rsidRPr="00AD2538" w:rsidRDefault="005D5823" w:rsidP="007108D4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027C4" w:rsidRPr="00AD2538" w:rsidRDefault="00AD2538" w:rsidP="000027C4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D39C0" w:rsidRPr="00AD2538" w:rsidRDefault="000027C4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D39C0" w:rsidRPr="00AD2538" w:rsidRDefault="00AD2538" w:rsidP="00456DC8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837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sačini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3D39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15140" w:rsidRPr="00AD2538" w:rsidRDefault="00AD2538" w:rsidP="00456DC8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15140" w:rsidRPr="00AD2538" w:rsidRDefault="00AD2538" w:rsidP="00456DC8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1514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12239" w:rsidRPr="00AD2538" w:rsidRDefault="00512239" w:rsidP="00512239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12239" w:rsidRPr="00AD2538" w:rsidRDefault="00512239" w:rsidP="00512239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12239" w:rsidRPr="00AD2538" w:rsidRDefault="00512239" w:rsidP="00512239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12239" w:rsidRPr="00AD2538" w:rsidRDefault="00512239" w:rsidP="00512239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3C4B" w:rsidRPr="00AD2538" w:rsidRDefault="00AD2538" w:rsidP="00A63C4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45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3C4B" w:rsidRPr="00AD2538" w:rsidRDefault="005A07A1" w:rsidP="00A63C4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zatvora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projektant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odgovorni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63C4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unese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netačne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E3488C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prikaže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stvarno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završenosti</w:t>
      </w:r>
      <w:r w:rsidR="000027C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9022C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11B0B" w:rsidRPr="00AD2538" w:rsidRDefault="009022CB" w:rsidP="00710A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21292" w:rsidRPr="00AD2538" w:rsidRDefault="003D151A" w:rsidP="000027C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X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="00710A6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F16177" w:rsidRPr="00AD2538" w:rsidRDefault="00F16177" w:rsidP="000027C4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D1ACD" w:rsidRPr="00AD2538" w:rsidRDefault="00AD2538" w:rsidP="00DA64A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</w:t>
      </w:r>
      <w:r w:rsidR="00DA64A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37F2A" w:rsidRPr="00AD2538" w:rsidRDefault="00B37F2A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započeti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A07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A07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5A07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A07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5A07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2151D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okončani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okončaće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5E75" w:rsidRPr="00AD2538" w:rsidRDefault="003D380B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započeti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25/13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5581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145/14),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F5D7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C6EEF" w:rsidRPr="00AD2538" w:rsidRDefault="00AD2538" w:rsidP="00BC6EE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sačinjavanje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C6EE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5E75" w:rsidRPr="00AD2538" w:rsidRDefault="00AD2538" w:rsidP="006F5E7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F5E7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D380B" w:rsidRPr="00AD2538" w:rsidRDefault="003D380B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spisima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podnelo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53099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37C0" w:rsidRPr="00AD2538" w:rsidRDefault="00AD2538" w:rsidP="0039240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inspekciju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037C0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3924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3924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</w:t>
      </w:r>
      <w:r w:rsidR="00392404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</w:t>
      </w:r>
      <w:r w:rsidR="00221717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099B" w:rsidRPr="00AD2538" w:rsidRDefault="0053099B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A5EAC" w:rsidRPr="00AD2538" w:rsidRDefault="001637BA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167F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167F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167F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167F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7167F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167F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zabeležba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stečena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2DD6" w:rsidRPr="00AD2538" w:rsidRDefault="000B2DD6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585F" w:rsidRPr="00AD2538" w:rsidRDefault="000C585F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585F" w:rsidRPr="00AD2538" w:rsidRDefault="000C585F" w:rsidP="0009795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770F" w:rsidRPr="00AD2538" w:rsidRDefault="00AD2538" w:rsidP="00606A26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</w:t>
      </w:r>
      <w:r w:rsidR="00606A26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339A3" w:rsidRPr="00AD2538" w:rsidRDefault="00A22F87" w:rsidP="0072651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95/</w:t>
      </w:r>
      <w:r w:rsidR="00FA280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25/13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9765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FA280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izgrađenosti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upotrebnoj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316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316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316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316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316CA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106/</w:t>
      </w:r>
      <w:r w:rsidR="00FA2805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13)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2B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0362C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</w:t>
      </w:r>
      <w:r w:rsidR="00726518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13).</w:t>
      </w:r>
    </w:p>
    <w:p w:rsidR="00142DD1" w:rsidRPr="00AD2538" w:rsidRDefault="00142DD1" w:rsidP="0072651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22F87" w:rsidRPr="00AD2538" w:rsidRDefault="00AD2538" w:rsidP="003744C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D582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3744CF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0176A" w:rsidRPr="00AD2538" w:rsidRDefault="00495F13" w:rsidP="00495F1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Obavezuju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sagrađenih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planskih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0C1852"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prve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uređenja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neformalnih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339A3" w:rsidRPr="00AD2538" w:rsidRDefault="00D339A3" w:rsidP="00495F1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43D48" w:rsidRPr="00AD2538" w:rsidRDefault="00AD2538" w:rsidP="00D339A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339A3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</w:t>
      </w:r>
      <w:r w:rsidR="000C1852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06A26" w:rsidRPr="00AD2538" w:rsidRDefault="00606A26" w:rsidP="00606A2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3C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C43BB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918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918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918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918A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06A26" w:rsidRPr="00AD2538" w:rsidRDefault="00606A26" w:rsidP="00606A2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5CC0" w:rsidRPr="00AD2538" w:rsidRDefault="00BA5CC0" w:rsidP="00606A2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A07A1" w:rsidRPr="00AD2538" w:rsidRDefault="005A07A1" w:rsidP="00606A2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A07A1" w:rsidRPr="00AD2538" w:rsidRDefault="005A07A1" w:rsidP="00606A2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A07A1" w:rsidRPr="00AD2538" w:rsidRDefault="005A07A1" w:rsidP="00606A2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948" w:rsidRPr="00AD2538" w:rsidRDefault="00C9794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707B31" w:rsidRPr="00AD2538" w:rsidRDefault="00AD2538" w:rsidP="00707B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O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07B31"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07B31" w:rsidRPr="00AD2538" w:rsidRDefault="00707B31" w:rsidP="00707B31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I.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</w:t>
      </w:r>
    </w:p>
    <w:p w:rsidR="00707B31" w:rsidRPr="00AD2538" w:rsidRDefault="00707B31" w:rsidP="00707B31">
      <w:pPr>
        <w:tabs>
          <w:tab w:val="left" w:pos="709"/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II.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unazad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decenija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eskalirao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prošlog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beleži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masovna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uzrokovana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velikim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prilivom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zahvaćenih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nedostatkom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nepostojanjem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omogućila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pokušavala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1997.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16/97),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2003, 2006, 2009.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(„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”',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95/13).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omogućavao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vrate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efekti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skromni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poslednjem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771.000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1,5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Stvarni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pokušava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sistemskog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značaju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karakter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uradila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prevenciji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useljeni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pouzdan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statusu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razlikuje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evidentiranju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materijalnom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Dakle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prepušta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volju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tretirajući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uređivano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pomerao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vremensku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legalizovati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sankcionisano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zaprećenom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zatvora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Poražavajuća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rastao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najvećeg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nepovoljnom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konstruktivnom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podnositi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načelom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Pr="00AD2538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ne bis in idem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poredak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onemogućavaju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zloupotrebe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Analizom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komplikovane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najveći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naših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ukupni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uređivanje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prepreka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okončaju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započete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maksimalno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pojača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postupajućih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realni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propisivani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kratki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poštovao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stvarno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produžetka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smemo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shvatiti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brzo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mišljenju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realni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ostvarivi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različito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ponuđen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čitav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spektar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zadržana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dostavljenim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konkretnoj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upućuje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.70.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ZPI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nebezbedni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podelu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razlikuje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namenjene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klasama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zavisi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složenosti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svestan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koliki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izazov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postavio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inženjere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sačinjavati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izrađivati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mnoge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pouzdan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najvećem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redovnom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pouzdan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doveo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nemogućnosti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ogromnih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zahvate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morali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otkopavanje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temelja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armature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zidova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Dakle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osloniti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stručnost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projektanata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izvođača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izrađivati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složenosti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jednostavne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nosivosti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napomenom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mišljenju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upoznavanja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trećih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daljeg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eventualni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ovakav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izjednačen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redovnom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prometovati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</w:p>
    <w:p w:rsidR="00707B31" w:rsidRPr="00AD2538" w:rsidRDefault="00707B31" w:rsidP="00707B31">
      <w:pPr>
        <w:jc w:val="both"/>
        <w:rPr>
          <w:noProof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kvalifikacije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predložio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najprimenjivije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finansijskoj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podrazumevaju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ekvivalent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služi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pokrivaju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rashodi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posluži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podmirenje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prouzrokovani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radnjama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konkretne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Razmatrane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prevagnuo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princip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najbolje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najprimerenije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uvesti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precizno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dobijena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noProof/>
          <w:lang w:val="sr-Latn-CS"/>
        </w:rPr>
        <w:t xml:space="preserve"> 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ključnih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sprovođeni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propisivali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platežnoj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sposobnosti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Princip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pravičnosti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princip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vezuje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datira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Rusoa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Džona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Stjuarta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teorija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sposobnosti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  <w:r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Jednakost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principa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ispituje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uređivana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pokušao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uvažavajući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kriterijum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proporcionalnosti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postići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upotrebljenog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propisivanju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Nesporno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izražene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legitimnom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preciznu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važniji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okvire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izjednači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Analizirajući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praksu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procenio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tiču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dopuštena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zasnovana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razumnim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opravdanjima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srazmeri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nameravanim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vraćen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uspostavljena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jednakost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određivanje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šarenolika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olakšice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umanjenje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99%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ukupnu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doveo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.185-200.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prepušteno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jasnom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redovnim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određivana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različita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dovodilo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neravnopravni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nelegalno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nezadovoljavajući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ostavljen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umnogome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zavisi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polazi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postavke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ustavno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dopuštena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postići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podrazumevala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minimalno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uspostavlja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svojinsku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posredno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stvara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racionalno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Ovakvim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propisivanjem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odrekla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ostvarila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zadržavanjem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analizi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došla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decenija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bismo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milion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navedeno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neophodnosti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uvažavanja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snazi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uticalo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uvede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jednokratnom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Opredeljenje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ostvaren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najveći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aspekta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priliva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ovakav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trebalo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formuli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plaćenih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=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suštini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povezanost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uređivanje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propisivane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priliv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budžete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povećan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zbiru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terminološki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olakšaju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njihovu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upućivanjem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supsidijarnu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analognu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upućivanjem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geodetskog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4.671.899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1.996.479.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porodično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36.321.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kolektivno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upisanih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1.476.433.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kompletni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ilustrativni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poslužili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kreiranje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podatak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dobićemo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masovno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preventivno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nastanak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bespravne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III.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OBJAŠNJENJE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OSNOVNIH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PRAVNIH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POJEDINAČNIH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objašnjen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tačnog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obaveza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kontrolni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mehanizam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korišćen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satelitski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snimak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dostupan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celinama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3, 5,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taksativno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pobrojano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premer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katastar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111011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112111.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BRGP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prikazuju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sadržajem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razrade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razrade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grubi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konstruktivnim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sklopom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noseće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07B31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temelj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zidovi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armirano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betonski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čelični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stubovi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gredama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armirano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betonska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tavanica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krovna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konstrukcija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stolarija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izvedeni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razvodi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instalacija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fasaderski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podopolagački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stolarski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nepovoljnom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građenje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dokaže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terena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07B31" w:rsidRPr="00AD2538" w:rsidRDefault="00AD2538" w:rsidP="00707B3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pribavljena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upravljača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spratnosti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   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izuzetkom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upućuje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podobne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premera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07B31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porušiti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…).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</w:t>
      </w:r>
      <w:r w:rsidR="00707B31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priključenja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41, 42, 43, 44.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</w:t>
      </w:r>
      <w:r w:rsidR="00707B31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sagrađenih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Smatramo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dokumenata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neformalnih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budućeg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07B31" w:rsidRPr="00AD2538" w:rsidRDefault="00707B31" w:rsidP="00707B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iV.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PROCENA</w:t>
      </w:r>
      <w:r w:rsidRP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FINANSIJSKIH</w:t>
      </w:r>
      <w:r w:rsidRP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SREDSTAVA</w:t>
      </w:r>
      <w:r w:rsidRP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POTREBNIH</w:t>
      </w:r>
      <w:r w:rsidRP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SPROVOĐENJE</w:t>
      </w:r>
      <w:r w:rsidRP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ZAKONA</w:t>
      </w:r>
    </w:p>
    <w:p w:rsidR="00707B31" w:rsidRPr="00AD2538" w:rsidRDefault="00707B31" w:rsidP="00707B3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keepNext/>
        <w:tabs>
          <w:tab w:val="left" w:pos="1080"/>
        </w:tabs>
        <w:spacing w:before="120"/>
        <w:ind w:right="144"/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V.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RAZLOZI</w:t>
      </w: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DONOŠENJE</w:t>
      </w: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ZAKONA</w:t>
      </w: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PO</w:t>
      </w: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HITNOM</w:t>
      </w:r>
      <w:r w:rsidRP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POSTUPKU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hitnija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zakonit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Napominjemo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opravdava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VI.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STUPANJE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SNAGU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NAREDNOG</w:t>
      </w:r>
      <w:r w:rsidRP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DANA</w:t>
      </w:r>
    </w:p>
    <w:p w:rsidR="00707B31" w:rsidRPr="00AD2538" w:rsidRDefault="00AD2538" w:rsidP="00707B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707B31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07B31" w:rsidRPr="00AD2538" w:rsidRDefault="00707B31" w:rsidP="00707B31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07B31" w:rsidRPr="00AD2538" w:rsidRDefault="00707B31" w:rsidP="00707B3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B9108E" w:rsidRPr="00AD2538" w:rsidRDefault="00B9108E" w:rsidP="00B9108E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lastRenderedPageBreak/>
        <w:t xml:space="preserve">VII. </w:t>
      </w:r>
      <w:r w:rsid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EFEKATA</w:t>
      </w:r>
      <w:r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Određivanje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unazad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decenija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eskalirao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prošlog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beleži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masovna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uzrokovana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prilivom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zahvaćenih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nedostatkom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nepostojanjem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navrata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pokušavala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B9108E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16/97),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2003, 2006, 2009.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95/13).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skromni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9108E" w:rsidRPr="00AD2538" w:rsidRDefault="00AD2538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raspolaže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građevinarstva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770.934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9108E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bespravnih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zgrada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1.476.433.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Međutim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precizno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pokušaji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resornog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dođe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željene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rezultate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najpribližniju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bespravno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proizlaze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trebalo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krajnji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najvećeg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Nekoliko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shvatanju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legalizovan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9108E" w:rsidRPr="00AD2538" w:rsidRDefault="00B9108E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složenosti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izvedenog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prevazilazi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uzimajući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porodične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složena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geodetski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snimak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izvedenog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uzrokovala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prevazilaze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moć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pomenute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kategorije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stanovništva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imovinsko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zemljištu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B9108E" w:rsidRPr="00AD2538" w:rsidRDefault="00AD2538" w:rsidP="00B9108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zemljišta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prevazilazi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moć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prevazilaze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dovodi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praksi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nestanka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uđe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građanin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izloženo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opterećenjima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republičke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katastar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zauzvrat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ulaze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opterećenje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složenost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pojedinac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samoinicijativno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posećuje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pribavlja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uzrokovali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komplikovane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usporile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Poseban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uzrokovao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nezainteresovanost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izostanak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sankcija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neizvršenje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sankcije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komplikovane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naših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uređivanje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prepreka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otklonjeno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pojača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postupajućih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nekada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produžetka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smemo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shvatiti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upisalo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ponuđen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čitav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spektar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imovinsko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upućuje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ZPI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B9108E" w:rsidRPr="00AD2538" w:rsidRDefault="00AD2538" w:rsidP="00B9108E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smelo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nebezbedni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podelu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inženjerske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klasama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zatečenom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spacing w:after="0" w:line="240" w:lineRule="auto"/>
        <w:ind w:firstLine="357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Predlagač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kvalifikacije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predložio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najprimenjivije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teoriji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ekvivalent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rashodi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posluži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podmirenje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prouzrokovani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radnjama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prevagnuo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najbolje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najprimerenije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9108E" w:rsidRPr="00AD2538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primerena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platežnoj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sposobnosti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nepostojanje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mehanizma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doprinelo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trebalo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dovedu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krajnjeg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najvećeg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Ciljevi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postižu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srazmeru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veličinu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širi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višestruki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rušenje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zaustavljanje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postići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9108E" w:rsidRPr="00AD2538" w:rsidRDefault="00B9108E" w:rsidP="00B9108E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vraćen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Omogućavanje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legalizovane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knjigu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zadužuju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stavljanjem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B9108E" w:rsidRPr="00AD2538" w:rsidRDefault="00B9108E" w:rsidP="00B9108E">
      <w:pPr>
        <w:pStyle w:val="ListParagraph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Uspostavljanje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transformacije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9108E" w:rsidRPr="00AD2538" w:rsidRDefault="00B9108E" w:rsidP="00B9108E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racionalno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zemljišta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B9108E" w:rsidRPr="00AD2538" w:rsidRDefault="00B9108E" w:rsidP="00B9108E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Popis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razmatrane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mogućnosti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bez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akta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gde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povećavao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neutvrđeni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nemogućnosti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znatno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otežano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utiče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funkcionisanje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opredelio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Zašto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akta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najbolji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Predlaganjem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opredelio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mehanizmima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višedecenijski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celishodno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tiču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bespravnih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nađu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koga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najverovatnije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uticati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najdirektnije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projektante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izvođače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označeni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tražnju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geodetske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elaborata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geodetskih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posletku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novoustanovljenih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najpre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inspektore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ubrzao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bespravno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predlagana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terminološki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olakšaju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supsidijarnu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analognu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9108E"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Kakve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primena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stvoriti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građanima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privredi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naročito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malim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srednjim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preduzećima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)?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znatno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prikazaćemo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izložen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postupcima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izložen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aproksimaciju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zvanične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računice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7340" w:type="dxa"/>
        <w:tblInd w:w="1080" w:type="dxa"/>
        <w:tblLook w:val="04A0" w:firstRow="1" w:lastRow="0" w:firstColumn="1" w:lastColumn="0" w:noHBand="0" w:noVBand="1"/>
      </w:tblPr>
      <w:tblGrid>
        <w:gridCol w:w="1780"/>
        <w:gridCol w:w="1920"/>
        <w:gridCol w:w="1920"/>
        <w:gridCol w:w="1720"/>
      </w:tblGrid>
      <w:tr w:rsidR="00B9108E" w:rsidRPr="00AD2538" w:rsidTr="00B9108E">
        <w:trPr>
          <w:trHeight w:val="34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Nadležnost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Dosadašnji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postupak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legalizacije</w:t>
            </w:r>
          </w:p>
        </w:tc>
      </w:tr>
      <w:tr w:rsidR="00B9108E" w:rsidRPr="00AD2538" w:rsidTr="00B910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Dokumenta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Pružalac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Troškovi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RSD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)</w:t>
            </w:r>
          </w:p>
        </w:tc>
      </w:tr>
      <w:tr w:rsidR="00B9108E" w:rsidRPr="00AD2538" w:rsidTr="00B9108E">
        <w:trPr>
          <w:trHeight w:val="76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Podnosilac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zahteva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Geodetski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snimak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Geodetska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firma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Prema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procenama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ministarstva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ne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više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od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lang w:val="sr-Latn-CS"/>
              </w:rPr>
              <w:t>50.000</w:t>
            </w:r>
          </w:p>
        </w:tc>
      </w:tr>
      <w:tr w:rsidR="00B9108E" w:rsidRPr="00AD2538" w:rsidTr="00B9108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Projekat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izvedenog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Privatni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projektni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biroi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B9108E" w:rsidRPr="00AD2538" w:rsidTr="00B910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Dokaz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pravu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svojine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na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objektu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Podnosilac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zahteva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B9108E" w:rsidRPr="00AD2538" w:rsidTr="00B9108E">
        <w:trPr>
          <w:trHeight w:val="76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Organ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državne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uprave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Naknada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uređenje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građevinskog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zemljišta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Lokalna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samouprava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U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proseku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po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svim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zonama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2.800.000</w:t>
            </w:r>
          </w:p>
        </w:tc>
      </w:tr>
      <w:tr w:rsidR="00B9108E" w:rsidRPr="00AD2538" w:rsidTr="00B9108E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Administrativna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taksa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Država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AD2538">
              <w:rPr>
                <w:rFonts w:ascii="Times New Roman" w:eastAsia="Times New Roman" w:hAnsi="Times New Roman" w:cs="Times New Roman"/>
                <w:noProof/>
                <w:lang w:val="sr-Latn-CS"/>
              </w:rPr>
              <w:t>0.2%</w:t>
            </w:r>
            <w:r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 w:rsid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vrednosti</w:t>
            </w:r>
            <w:r w:rsidRP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</w:t>
            </w:r>
            <w:r w:rsidR="00AD2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Latn-CS"/>
              </w:rPr>
              <w:t>objekta</w:t>
            </w:r>
          </w:p>
        </w:tc>
      </w:tr>
      <w:tr w:rsidR="00B9108E" w:rsidRPr="00AD2538" w:rsidTr="00B9108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Taksa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upis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imovine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u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katastar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Republički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geodetski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zavod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9108E" w:rsidRPr="00AD2538" w:rsidRDefault="00B9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AD2538">
              <w:rPr>
                <w:rFonts w:ascii="Times New Roman" w:eastAsia="Times New Roman" w:hAnsi="Times New Roman" w:cs="Times New Roman"/>
                <w:noProof/>
                <w:lang w:val="sr-Latn-CS"/>
              </w:rPr>
              <w:t>8.500</w:t>
            </w:r>
          </w:p>
        </w:tc>
      </w:tr>
      <w:tr w:rsidR="00B9108E" w:rsidRPr="00AD2538" w:rsidTr="00B9108E">
        <w:trPr>
          <w:trHeight w:val="675"/>
        </w:trPr>
        <w:tc>
          <w:tcPr>
            <w:tcW w:w="37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Procenjeni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ukupni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troškovi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za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vlasnika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objekta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08E" w:rsidRPr="00AD2538" w:rsidRDefault="00B9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08E" w:rsidRPr="00AD2538" w:rsidRDefault="00B9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2.882.500</w:t>
            </w:r>
          </w:p>
        </w:tc>
      </w:tr>
    </w:tbl>
    <w:p w:rsidR="00B9108E" w:rsidRPr="00AD2538" w:rsidRDefault="00B9108E" w:rsidP="00B910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5280" w:type="dxa"/>
        <w:tblInd w:w="1080" w:type="dxa"/>
        <w:tblLook w:val="04A0" w:firstRow="1" w:lastRow="0" w:firstColumn="1" w:lastColumn="0" w:noHBand="0" w:noVBand="1"/>
      </w:tblPr>
      <w:tblGrid>
        <w:gridCol w:w="1660"/>
        <w:gridCol w:w="1880"/>
        <w:gridCol w:w="1740"/>
      </w:tblGrid>
      <w:tr w:rsidR="00B9108E" w:rsidRPr="00AD2538" w:rsidTr="00B9108E">
        <w:trPr>
          <w:trHeight w:val="345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Postupak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ozakonjenja</w:t>
            </w:r>
          </w:p>
        </w:tc>
      </w:tr>
      <w:tr w:rsidR="00B9108E" w:rsidRPr="00AD2538" w:rsidTr="00B9108E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Dokumenta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Pružalac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Troškovi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RSD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)</w:t>
            </w:r>
          </w:p>
        </w:tc>
      </w:tr>
      <w:tr w:rsidR="00B9108E" w:rsidRPr="00AD2538" w:rsidTr="00B9108E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Izveštaj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zatečenom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stanju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Projektni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biroi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i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geodetske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firme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Prema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procenama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ministarstva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ne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više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od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30.000 </w:t>
            </w:r>
          </w:p>
        </w:tc>
      </w:tr>
      <w:tr w:rsidR="00B9108E" w:rsidRPr="00AD2538" w:rsidTr="00B9108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B9108E" w:rsidRPr="00AD2538" w:rsidTr="00B9108E">
        <w:trPr>
          <w:trHeight w:val="10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Dokaz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pravu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svojine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na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objektu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Podnosilac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zahteva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B9108E" w:rsidRPr="00AD2538" w:rsidTr="00B9108E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Taksa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</w:t>
            </w:r>
            <w:r w:rsidR="00B9108E" w:rsidRPr="00AD25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ozakonjenje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A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Lokalna</w:t>
            </w:r>
            <w:r w:rsidR="00B9108E" w:rsidRPr="00AD2538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  <w:t>samouprava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AD2538">
              <w:rPr>
                <w:rFonts w:ascii="Times New Roman" w:eastAsia="Times New Roman" w:hAnsi="Times New Roman" w:cs="Times New Roman"/>
                <w:noProof/>
                <w:lang w:val="sr-Latn-CS"/>
              </w:rPr>
              <w:t>5.000</w:t>
            </w:r>
          </w:p>
        </w:tc>
      </w:tr>
      <w:tr w:rsidR="00B9108E" w:rsidRPr="00AD2538" w:rsidTr="00B9108E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B9108E" w:rsidRPr="00AD2538" w:rsidTr="00B9108E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108E" w:rsidRPr="00AD2538" w:rsidRDefault="00B910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B9108E" w:rsidRPr="00AD2538" w:rsidTr="00B9108E">
        <w:trPr>
          <w:trHeight w:val="675"/>
        </w:trPr>
        <w:tc>
          <w:tcPr>
            <w:tcW w:w="35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108E" w:rsidRPr="00AD2538" w:rsidRDefault="00A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Procenjeni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ukupni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troškovi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za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vlasnika</w:t>
            </w:r>
            <w:r w:rsidR="00B9108E"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objekta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08E" w:rsidRPr="00AD2538" w:rsidRDefault="00B9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 w:rsidRPr="00AD2538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35.000</w:t>
            </w:r>
          </w:p>
        </w:tc>
      </w:tr>
    </w:tbl>
    <w:p w:rsidR="00B9108E" w:rsidRPr="00AD2538" w:rsidRDefault="00B9108E" w:rsidP="00B910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primetiti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izložen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pribavljanja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Umesto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pozitivne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posledice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takve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opravdavaju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on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stvoriti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Uvođenje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važan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preduslov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prostornog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efekat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odražava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prešao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klime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osetiti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moći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ostvaruju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zaduživanja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celini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racionalno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zemljišta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visoki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izložen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legalizaciju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očekivanje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popunjavati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povoljnijim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složeniju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propisivali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ugla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spadaju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redovne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administraciji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postupcima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opravdavaju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kategoriji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opravdavaju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odraziće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većeg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Posledično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doći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ogleda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bespravnih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rušenje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protivmeru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opciju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porušili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protivzakonito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uvođenja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motivacionog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mehanizma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bismo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nesaglediv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podržava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stvaranje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novih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privrednih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subjekata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tržištu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tržišnu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konkurenciju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svega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inženjerskih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očekivati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konkurenciju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zainteresovane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strane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imale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priliku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izjasne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B9108E" w:rsidRPr="00AD2538" w:rsidRDefault="00B9108E" w:rsidP="00B9108E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pStyle w:val="ListParagraph"/>
        <w:tabs>
          <w:tab w:val="left" w:pos="284"/>
          <w:tab w:val="left" w:pos="8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komorama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gradovima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Subotica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Pančevo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Valjevo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Užice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Niš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omogućio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uključivanje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Nacrtu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Ciklus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Zaključkom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septembra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završio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Nišu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tabs>
          <w:tab w:val="left" w:pos="284"/>
          <w:tab w:val="left" w:pos="8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prisustvovali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katastra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inspekcije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projektantskih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biroa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Procenjuje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prisustvovalo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1300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tabs>
          <w:tab w:val="left" w:pos="284"/>
          <w:tab w:val="left" w:pos="8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početka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uspostavljena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hyperlink r:id="rId8" w:history="1">
        <w:r w:rsidRPr="00AD2538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ozakonjenje@mgsi.gov.rs</w:t>
        </w:r>
      </w:hyperlink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zainteresovani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usmenih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primedbi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sugestije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vezane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nacrt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sajtu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hyperlink r:id="rId9" w:history="1">
        <w:r w:rsidRPr="00AD2538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Latn-CS"/>
          </w:rPr>
          <w:t>www.mgsi.gov.rs</w:t>
        </w:r>
      </w:hyperlink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najvažnija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uputilo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tabs>
          <w:tab w:val="left" w:pos="284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nacrta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konsultovalo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brojem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projektantskih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kuća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složenosti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Republičkog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geodetskog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zavoda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prostorijama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komore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9108E" w:rsidRPr="00AD2538" w:rsidRDefault="00B9108E" w:rsidP="00B9108E">
      <w:pPr>
        <w:tabs>
          <w:tab w:val="left" w:pos="284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sastanak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usaglašavanja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opterećenja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uručiti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rušenju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tabs>
          <w:tab w:val="left" w:pos="284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stavove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dostavile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kompanije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poput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Telekoma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udruženja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komore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spacing w:after="0" w:line="240" w:lineRule="auto"/>
        <w:ind w:left="108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tokom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primene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preduzeti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bi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ostvarilo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ono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što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namerava</w:t>
      </w:r>
      <w:r w:rsidR="00B9108E"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B9108E" w:rsidRPr="00AD2538" w:rsidRDefault="00B9108E" w:rsidP="00B9108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AD2538" w:rsidP="00B9108E">
      <w:pPr>
        <w:pStyle w:val="ListParagraph"/>
        <w:spacing w:after="0" w:line="240" w:lineRule="auto"/>
        <w:ind w:left="0" w:firstLine="29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počinje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popisom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bespravno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zadatak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inspekcije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rukovodstvo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dovoljan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inspektora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popis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pokrivaju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inspektori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AD2538" w:rsidP="00B9108E">
      <w:pPr>
        <w:pStyle w:val="ListParagraph"/>
        <w:spacing w:after="0" w:line="240" w:lineRule="auto"/>
        <w:ind w:left="0" w:firstLine="29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izradilo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nacrt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popunjava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kojem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neophodni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B9108E"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B9108E" w:rsidRPr="00AD2538" w:rsidRDefault="00B9108E" w:rsidP="00B9108E">
      <w:pPr>
        <w:pStyle w:val="ListParagraph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organizovana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edukacija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osposobljavanje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primenjivati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AD2538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9108E" w:rsidRPr="00AD2538" w:rsidRDefault="00B9108E" w:rsidP="00B9108E">
      <w:pPr>
        <w:pStyle w:val="ListParagraph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edukacije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okruzima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trajanju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tačan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raspored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održavanja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sačinjen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odmah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edukacije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zavisno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vodič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precizno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opisanih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koraka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predočene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nepostupanja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Pr="00AD253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108E" w:rsidRPr="00AD2538" w:rsidRDefault="00B9108E" w:rsidP="00B9108E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9108E" w:rsidRPr="00AD2538" w:rsidRDefault="00B9108E" w:rsidP="00B9108E">
      <w:pPr>
        <w:rPr>
          <w:noProof/>
          <w:lang w:val="sr-Latn-CS"/>
        </w:rPr>
      </w:pPr>
    </w:p>
    <w:p w:rsidR="00AD0C42" w:rsidRPr="00AD2538" w:rsidRDefault="00AD0C42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D2538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AD0C42" w:rsidRPr="00AD2538" w:rsidRDefault="00AD2538" w:rsidP="00AD0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lastRenderedPageBreak/>
        <w:t>OBRAZAC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IZJAVE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USKLAĐENOSTI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PROPISA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PROPISIMA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EVROPSKE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UNIJE</w:t>
      </w:r>
    </w:p>
    <w:p w:rsidR="00AD0C42" w:rsidRPr="00AD2538" w:rsidRDefault="00AD0C42" w:rsidP="00AD0C42">
      <w:pPr>
        <w:pStyle w:val="FootnoteText"/>
        <w:spacing w:line="240" w:lineRule="auto"/>
        <w:rPr>
          <w:noProof/>
          <w:sz w:val="22"/>
          <w:szCs w:val="22"/>
          <w:lang w:val="sr-Latn-CS"/>
        </w:rPr>
      </w:pP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1. </w:t>
      </w:r>
      <w:r w:rsidR="00AD2538">
        <w:rPr>
          <w:rFonts w:ascii="Times New Roman" w:hAnsi="Times New Roman" w:cs="Times New Roman"/>
          <w:b/>
          <w:noProof/>
          <w:lang w:val="sr-Latn-CS"/>
        </w:rPr>
        <w:t>Organ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državne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uprave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b/>
          <w:noProof/>
          <w:lang w:val="sr-Latn-CS"/>
        </w:rPr>
        <w:t>odnosno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drugi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ovlašćeni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predlagač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propisa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 w:rsidRPr="00AD2538">
        <w:rPr>
          <w:rFonts w:ascii="Times New Roman" w:hAnsi="Times New Roman" w:cs="Times New Roman"/>
          <w:noProof/>
          <w:lang w:val="sr-Latn-CS"/>
        </w:rPr>
        <w:t xml:space="preserve">    </w:t>
      </w:r>
      <w:r w:rsidR="00AD2538">
        <w:rPr>
          <w:rFonts w:ascii="Times New Roman" w:hAnsi="Times New Roman" w:cs="Times New Roman"/>
          <w:b/>
          <w:noProof/>
          <w:lang w:val="sr-Latn-CS"/>
        </w:rPr>
        <w:t>Ovlašćeni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predlagač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: </w:t>
      </w:r>
      <w:r w:rsidR="00AD2538">
        <w:rPr>
          <w:rFonts w:ascii="Times New Roman" w:hAnsi="Times New Roman" w:cs="Times New Roman"/>
          <w:noProof/>
          <w:lang w:val="sr-Latn-CS"/>
        </w:rPr>
        <w:t>Vlada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 w:rsidRPr="00AD2538">
        <w:rPr>
          <w:rFonts w:ascii="Times New Roman" w:hAnsi="Times New Roman" w:cs="Times New Roman"/>
          <w:noProof/>
          <w:lang w:val="sr-Latn-CS"/>
        </w:rPr>
        <w:t xml:space="preserve">    </w:t>
      </w:r>
      <w:r w:rsidR="00AD2538">
        <w:rPr>
          <w:rFonts w:ascii="Times New Roman" w:hAnsi="Times New Roman" w:cs="Times New Roman"/>
          <w:b/>
          <w:noProof/>
          <w:lang w:val="sr-Latn-CS"/>
        </w:rPr>
        <w:t>Obrađivač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: </w:t>
      </w:r>
      <w:r w:rsidR="00AD2538">
        <w:rPr>
          <w:rFonts w:ascii="Times New Roman" w:hAnsi="Times New Roman" w:cs="Times New Roman"/>
          <w:noProof/>
          <w:lang w:val="sr-Latn-CS"/>
        </w:rPr>
        <w:t>Ministarstvo</w:t>
      </w:r>
      <w:r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lang w:val="sr-Latn-CS"/>
        </w:rPr>
        <w:t>građevinarstva</w:t>
      </w:r>
      <w:r w:rsidRPr="00AD2538">
        <w:rPr>
          <w:rFonts w:ascii="Times New Roman" w:hAnsi="Times New Roman" w:cs="Times New Roman"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noProof/>
          <w:lang w:val="sr-Latn-CS"/>
        </w:rPr>
        <w:t>saobraćaja</w:t>
      </w:r>
      <w:r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lang w:val="sr-Latn-CS"/>
        </w:rPr>
        <w:t>i</w:t>
      </w:r>
      <w:r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noProof/>
          <w:lang w:val="sr-Latn-CS"/>
        </w:rPr>
        <w:t>infrastrukture</w:t>
      </w:r>
    </w:p>
    <w:p w:rsidR="00AD0C42" w:rsidRPr="00AD2538" w:rsidRDefault="00AD0C42" w:rsidP="00AD0C42">
      <w:pPr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2. </w:t>
      </w:r>
      <w:r w:rsidR="00AD2538">
        <w:rPr>
          <w:rFonts w:ascii="Times New Roman" w:hAnsi="Times New Roman" w:cs="Times New Roman"/>
          <w:b/>
          <w:noProof/>
          <w:lang w:val="sr-Latn-CS"/>
        </w:rPr>
        <w:t>Naziv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propisa</w:t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PREDLOG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OZAKONJENJU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OBJEKATA</w:t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T</w:t>
      </w:r>
      <w:r w:rsidR="00AD0C42" w:rsidRPr="00AD2538">
        <w:rPr>
          <w:rFonts w:ascii="Times New Roman" w:hAnsi="Times New Roman" w:cs="Times New Roman"/>
          <w:noProof/>
          <w:lang w:val="sr-Latn-CS"/>
        </w:rPr>
        <w:t>H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LAW ON LEGITIMIZATION OF OBJECTS</w:t>
      </w:r>
    </w:p>
    <w:p w:rsidR="00AD0C42" w:rsidRPr="00AD2538" w:rsidRDefault="00AD0C42" w:rsidP="00AD0C42">
      <w:pPr>
        <w:jc w:val="both"/>
        <w:rPr>
          <w:rFonts w:ascii="Times New Roman" w:hAnsi="Times New Roman" w:cs="Times New Roman"/>
          <w:noProof/>
          <w:lang w:val="sr-Latn-CS"/>
        </w:rPr>
      </w:pPr>
    </w:p>
    <w:p w:rsidR="00AD0C42" w:rsidRPr="00AD2538" w:rsidRDefault="00AD0C42" w:rsidP="00AD0C42">
      <w:pPr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3. </w:t>
      </w:r>
      <w:r w:rsidR="00AD2538">
        <w:rPr>
          <w:rFonts w:ascii="Times New Roman" w:hAnsi="Times New Roman" w:cs="Times New Roman"/>
          <w:b/>
          <w:noProof/>
          <w:lang w:val="sr-Latn-CS"/>
        </w:rPr>
        <w:t>Usklađenost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propisa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odredbama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Sporazuma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stabilizaciji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pridruživanju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između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Evropskih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zajednica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njihovih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država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članica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jedne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strane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b/>
          <w:noProof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Republike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Srbije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druge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strane</w:t>
      </w:r>
      <w:r w:rsidRPr="00AD2538">
        <w:rPr>
          <w:rFonts w:ascii="Times New Roman" w:hAnsi="Times New Roman" w:cs="Times New Roman"/>
          <w:b/>
          <w:noProof/>
          <w:lang w:val="sr-Latn-CS"/>
        </w:rPr>
        <w:t>(„</w:t>
      </w:r>
      <w:r w:rsidR="00AD2538">
        <w:rPr>
          <w:rFonts w:ascii="Times New Roman" w:hAnsi="Times New Roman" w:cs="Times New Roman"/>
          <w:b/>
          <w:noProof/>
          <w:lang w:val="sr-Latn-CS"/>
        </w:rPr>
        <w:t>Službeni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glasnik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RS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”, </w:t>
      </w:r>
      <w:r w:rsidR="00AD2538">
        <w:rPr>
          <w:rFonts w:ascii="Times New Roman" w:hAnsi="Times New Roman" w:cs="Times New Roman"/>
          <w:b/>
          <w:noProof/>
          <w:lang w:val="sr-Latn-CS"/>
        </w:rPr>
        <w:t>broj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83/08)(</w:t>
      </w:r>
      <w:r w:rsidR="00AD2538">
        <w:rPr>
          <w:rFonts w:ascii="Times New Roman" w:hAnsi="Times New Roman" w:cs="Times New Roman"/>
          <w:b/>
          <w:noProof/>
          <w:lang w:val="sr-Latn-CS"/>
        </w:rPr>
        <w:t>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daljem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tekstu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: </w:t>
      </w:r>
      <w:r w:rsidR="00AD2538">
        <w:rPr>
          <w:rFonts w:ascii="Times New Roman" w:hAnsi="Times New Roman" w:cs="Times New Roman"/>
          <w:b/>
          <w:noProof/>
          <w:lang w:val="sr-Latn-CS"/>
        </w:rPr>
        <w:t>Sporazum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), </w:t>
      </w:r>
      <w:r w:rsidR="00AD2538">
        <w:rPr>
          <w:rFonts w:ascii="Times New Roman" w:hAnsi="Times New Roman" w:cs="Times New Roman"/>
          <w:b/>
          <w:noProof/>
          <w:lang w:val="sr-Latn-CS"/>
        </w:rPr>
        <w:t>odnosno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odredbama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Prelaznog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sporazuma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trgovini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trgovinskim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pitanjima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između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Evropske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zajednice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jedne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strane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b/>
          <w:noProof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Republike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Srbije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druge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strane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(„</w:t>
      </w:r>
      <w:r w:rsidR="00AD2538">
        <w:rPr>
          <w:rFonts w:ascii="Times New Roman" w:hAnsi="Times New Roman" w:cs="Times New Roman"/>
          <w:b/>
          <w:noProof/>
          <w:lang w:val="sr-Latn-CS"/>
        </w:rPr>
        <w:t>Službeni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glasnik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RS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”, </w:t>
      </w:r>
      <w:r w:rsidR="00AD2538">
        <w:rPr>
          <w:rFonts w:ascii="Times New Roman" w:hAnsi="Times New Roman" w:cs="Times New Roman"/>
          <w:b/>
          <w:noProof/>
          <w:lang w:val="sr-Latn-CS"/>
        </w:rPr>
        <w:t>broj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83/08) (</w:t>
      </w:r>
      <w:r w:rsidR="00AD2538">
        <w:rPr>
          <w:rFonts w:ascii="Times New Roman" w:hAnsi="Times New Roman" w:cs="Times New Roman"/>
          <w:b/>
          <w:noProof/>
          <w:lang w:val="sr-Latn-CS"/>
        </w:rPr>
        <w:t>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daljem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tekstu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: </w:t>
      </w:r>
      <w:r w:rsidR="00AD2538">
        <w:rPr>
          <w:rFonts w:ascii="Times New Roman" w:hAnsi="Times New Roman" w:cs="Times New Roman"/>
          <w:b/>
          <w:noProof/>
          <w:lang w:val="sr-Latn-CS"/>
        </w:rPr>
        <w:t>Prelazni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sporazum</w:t>
      </w:r>
      <w:r w:rsidRPr="00AD2538">
        <w:rPr>
          <w:rFonts w:ascii="Times New Roman" w:hAnsi="Times New Roman" w:cs="Times New Roman"/>
          <w:b/>
          <w:noProof/>
          <w:lang w:val="sr-Latn-CS"/>
        </w:rPr>
        <w:t>)</w:t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Odredba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Prelaznog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koja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odnose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normativnu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sadržinu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propisa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b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Prelazni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rok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usklađivanje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zakonodavstva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odredbama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Prelaznog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Ocena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ispunjenosti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obaveze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koje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proizlaze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navedene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odredbe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Prelaznog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g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Razlozi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delimično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ispunjavanje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odnosno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neispunjavanje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obaveza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koje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proizlaze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navedene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odredbe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Prelaznog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sporazuma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Veza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Nacionalnim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programom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integraciju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Republike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Srbije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Evropsku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uniju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4. </w:t>
      </w:r>
      <w:r w:rsidR="00AD2538">
        <w:rPr>
          <w:rFonts w:ascii="Times New Roman" w:hAnsi="Times New Roman" w:cs="Times New Roman"/>
          <w:b/>
          <w:noProof/>
          <w:lang w:val="sr-Latn-CS"/>
        </w:rPr>
        <w:t>Usklađenostpropisa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propisima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Evropske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unije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Navođenje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primarnih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izvora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prava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usklađenost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njima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b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Navođenje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sekundarnih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izvora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prava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usklađenost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njima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2538" w:rsidP="00AD0C42">
      <w:pPr>
        <w:tabs>
          <w:tab w:val="right" w:pos="9084"/>
        </w:tabs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Navođenje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ostalih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izvora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prava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usklađenost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njima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tabs>
          <w:tab w:val="right" w:pos="9084"/>
        </w:tabs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tabs>
          <w:tab w:val="right" w:pos="9084"/>
        </w:tabs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ab/>
      </w: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g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Razlozi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delimičnu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usklađenost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odnosno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neusklađenost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0C42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) </w:t>
      </w:r>
      <w:r>
        <w:rPr>
          <w:rFonts w:ascii="Times New Roman" w:hAnsi="Times New Roman" w:cs="Times New Roman"/>
          <w:b/>
          <w:noProof/>
          <w:lang w:val="sr-Latn-CS"/>
        </w:rPr>
        <w:t>Rok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kojem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predviđeno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postizanje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potpune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usklađenosti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propisa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propisima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Evropske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unije</w:t>
      </w:r>
      <w:r w:rsidR="00AD0C42"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Nema</w:t>
      </w:r>
    </w:p>
    <w:p w:rsidR="00AD0C42" w:rsidRPr="00AD2538" w:rsidRDefault="00AD0C42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color w:val="000000"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lastRenderedPageBreak/>
        <w:t xml:space="preserve">5. </w:t>
      </w:r>
      <w:r w:rsidR="00AD2538">
        <w:rPr>
          <w:rFonts w:ascii="Times New Roman" w:hAnsi="Times New Roman" w:cs="Times New Roman"/>
          <w:b/>
          <w:noProof/>
          <w:lang w:val="sr-Latn-CS"/>
        </w:rPr>
        <w:t>Ukoliko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postoje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odgovarajući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propisi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Evropske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unije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sa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kojima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je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potrebno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obezbediti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usklađenost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treba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konstatovati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tu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činjenicu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.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U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ovom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slučaju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nije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potrebno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popunjavati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Tabelu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usklađenosti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color w:val="000000"/>
          <w:lang w:val="sr-Latn-CS"/>
        </w:rPr>
        <w:t>propisa</w:t>
      </w:r>
      <w:r w:rsidRPr="00AD2538">
        <w:rPr>
          <w:rFonts w:ascii="Times New Roman" w:hAnsi="Times New Roman" w:cs="Times New Roman"/>
          <w:b/>
          <w:noProof/>
          <w:color w:val="000000"/>
          <w:lang w:val="sr-Latn-CS"/>
        </w:rPr>
        <w:t>.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</w:p>
    <w:p w:rsidR="00AD0C42" w:rsidRPr="00AD2538" w:rsidRDefault="00AD2538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postoje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odgovarajući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sekundarni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izvori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kojima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potrebno</w:t>
      </w:r>
      <w:r w:rsidR="00AD0C42" w:rsidRPr="00AD2538">
        <w:rPr>
          <w:rFonts w:ascii="Times New Roman" w:hAnsi="Times New Roman" w:cs="Times New Roman"/>
          <w:noProof/>
          <w:lang w:val="sr-Latn-CS"/>
        </w:rPr>
        <w:br/>
      </w:r>
      <w:r>
        <w:rPr>
          <w:rFonts w:ascii="Times New Roman" w:hAnsi="Times New Roman" w:cs="Times New Roman"/>
          <w:noProof/>
          <w:lang w:val="sr-Latn-CS"/>
        </w:rPr>
        <w:t>obezbediti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usklađenost</w:t>
      </w:r>
      <w:r w:rsidR="00AD0C42" w:rsidRPr="00AD2538">
        <w:rPr>
          <w:rFonts w:ascii="Times New Roman" w:hAnsi="Times New Roman" w:cs="Times New Roman"/>
          <w:noProof/>
          <w:lang w:val="sr-Latn-CS"/>
        </w:rPr>
        <w:t>.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6. </w:t>
      </w:r>
      <w:r w:rsidR="00AD2538">
        <w:rPr>
          <w:rFonts w:ascii="Times New Roman" w:hAnsi="Times New Roman" w:cs="Times New Roman"/>
          <w:b/>
          <w:noProof/>
          <w:lang w:val="sr-Latn-CS"/>
        </w:rPr>
        <w:t>Da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li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prethodno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navedeni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izvori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prava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EU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prevedeni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srpski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jezik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?   </w:t>
      </w:r>
    </w:p>
    <w:p w:rsidR="00AD0C42" w:rsidRPr="00AD2538" w:rsidRDefault="00AD0C42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Nije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preveden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7. </w:t>
      </w:r>
      <w:r w:rsidR="00AD2538">
        <w:rPr>
          <w:rFonts w:ascii="Times New Roman" w:hAnsi="Times New Roman" w:cs="Times New Roman"/>
          <w:b/>
          <w:noProof/>
          <w:lang w:val="sr-Latn-CS"/>
        </w:rPr>
        <w:t>Da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li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je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propis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preveden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neki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službeni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jezik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EU</w:t>
      </w:r>
      <w:r w:rsidRPr="00AD2538">
        <w:rPr>
          <w:rFonts w:ascii="Times New Roman" w:hAnsi="Times New Roman" w:cs="Times New Roman"/>
          <w:b/>
          <w:noProof/>
          <w:lang w:val="sr-Latn-CS"/>
        </w:rPr>
        <w:t>?</w:t>
      </w:r>
    </w:p>
    <w:p w:rsidR="00AD0C42" w:rsidRPr="00AD2538" w:rsidRDefault="00AD2538" w:rsidP="00AD0C42">
      <w:pPr>
        <w:spacing w:after="0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Da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b/>
          <w:noProof/>
          <w:lang w:val="sr-Latn-CS"/>
        </w:rPr>
      </w:pPr>
      <w:r w:rsidRPr="00AD2538">
        <w:rPr>
          <w:rFonts w:ascii="Times New Roman" w:hAnsi="Times New Roman" w:cs="Times New Roman"/>
          <w:b/>
          <w:noProof/>
          <w:lang w:val="sr-Latn-CS"/>
        </w:rPr>
        <w:t xml:space="preserve">8. </w:t>
      </w:r>
      <w:r w:rsidR="00AD2538">
        <w:rPr>
          <w:rFonts w:ascii="Times New Roman" w:hAnsi="Times New Roman" w:cs="Times New Roman"/>
          <w:b/>
          <w:noProof/>
          <w:lang w:val="sr-Latn-CS"/>
        </w:rPr>
        <w:t>Učešće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konsultanata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u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izradi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propisa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njihovo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mišljenje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o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AD2538">
        <w:rPr>
          <w:rFonts w:ascii="Times New Roman" w:hAnsi="Times New Roman" w:cs="Times New Roman"/>
          <w:b/>
          <w:noProof/>
          <w:lang w:val="sr-Latn-CS"/>
        </w:rPr>
        <w:t>usklađenosti</w:t>
      </w:r>
      <w:r w:rsidRPr="00AD2538">
        <w:rPr>
          <w:rFonts w:ascii="Times New Roman" w:hAnsi="Times New Roman" w:cs="Times New Roman"/>
          <w:b/>
          <w:noProof/>
          <w:lang w:val="sr-Latn-CS"/>
        </w:rPr>
        <w:t xml:space="preserve"> /</w:t>
      </w:r>
    </w:p>
    <w:p w:rsidR="00AD0C42" w:rsidRPr="00AD2538" w:rsidRDefault="00AD0C42" w:rsidP="00AD0C42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</w:p>
    <w:p w:rsidR="005A07A1" w:rsidRPr="00AD2538" w:rsidRDefault="00AD2538" w:rsidP="000B754C">
      <w:pPr>
        <w:spacing w:after="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Polazeći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normativnog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sadržaja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Predloga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napominjemo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izradi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nisu</w:t>
      </w:r>
      <w:r w:rsidR="00AD0C42" w:rsidRPr="00AD2538">
        <w:rPr>
          <w:rFonts w:ascii="Times New Roman" w:hAnsi="Times New Roman" w:cs="Times New Roman"/>
          <w:noProof/>
          <w:lang w:val="sr-Latn-CS"/>
        </w:rPr>
        <w:br/>
      </w:r>
      <w:r>
        <w:rPr>
          <w:rFonts w:ascii="Times New Roman" w:hAnsi="Times New Roman" w:cs="Times New Roman"/>
          <w:noProof/>
          <w:lang w:val="sr-Latn-CS"/>
        </w:rPr>
        <w:t>učestvovali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konsultanti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nije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izvršena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konsultacija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Evropskom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komisijom</w:t>
      </w:r>
      <w:r w:rsidR="00AD0C42" w:rsidRPr="00AD2538">
        <w:rPr>
          <w:rFonts w:ascii="Times New Roman" w:hAnsi="Times New Roman" w:cs="Times New Roman"/>
          <w:noProof/>
          <w:lang w:val="sr-Latn-CS"/>
        </w:rPr>
        <w:t>,</w:t>
      </w:r>
      <w:r w:rsidR="00AD0C42" w:rsidRPr="00AD2538">
        <w:rPr>
          <w:rFonts w:ascii="Times New Roman" w:hAnsi="Times New Roman" w:cs="Times New Roman"/>
          <w:noProof/>
          <w:lang w:val="sr-Latn-CS"/>
        </w:rPr>
        <w:br/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drugim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stručnim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telima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unije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Preveden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će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biti</w:t>
      </w:r>
      <w:r w:rsidR="00AD0C42" w:rsidRPr="00AD2538">
        <w:rPr>
          <w:rFonts w:ascii="Times New Roman" w:hAnsi="Times New Roman" w:cs="Times New Roman"/>
          <w:noProof/>
          <w:lang w:val="sr-Latn-CS"/>
        </w:rPr>
        <w:br/>
      </w:r>
      <w:r>
        <w:rPr>
          <w:rFonts w:ascii="Times New Roman" w:hAnsi="Times New Roman" w:cs="Times New Roman"/>
          <w:noProof/>
          <w:lang w:val="sr-Latn-CS"/>
        </w:rPr>
        <w:t>dostavljen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Evropskoj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komisiji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radi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informisanja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nakon</w:t>
      </w:r>
      <w:r w:rsidR="00AD0C42" w:rsidRPr="00AD2538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usvajanja</w:t>
      </w:r>
      <w:r w:rsidR="00AD0C42" w:rsidRPr="00AD2538">
        <w:rPr>
          <w:rFonts w:ascii="Times New Roman" w:hAnsi="Times New Roman" w:cs="Times New Roman"/>
          <w:noProof/>
          <w:lang w:val="sr-Latn-CS"/>
        </w:rPr>
        <w:t>.</w:t>
      </w:r>
    </w:p>
    <w:sectPr w:rsidR="005A07A1" w:rsidRPr="00AD2538" w:rsidSect="005F3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26" w:rsidRDefault="00C44726" w:rsidP="009C39F4">
      <w:pPr>
        <w:spacing w:after="0" w:line="240" w:lineRule="auto"/>
      </w:pPr>
      <w:r>
        <w:separator/>
      </w:r>
    </w:p>
  </w:endnote>
  <w:endnote w:type="continuationSeparator" w:id="0">
    <w:p w:rsidR="00C44726" w:rsidRDefault="00C44726" w:rsidP="009C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38" w:rsidRDefault="00AD2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983774698"/>
      <w:docPartObj>
        <w:docPartGallery w:val="Page Numbers (Bottom of Page)"/>
        <w:docPartUnique/>
      </w:docPartObj>
    </w:sdtPr>
    <w:sdtEndPr/>
    <w:sdtContent>
      <w:p w:rsidR="005F340A" w:rsidRPr="00AD2538" w:rsidRDefault="005F340A">
        <w:pPr>
          <w:pStyle w:val="Footer"/>
          <w:jc w:val="right"/>
          <w:rPr>
            <w:noProof/>
            <w:lang w:val="sr-Latn-CS"/>
          </w:rPr>
        </w:pPr>
        <w:r w:rsidRPr="00AD2538">
          <w:rPr>
            <w:noProof/>
            <w:lang w:val="sr-Latn-CS"/>
          </w:rPr>
          <w:fldChar w:fldCharType="begin"/>
        </w:r>
        <w:r w:rsidRPr="00AD2538">
          <w:rPr>
            <w:noProof/>
            <w:lang w:val="sr-Latn-CS"/>
          </w:rPr>
          <w:instrText xml:space="preserve"> PAGE   \* MERGEFORMAT </w:instrText>
        </w:r>
        <w:r w:rsidRPr="00AD2538">
          <w:rPr>
            <w:noProof/>
            <w:lang w:val="sr-Latn-CS"/>
          </w:rPr>
          <w:fldChar w:fldCharType="separate"/>
        </w:r>
        <w:r w:rsidR="00AD2538">
          <w:rPr>
            <w:noProof/>
            <w:lang w:val="sr-Latn-CS"/>
          </w:rPr>
          <w:t>41</w:t>
        </w:r>
        <w:r w:rsidRPr="00AD2538">
          <w:rPr>
            <w:noProof/>
            <w:lang w:val="sr-Latn-CS"/>
          </w:rPr>
          <w:fldChar w:fldCharType="end"/>
        </w:r>
      </w:p>
    </w:sdtContent>
  </w:sdt>
  <w:p w:rsidR="005F340A" w:rsidRPr="00AD2538" w:rsidRDefault="005F340A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38" w:rsidRDefault="00AD2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26" w:rsidRDefault="00C44726" w:rsidP="009C39F4">
      <w:pPr>
        <w:spacing w:after="0" w:line="240" w:lineRule="auto"/>
      </w:pPr>
      <w:r>
        <w:separator/>
      </w:r>
    </w:p>
  </w:footnote>
  <w:footnote w:type="continuationSeparator" w:id="0">
    <w:p w:rsidR="00C44726" w:rsidRDefault="00C44726" w:rsidP="009C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38" w:rsidRDefault="00AD2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0A" w:rsidRDefault="005F340A">
    <w:pPr>
      <w:pStyle w:val="Header"/>
      <w:jc w:val="right"/>
    </w:pPr>
  </w:p>
  <w:p w:rsidR="005F340A" w:rsidRDefault="005F3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38" w:rsidRDefault="00AD2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9C2"/>
    <w:multiLevelType w:val="hybridMultilevel"/>
    <w:tmpl w:val="A7F6337C"/>
    <w:lvl w:ilvl="0" w:tplc="A19674D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6C3"/>
    <w:multiLevelType w:val="hybridMultilevel"/>
    <w:tmpl w:val="8D928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980"/>
    <w:multiLevelType w:val="hybridMultilevel"/>
    <w:tmpl w:val="0F8490DC"/>
    <w:lvl w:ilvl="0" w:tplc="1DB405A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7945"/>
    <w:multiLevelType w:val="hybridMultilevel"/>
    <w:tmpl w:val="D72094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08F"/>
    <w:multiLevelType w:val="hybridMultilevel"/>
    <w:tmpl w:val="6FA2FE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2C08"/>
    <w:multiLevelType w:val="hybridMultilevel"/>
    <w:tmpl w:val="D86AEA2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DA958B3"/>
    <w:multiLevelType w:val="hybridMultilevel"/>
    <w:tmpl w:val="5EC40810"/>
    <w:lvl w:ilvl="0" w:tplc="1A56D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2651F3"/>
    <w:multiLevelType w:val="hybridMultilevel"/>
    <w:tmpl w:val="B052D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A5121"/>
    <w:multiLevelType w:val="hybridMultilevel"/>
    <w:tmpl w:val="684492D2"/>
    <w:lvl w:ilvl="0" w:tplc="50CE52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823AFA"/>
    <w:multiLevelType w:val="hybridMultilevel"/>
    <w:tmpl w:val="2ECC8EF0"/>
    <w:lvl w:ilvl="0" w:tplc="7256D1B2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D9F072D"/>
    <w:multiLevelType w:val="hybridMultilevel"/>
    <w:tmpl w:val="C5D64694"/>
    <w:lvl w:ilvl="0" w:tplc="FA567B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A"/>
    <w:rsid w:val="00001671"/>
    <w:rsid w:val="000027C4"/>
    <w:rsid w:val="00006C7B"/>
    <w:rsid w:val="00011B0B"/>
    <w:rsid w:val="00013AFD"/>
    <w:rsid w:val="00020AA6"/>
    <w:rsid w:val="000213E9"/>
    <w:rsid w:val="0002620B"/>
    <w:rsid w:val="00032DF8"/>
    <w:rsid w:val="00034171"/>
    <w:rsid w:val="000362CE"/>
    <w:rsid w:val="000377E0"/>
    <w:rsid w:val="00041E86"/>
    <w:rsid w:val="00043D48"/>
    <w:rsid w:val="00046EAD"/>
    <w:rsid w:val="000475C1"/>
    <w:rsid w:val="0005032D"/>
    <w:rsid w:val="000522D4"/>
    <w:rsid w:val="00056660"/>
    <w:rsid w:val="0005773F"/>
    <w:rsid w:val="0006042F"/>
    <w:rsid w:val="00061520"/>
    <w:rsid w:val="00063287"/>
    <w:rsid w:val="00065643"/>
    <w:rsid w:val="00077B08"/>
    <w:rsid w:val="00083125"/>
    <w:rsid w:val="000839F2"/>
    <w:rsid w:val="00084522"/>
    <w:rsid w:val="000876FD"/>
    <w:rsid w:val="0009145E"/>
    <w:rsid w:val="0009443D"/>
    <w:rsid w:val="00097956"/>
    <w:rsid w:val="000A10F9"/>
    <w:rsid w:val="000A3D0D"/>
    <w:rsid w:val="000A4766"/>
    <w:rsid w:val="000A488E"/>
    <w:rsid w:val="000B0C25"/>
    <w:rsid w:val="000B149D"/>
    <w:rsid w:val="000B2DD6"/>
    <w:rsid w:val="000B49F8"/>
    <w:rsid w:val="000B4BD9"/>
    <w:rsid w:val="000B754C"/>
    <w:rsid w:val="000C1852"/>
    <w:rsid w:val="000C185C"/>
    <w:rsid w:val="000C29FC"/>
    <w:rsid w:val="000C5654"/>
    <w:rsid w:val="000C57A0"/>
    <w:rsid w:val="000C585F"/>
    <w:rsid w:val="000C61C6"/>
    <w:rsid w:val="000D24DD"/>
    <w:rsid w:val="000E186F"/>
    <w:rsid w:val="000E370B"/>
    <w:rsid w:val="000E7701"/>
    <w:rsid w:val="000F1A04"/>
    <w:rsid w:val="000F25F1"/>
    <w:rsid w:val="000F3E5C"/>
    <w:rsid w:val="000F4714"/>
    <w:rsid w:val="00100EBF"/>
    <w:rsid w:val="00104C68"/>
    <w:rsid w:val="0011227E"/>
    <w:rsid w:val="00112C21"/>
    <w:rsid w:val="001132F3"/>
    <w:rsid w:val="00124319"/>
    <w:rsid w:val="00126EB8"/>
    <w:rsid w:val="00132349"/>
    <w:rsid w:val="00134D96"/>
    <w:rsid w:val="00136ABF"/>
    <w:rsid w:val="00142BCC"/>
    <w:rsid w:val="00142DD1"/>
    <w:rsid w:val="00143DC2"/>
    <w:rsid w:val="0014598A"/>
    <w:rsid w:val="00146884"/>
    <w:rsid w:val="00152A5B"/>
    <w:rsid w:val="001546AA"/>
    <w:rsid w:val="001600EB"/>
    <w:rsid w:val="00162B95"/>
    <w:rsid w:val="00163041"/>
    <w:rsid w:val="001637BA"/>
    <w:rsid w:val="00166127"/>
    <w:rsid w:val="00166DF6"/>
    <w:rsid w:val="00167154"/>
    <w:rsid w:val="00170C52"/>
    <w:rsid w:val="00171B72"/>
    <w:rsid w:val="00171DB6"/>
    <w:rsid w:val="001746A4"/>
    <w:rsid w:val="00176B11"/>
    <w:rsid w:val="001815AD"/>
    <w:rsid w:val="0018170E"/>
    <w:rsid w:val="00190528"/>
    <w:rsid w:val="001918AE"/>
    <w:rsid w:val="001929A1"/>
    <w:rsid w:val="0019649D"/>
    <w:rsid w:val="001A0921"/>
    <w:rsid w:val="001A31C5"/>
    <w:rsid w:val="001A7575"/>
    <w:rsid w:val="001B2051"/>
    <w:rsid w:val="001C08C6"/>
    <w:rsid w:val="001C4323"/>
    <w:rsid w:val="001D0700"/>
    <w:rsid w:val="001D2BAA"/>
    <w:rsid w:val="001D40A0"/>
    <w:rsid w:val="001D5EDE"/>
    <w:rsid w:val="001D6B93"/>
    <w:rsid w:val="001E0BFC"/>
    <w:rsid w:val="001E29F7"/>
    <w:rsid w:val="001E36AD"/>
    <w:rsid w:val="001E39CA"/>
    <w:rsid w:val="001F01DE"/>
    <w:rsid w:val="001F1F3F"/>
    <w:rsid w:val="001F4781"/>
    <w:rsid w:val="001F6449"/>
    <w:rsid w:val="001F76E0"/>
    <w:rsid w:val="002029BA"/>
    <w:rsid w:val="002031FC"/>
    <w:rsid w:val="002049D9"/>
    <w:rsid w:val="00206F04"/>
    <w:rsid w:val="00207C9C"/>
    <w:rsid w:val="00213E90"/>
    <w:rsid w:val="00215140"/>
    <w:rsid w:val="00217D0A"/>
    <w:rsid w:val="00221717"/>
    <w:rsid w:val="002235A0"/>
    <w:rsid w:val="0022425C"/>
    <w:rsid w:val="002312CB"/>
    <w:rsid w:val="00236567"/>
    <w:rsid w:val="00245CD7"/>
    <w:rsid w:val="00255B35"/>
    <w:rsid w:val="002572F6"/>
    <w:rsid w:val="0025748C"/>
    <w:rsid w:val="00262675"/>
    <w:rsid w:val="00263089"/>
    <w:rsid w:val="002668BB"/>
    <w:rsid w:val="00273606"/>
    <w:rsid w:val="002764A0"/>
    <w:rsid w:val="00280B79"/>
    <w:rsid w:val="00281650"/>
    <w:rsid w:val="002862BE"/>
    <w:rsid w:val="0028654A"/>
    <w:rsid w:val="002916F7"/>
    <w:rsid w:val="00293F7A"/>
    <w:rsid w:val="002A20DB"/>
    <w:rsid w:val="002A6F67"/>
    <w:rsid w:val="002B29BB"/>
    <w:rsid w:val="002B4180"/>
    <w:rsid w:val="002B587C"/>
    <w:rsid w:val="002B5D42"/>
    <w:rsid w:val="002C1476"/>
    <w:rsid w:val="002C625E"/>
    <w:rsid w:val="002C68EB"/>
    <w:rsid w:val="002D17FC"/>
    <w:rsid w:val="002D1ACD"/>
    <w:rsid w:val="002E41EF"/>
    <w:rsid w:val="002E4923"/>
    <w:rsid w:val="002E77FD"/>
    <w:rsid w:val="002F7108"/>
    <w:rsid w:val="002F7D1D"/>
    <w:rsid w:val="00313A21"/>
    <w:rsid w:val="00317AD2"/>
    <w:rsid w:val="00325BB3"/>
    <w:rsid w:val="00327028"/>
    <w:rsid w:val="00331E14"/>
    <w:rsid w:val="00332204"/>
    <w:rsid w:val="003376A2"/>
    <w:rsid w:val="003418F5"/>
    <w:rsid w:val="00341946"/>
    <w:rsid w:val="00344184"/>
    <w:rsid w:val="0036180B"/>
    <w:rsid w:val="00362698"/>
    <w:rsid w:val="00362CE9"/>
    <w:rsid w:val="00372FEF"/>
    <w:rsid w:val="003743DA"/>
    <w:rsid w:val="003744CF"/>
    <w:rsid w:val="00374D87"/>
    <w:rsid w:val="00377C3C"/>
    <w:rsid w:val="0038411A"/>
    <w:rsid w:val="00387D54"/>
    <w:rsid w:val="00392404"/>
    <w:rsid w:val="003966FF"/>
    <w:rsid w:val="003A1D45"/>
    <w:rsid w:val="003A55AC"/>
    <w:rsid w:val="003A6515"/>
    <w:rsid w:val="003A7B91"/>
    <w:rsid w:val="003B06D8"/>
    <w:rsid w:val="003B2B1B"/>
    <w:rsid w:val="003B5833"/>
    <w:rsid w:val="003B6209"/>
    <w:rsid w:val="003B66BF"/>
    <w:rsid w:val="003B7643"/>
    <w:rsid w:val="003B77D1"/>
    <w:rsid w:val="003B79E8"/>
    <w:rsid w:val="003C0D75"/>
    <w:rsid w:val="003C43BB"/>
    <w:rsid w:val="003D151A"/>
    <w:rsid w:val="003D380B"/>
    <w:rsid w:val="003D39C0"/>
    <w:rsid w:val="003D47BC"/>
    <w:rsid w:val="003D586D"/>
    <w:rsid w:val="003D707F"/>
    <w:rsid w:val="003F70DC"/>
    <w:rsid w:val="00400895"/>
    <w:rsid w:val="00401461"/>
    <w:rsid w:val="00401D60"/>
    <w:rsid w:val="0040241C"/>
    <w:rsid w:val="004034D2"/>
    <w:rsid w:val="00404C84"/>
    <w:rsid w:val="00413BE7"/>
    <w:rsid w:val="00420332"/>
    <w:rsid w:val="004210F5"/>
    <w:rsid w:val="0042637E"/>
    <w:rsid w:val="00427E90"/>
    <w:rsid w:val="0043028A"/>
    <w:rsid w:val="0043039F"/>
    <w:rsid w:val="00435541"/>
    <w:rsid w:val="00435C7E"/>
    <w:rsid w:val="00436AF7"/>
    <w:rsid w:val="00447218"/>
    <w:rsid w:val="004545FA"/>
    <w:rsid w:val="004554D6"/>
    <w:rsid w:val="00456DC8"/>
    <w:rsid w:val="004575A2"/>
    <w:rsid w:val="00460F04"/>
    <w:rsid w:val="004611AF"/>
    <w:rsid w:val="004766B1"/>
    <w:rsid w:val="00476E7A"/>
    <w:rsid w:val="00482647"/>
    <w:rsid w:val="004861AC"/>
    <w:rsid w:val="004912AB"/>
    <w:rsid w:val="00491440"/>
    <w:rsid w:val="00493FAA"/>
    <w:rsid w:val="00495F13"/>
    <w:rsid w:val="004A0661"/>
    <w:rsid w:val="004A0EF0"/>
    <w:rsid w:val="004A0F59"/>
    <w:rsid w:val="004A1D57"/>
    <w:rsid w:val="004A2F5B"/>
    <w:rsid w:val="004A34B4"/>
    <w:rsid w:val="004B1E8B"/>
    <w:rsid w:val="004C36AF"/>
    <w:rsid w:val="004C69FC"/>
    <w:rsid w:val="004C75D7"/>
    <w:rsid w:val="004D33DD"/>
    <w:rsid w:val="004D7DAA"/>
    <w:rsid w:val="004E2229"/>
    <w:rsid w:val="004E5C04"/>
    <w:rsid w:val="004E60D5"/>
    <w:rsid w:val="004E6114"/>
    <w:rsid w:val="004E65F9"/>
    <w:rsid w:val="004E6FF0"/>
    <w:rsid w:val="004E705E"/>
    <w:rsid w:val="004F0CBE"/>
    <w:rsid w:val="004F0DDC"/>
    <w:rsid w:val="0050176A"/>
    <w:rsid w:val="0050232F"/>
    <w:rsid w:val="00502652"/>
    <w:rsid w:val="00506469"/>
    <w:rsid w:val="005064D3"/>
    <w:rsid w:val="00507A3E"/>
    <w:rsid w:val="00507A81"/>
    <w:rsid w:val="00512239"/>
    <w:rsid w:val="0051559F"/>
    <w:rsid w:val="0052200C"/>
    <w:rsid w:val="00523FFF"/>
    <w:rsid w:val="00524BA7"/>
    <w:rsid w:val="0053099B"/>
    <w:rsid w:val="00536FC2"/>
    <w:rsid w:val="00542321"/>
    <w:rsid w:val="00542BFD"/>
    <w:rsid w:val="00544133"/>
    <w:rsid w:val="00544D96"/>
    <w:rsid w:val="00545EDA"/>
    <w:rsid w:val="00563379"/>
    <w:rsid w:val="00563FE4"/>
    <w:rsid w:val="005649EB"/>
    <w:rsid w:val="00566BD3"/>
    <w:rsid w:val="005727E7"/>
    <w:rsid w:val="00572FBB"/>
    <w:rsid w:val="00573DE4"/>
    <w:rsid w:val="00580F77"/>
    <w:rsid w:val="00581926"/>
    <w:rsid w:val="00583775"/>
    <w:rsid w:val="00584975"/>
    <w:rsid w:val="005907D5"/>
    <w:rsid w:val="00591185"/>
    <w:rsid w:val="005923FA"/>
    <w:rsid w:val="00594245"/>
    <w:rsid w:val="00595567"/>
    <w:rsid w:val="005A07A1"/>
    <w:rsid w:val="005A123A"/>
    <w:rsid w:val="005A273B"/>
    <w:rsid w:val="005B0BAF"/>
    <w:rsid w:val="005B54AB"/>
    <w:rsid w:val="005C512C"/>
    <w:rsid w:val="005D02E5"/>
    <w:rsid w:val="005D08B6"/>
    <w:rsid w:val="005D3E9E"/>
    <w:rsid w:val="005D5823"/>
    <w:rsid w:val="005E49A7"/>
    <w:rsid w:val="005E5353"/>
    <w:rsid w:val="005E62A1"/>
    <w:rsid w:val="005E7A22"/>
    <w:rsid w:val="005F035A"/>
    <w:rsid w:val="005F0854"/>
    <w:rsid w:val="005F1F07"/>
    <w:rsid w:val="005F2848"/>
    <w:rsid w:val="005F340A"/>
    <w:rsid w:val="005F4592"/>
    <w:rsid w:val="005F553D"/>
    <w:rsid w:val="005F7360"/>
    <w:rsid w:val="00600844"/>
    <w:rsid w:val="006030A8"/>
    <w:rsid w:val="00603EE5"/>
    <w:rsid w:val="006044CF"/>
    <w:rsid w:val="00606A26"/>
    <w:rsid w:val="00611D44"/>
    <w:rsid w:val="00611D8B"/>
    <w:rsid w:val="00614FA5"/>
    <w:rsid w:val="00625C4B"/>
    <w:rsid w:val="00631FC4"/>
    <w:rsid w:val="00633590"/>
    <w:rsid w:val="00636027"/>
    <w:rsid w:val="00642976"/>
    <w:rsid w:val="00642986"/>
    <w:rsid w:val="00642F88"/>
    <w:rsid w:val="006443C6"/>
    <w:rsid w:val="00645C6B"/>
    <w:rsid w:val="00646D21"/>
    <w:rsid w:val="006522EA"/>
    <w:rsid w:val="006530F1"/>
    <w:rsid w:val="00662B0A"/>
    <w:rsid w:val="0066571B"/>
    <w:rsid w:val="0066769E"/>
    <w:rsid w:val="00672BC1"/>
    <w:rsid w:val="006746B8"/>
    <w:rsid w:val="00682DFB"/>
    <w:rsid w:val="00684C0A"/>
    <w:rsid w:val="00684EF9"/>
    <w:rsid w:val="006905BF"/>
    <w:rsid w:val="00694C1E"/>
    <w:rsid w:val="006A5883"/>
    <w:rsid w:val="006A7EA7"/>
    <w:rsid w:val="006B20BC"/>
    <w:rsid w:val="006B6210"/>
    <w:rsid w:val="006B7AAB"/>
    <w:rsid w:val="006B7D2B"/>
    <w:rsid w:val="006C1C47"/>
    <w:rsid w:val="006C61B8"/>
    <w:rsid w:val="006C6D28"/>
    <w:rsid w:val="006D16EC"/>
    <w:rsid w:val="006F2B16"/>
    <w:rsid w:val="006F4D4F"/>
    <w:rsid w:val="006F5E75"/>
    <w:rsid w:val="006F62BC"/>
    <w:rsid w:val="007037C0"/>
    <w:rsid w:val="00707B31"/>
    <w:rsid w:val="007108D4"/>
    <w:rsid w:val="00710A64"/>
    <w:rsid w:val="007167FB"/>
    <w:rsid w:val="00720704"/>
    <w:rsid w:val="00720B78"/>
    <w:rsid w:val="00726518"/>
    <w:rsid w:val="0073007E"/>
    <w:rsid w:val="0073123A"/>
    <w:rsid w:val="00732555"/>
    <w:rsid w:val="00740DB0"/>
    <w:rsid w:val="00745248"/>
    <w:rsid w:val="00756A1F"/>
    <w:rsid w:val="00757268"/>
    <w:rsid w:val="00757C7E"/>
    <w:rsid w:val="00760DD3"/>
    <w:rsid w:val="00763206"/>
    <w:rsid w:val="007638F0"/>
    <w:rsid w:val="00775E3A"/>
    <w:rsid w:val="00776B8D"/>
    <w:rsid w:val="00777540"/>
    <w:rsid w:val="00785121"/>
    <w:rsid w:val="0078556E"/>
    <w:rsid w:val="00791E1D"/>
    <w:rsid w:val="0079431E"/>
    <w:rsid w:val="007A6914"/>
    <w:rsid w:val="007A6B62"/>
    <w:rsid w:val="007B7255"/>
    <w:rsid w:val="007C2AFF"/>
    <w:rsid w:val="007C30AE"/>
    <w:rsid w:val="007C32F8"/>
    <w:rsid w:val="007C3988"/>
    <w:rsid w:val="007C724F"/>
    <w:rsid w:val="007D2B95"/>
    <w:rsid w:val="007D5764"/>
    <w:rsid w:val="007E0146"/>
    <w:rsid w:val="007E632D"/>
    <w:rsid w:val="007E7FC0"/>
    <w:rsid w:val="007F1F32"/>
    <w:rsid w:val="007F4E5B"/>
    <w:rsid w:val="007F59A0"/>
    <w:rsid w:val="0080145B"/>
    <w:rsid w:val="00804093"/>
    <w:rsid w:val="00807E82"/>
    <w:rsid w:val="00816A6C"/>
    <w:rsid w:val="00816FF3"/>
    <w:rsid w:val="00817DE7"/>
    <w:rsid w:val="00824681"/>
    <w:rsid w:val="00825783"/>
    <w:rsid w:val="00833145"/>
    <w:rsid w:val="008335DF"/>
    <w:rsid w:val="008342E5"/>
    <w:rsid w:val="008456DD"/>
    <w:rsid w:val="00847272"/>
    <w:rsid w:val="00850935"/>
    <w:rsid w:val="0085129A"/>
    <w:rsid w:val="008552AA"/>
    <w:rsid w:val="008611C2"/>
    <w:rsid w:val="00862EF7"/>
    <w:rsid w:val="0086312A"/>
    <w:rsid w:val="008678A2"/>
    <w:rsid w:val="00872293"/>
    <w:rsid w:val="008738E5"/>
    <w:rsid w:val="00874C8A"/>
    <w:rsid w:val="008750A6"/>
    <w:rsid w:val="0087744E"/>
    <w:rsid w:val="008819A4"/>
    <w:rsid w:val="0088770F"/>
    <w:rsid w:val="00894E37"/>
    <w:rsid w:val="008A067E"/>
    <w:rsid w:val="008A35C4"/>
    <w:rsid w:val="008A672C"/>
    <w:rsid w:val="008A6BCA"/>
    <w:rsid w:val="008B1925"/>
    <w:rsid w:val="008B3FB1"/>
    <w:rsid w:val="008B4635"/>
    <w:rsid w:val="008C1813"/>
    <w:rsid w:val="008C3801"/>
    <w:rsid w:val="008C5383"/>
    <w:rsid w:val="008C54F7"/>
    <w:rsid w:val="008C7EC5"/>
    <w:rsid w:val="008D3CB4"/>
    <w:rsid w:val="008D4E74"/>
    <w:rsid w:val="008E3889"/>
    <w:rsid w:val="008E6D42"/>
    <w:rsid w:val="008F20A2"/>
    <w:rsid w:val="008F39D4"/>
    <w:rsid w:val="008F7448"/>
    <w:rsid w:val="00901498"/>
    <w:rsid w:val="009022CB"/>
    <w:rsid w:val="00914A9D"/>
    <w:rsid w:val="00916F15"/>
    <w:rsid w:val="00922F17"/>
    <w:rsid w:val="00923258"/>
    <w:rsid w:val="00923F6A"/>
    <w:rsid w:val="00930CFA"/>
    <w:rsid w:val="0093300A"/>
    <w:rsid w:val="009339E6"/>
    <w:rsid w:val="00935C1A"/>
    <w:rsid w:val="00936CB8"/>
    <w:rsid w:val="00944AF2"/>
    <w:rsid w:val="00946651"/>
    <w:rsid w:val="009467C2"/>
    <w:rsid w:val="00952C10"/>
    <w:rsid w:val="00955812"/>
    <w:rsid w:val="009574B4"/>
    <w:rsid w:val="0096071D"/>
    <w:rsid w:val="009655C8"/>
    <w:rsid w:val="00970C50"/>
    <w:rsid w:val="00975E54"/>
    <w:rsid w:val="00981957"/>
    <w:rsid w:val="00982D29"/>
    <w:rsid w:val="00984FCB"/>
    <w:rsid w:val="009863D3"/>
    <w:rsid w:val="0099200A"/>
    <w:rsid w:val="009A07CC"/>
    <w:rsid w:val="009B1262"/>
    <w:rsid w:val="009B5219"/>
    <w:rsid w:val="009B68B4"/>
    <w:rsid w:val="009C39F4"/>
    <w:rsid w:val="009C4C7D"/>
    <w:rsid w:val="009C717F"/>
    <w:rsid w:val="009D0707"/>
    <w:rsid w:val="009D0834"/>
    <w:rsid w:val="009D1583"/>
    <w:rsid w:val="009D4BCA"/>
    <w:rsid w:val="009E0767"/>
    <w:rsid w:val="009E6BCA"/>
    <w:rsid w:val="009E755A"/>
    <w:rsid w:val="009F03FC"/>
    <w:rsid w:val="009F78A6"/>
    <w:rsid w:val="009F7F4B"/>
    <w:rsid w:val="00A02F28"/>
    <w:rsid w:val="00A107C3"/>
    <w:rsid w:val="00A15FB8"/>
    <w:rsid w:val="00A16796"/>
    <w:rsid w:val="00A22F87"/>
    <w:rsid w:val="00A234B2"/>
    <w:rsid w:val="00A341F3"/>
    <w:rsid w:val="00A4293E"/>
    <w:rsid w:val="00A46AA3"/>
    <w:rsid w:val="00A46BCD"/>
    <w:rsid w:val="00A524C2"/>
    <w:rsid w:val="00A5785F"/>
    <w:rsid w:val="00A62C37"/>
    <w:rsid w:val="00A63359"/>
    <w:rsid w:val="00A63C4B"/>
    <w:rsid w:val="00A70144"/>
    <w:rsid w:val="00A734D3"/>
    <w:rsid w:val="00A76127"/>
    <w:rsid w:val="00A777C1"/>
    <w:rsid w:val="00A77D8E"/>
    <w:rsid w:val="00A86E47"/>
    <w:rsid w:val="00A92A46"/>
    <w:rsid w:val="00A95398"/>
    <w:rsid w:val="00A976BF"/>
    <w:rsid w:val="00A97AF7"/>
    <w:rsid w:val="00A97BD6"/>
    <w:rsid w:val="00AA7F4F"/>
    <w:rsid w:val="00AB15EA"/>
    <w:rsid w:val="00AC5891"/>
    <w:rsid w:val="00AD0C42"/>
    <w:rsid w:val="00AD1DEF"/>
    <w:rsid w:val="00AD2538"/>
    <w:rsid w:val="00AD54D3"/>
    <w:rsid w:val="00AD7DB0"/>
    <w:rsid w:val="00AE3F48"/>
    <w:rsid w:val="00AE4BC2"/>
    <w:rsid w:val="00AF33A2"/>
    <w:rsid w:val="00AF5744"/>
    <w:rsid w:val="00B02A18"/>
    <w:rsid w:val="00B04817"/>
    <w:rsid w:val="00B1543E"/>
    <w:rsid w:val="00B20EE2"/>
    <w:rsid w:val="00B22522"/>
    <w:rsid w:val="00B246B4"/>
    <w:rsid w:val="00B24C65"/>
    <w:rsid w:val="00B25B18"/>
    <w:rsid w:val="00B26DAF"/>
    <w:rsid w:val="00B37F2A"/>
    <w:rsid w:val="00B42ADF"/>
    <w:rsid w:val="00B4674A"/>
    <w:rsid w:val="00B52C09"/>
    <w:rsid w:val="00B57474"/>
    <w:rsid w:val="00B57D74"/>
    <w:rsid w:val="00B57FC6"/>
    <w:rsid w:val="00B64CCD"/>
    <w:rsid w:val="00B67124"/>
    <w:rsid w:val="00B72407"/>
    <w:rsid w:val="00B730CF"/>
    <w:rsid w:val="00B73DA4"/>
    <w:rsid w:val="00B76D2A"/>
    <w:rsid w:val="00B7721B"/>
    <w:rsid w:val="00B81E2F"/>
    <w:rsid w:val="00B866F0"/>
    <w:rsid w:val="00B9108E"/>
    <w:rsid w:val="00BA08C9"/>
    <w:rsid w:val="00BA1491"/>
    <w:rsid w:val="00BA2125"/>
    <w:rsid w:val="00BA5CC0"/>
    <w:rsid w:val="00BB18F8"/>
    <w:rsid w:val="00BC004E"/>
    <w:rsid w:val="00BC349B"/>
    <w:rsid w:val="00BC6686"/>
    <w:rsid w:val="00BC6EEF"/>
    <w:rsid w:val="00BC7209"/>
    <w:rsid w:val="00BD1080"/>
    <w:rsid w:val="00BD257A"/>
    <w:rsid w:val="00BD47AF"/>
    <w:rsid w:val="00BD7E5C"/>
    <w:rsid w:val="00BE14D2"/>
    <w:rsid w:val="00BE1F66"/>
    <w:rsid w:val="00BF4199"/>
    <w:rsid w:val="00BF7462"/>
    <w:rsid w:val="00C05758"/>
    <w:rsid w:val="00C05B44"/>
    <w:rsid w:val="00C05CE2"/>
    <w:rsid w:val="00C071C0"/>
    <w:rsid w:val="00C10181"/>
    <w:rsid w:val="00C10397"/>
    <w:rsid w:val="00C2151D"/>
    <w:rsid w:val="00C313DE"/>
    <w:rsid w:val="00C3324C"/>
    <w:rsid w:val="00C34357"/>
    <w:rsid w:val="00C347FD"/>
    <w:rsid w:val="00C35FEE"/>
    <w:rsid w:val="00C37060"/>
    <w:rsid w:val="00C419F9"/>
    <w:rsid w:val="00C42DD8"/>
    <w:rsid w:val="00C44726"/>
    <w:rsid w:val="00C56793"/>
    <w:rsid w:val="00C576E7"/>
    <w:rsid w:val="00C60557"/>
    <w:rsid w:val="00C87ED1"/>
    <w:rsid w:val="00C918A1"/>
    <w:rsid w:val="00C96649"/>
    <w:rsid w:val="00C97948"/>
    <w:rsid w:val="00CA1540"/>
    <w:rsid w:val="00CA3B03"/>
    <w:rsid w:val="00CA6DBB"/>
    <w:rsid w:val="00CB1C5B"/>
    <w:rsid w:val="00CB3A22"/>
    <w:rsid w:val="00CC73AC"/>
    <w:rsid w:val="00CD41F1"/>
    <w:rsid w:val="00CD6A1B"/>
    <w:rsid w:val="00CE3093"/>
    <w:rsid w:val="00CE4070"/>
    <w:rsid w:val="00CE4EB6"/>
    <w:rsid w:val="00CE4FBF"/>
    <w:rsid w:val="00CF09BE"/>
    <w:rsid w:val="00CF4248"/>
    <w:rsid w:val="00CF5D7E"/>
    <w:rsid w:val="00CF6307"/>
    <w:rsid w:val="00D01D38"/>
    <w:rsid w:val="00D07755"/>
    <w:rsid w:val="00D1608D"/>
    <w:rsid w:val="00D24C6A"/>
    <w:rsid w:val="00D26EAE"/>
    <w:rsid w:val="00D27175"/>
    <w:rsid w:val="00D316CA"/>
    <w:rsid w:val="00D339A3"/>
    <w:rsid w:val="00D4298C"/>
    <w:rsid w:val="00D44134"/>
    <w:rsid w:val="00D5435C"/>
    <w:rsid w:val="00D54E36"/>
    <w:rsid w:val="00D561DA"/>
    <w:rsid w:val="00D56EFD"/>
    <w:rsid w:val="00D6478C"/>
    <w:rsid w:val="00D70CF5"/>
    <w:rsid w:val="00D760D0"/>
    <w:rsid w:val="00D7710D"/>
    <w:rsid w:val="00D7774D"/>
    <w:rsid w:val="00D77E33"/>
    <w:rsid w:val="00D83F1F"/>
    <w:rsid w:val="00D84CF2"/>
    <w:rsid w:val="00D86238"/>
    <w:rsid w:val="00D946AB"/>
    <w:rsid w:val="00D94B44"/>
    <w:rsid w:val="00D96F4A"/>
    <w:rsid w:val="00DA12B3"/>
    <w:rsid w:val="00DA39CE"/>
    <w:rsid w:val="00DA64AB"/>
    <w:rsid w:val="00DB6737"/>
    <w:rsid w:val="00DC4FD4"/>
    <w:rsid w:val="00DC5F3F"/>
    <w:rsid w:val="00DD3177"/>
    <w:rsid w:val="00DD4752"/>
    <w:rsid w:val="00DD5CC8"/>
    <w:rsid w:val="00DE0A3C"/>
    <w:rsid w:val="00DE3DC8"/>
    <w:rsid w:val="00DE7F98"/>
    <w:rsid w:val="00DF155D"/>
    <w:rsid w:val="00DF18E9"/>
    <w:rsid w:val="00DF1A35"/>
    <w:rsid w:val="00DF1C83"/>
    <w:rsid w:val="00DF4514"/>
    <w:rsid w:val="00DF6A31"/>
    <w:rsid w:val="00DF6EC5"/>
    <w:rsid w:val="00DF6F42"/>
    <w:rsid w:val="00E05E8F"/>
    <w:rsid w:val="00E07962"/>
    <w:rsid w:val="00E12462"/>
    <w:rsid w:val="00E13DF7"/>
    <w:rsid w:val="00E14FC2"/>
    <w:rsid w:val="00E1523F"/>
    <w:rsid w:val="00E1538B"/>
    <w:rsid w:val="00E21292"/>
    <w:rsid w:val="00E23053"/>
    <w:rsid w:val="00E23463"/>
    <w:rsid w:val="00E319F8"/>
    <w:rsid w:val="00E32AC4"/>
    <w:rsid w:val="00E3488C"/>
    <w:rsid w:val="00E352C7"/>
    <w:rsid w:val="00E433D4"/>
    <w:rsid w:val="00E46EF7"/>
    <w:rsid w:val="00E471CB"/>
    <w:rsid w:val="00E522B4"/>
    <w:rsid w:val="00E52FDB"/>
    <w:rsid w:val="00E533F0"/>
    <w:rsid w:val="00E5340D"/>
    <w:rsid w:val="00E53544"/>
    <w:rsid w:val="00E5359B"/>
    <w:rsid w:val="00E5761C"/>
    <w:rsid w:val="00E62870"/>
    <w:rsid w:val="00E6379B"/>
    <w:rsid w:val="00E63910"/>
    <w:rsid w:val="00E6758E"/>
    <w:rsid w:val="00E6795D"/>
    <w:rsid w:val="00E856C3"/>
    <w:rsid w:val="00E928EB"/>
    <w:rsid w:val="00E9609C"/>
    <w:rsid w:val="00EA0148"/>
    <w:rsid w:val="00EA1879"/>
    <w:rsid w:val="00EA4F24"/>
    <w:rsid w:val="00EA5EAC"/>
    <w:rsid w:val="00EB3EAF"/>
    <w:rsid w:val="00EB7984"/>
    <w:rsid w:val="00EC060F"/>
    <w:rsid w:val="00EC129C"/>
    <w:rsid w:val="00EC1FFB"/>
    <w:rsid w:val="00EC6E48"/>
    <w:rsid w:val="00ED0F14"/>
    <w:rsid w:val="00ED1A05"/>
    <w:rsid w:val="00ED2123"/>
    <w:rsid w:val="00ED5857"/>
    <w:rsid w:val="00EE060B"/>
    <w:rsid w:val="00EE0A95"/>
    <w:rsid w:val="00EE1BC6"/>
    <w:rsid w:val="00EE362F"/>
    <w:rsid w:val="00EE434A"/>
    <w:rsid w:val="00EE43BB"/>
    <w:rsid w:val="00EF1A8C"/>
    <w:rsid w:val="00EF46D0"/>
    <w:rsid w:val="00EF7D70"/>
    <w:rsid w:val="00F017D9"/>
    <w:rsid w:val="00F065A9"/>
    <w:rsid w:val="00F068F9"/>
    <w:rsid w:val="00F06F1F"/>
    <w:rsid w:val="00F07B08"/>
    <w:rsid w:val="00F10AE5"/>
    <w:rsid w:val="00F12BA3"/>
    <w:rsid w:val="00F15A6E"/>
    <w:rsid w:val="00F16177"/>
    <w:rsid w:val="00F203C9"/>
    <w:rsid w:val="00F209A1"/>
    <w:rsid w:val="00F21B77"/>
    <w:rsid w:val="00F24D59"/>
    <w:rsid w:val="00F26425"/>
    <w:rsid w:val="00F314EF"/>
    <w:rsid w:val="00F323B7"/>
    <w:rsid w:val="00F35E66"/>
    <w:rsid w:val="00F44A11"/>
    <w:rsid w:val="00F62F19"/>
    <w:rsid w:val="00F636CA"/>
    <w:rsid w:val="00F73490"/>
    <w:rsid w:val="00F736D1"/>
    <w:rsid w:val="00F80156"/>
    <w:rsid w:val="00F82498"/>
    <w:rsid w:val="00F87377"/>
    <w:rsid w:val="00F904A9"/>
    <w:rsid w:val="00F910F2"/>
    <w:rsid w:val="00F91208"/>
    <w:rsid w:val="00F91DDE"/>
    <w:rsid w:val="00F9765A"/>
    <w:rsid w:val="00FA0AE6"/>
    <w:rsid w:val="00FA1C1E"/>
    <w:rsid w:val="00FA2805"/>
    <w:rsid w:val="00FC0B69"/>
    <w:rsid w:val="00FC0C48"/>
    <w:rsid w:val="00FC2850"/>
    <w:rsid w:val="00FC4B73"/>
    <w:rsid w:val="00FC5331"/>
    <w:rsid w:val="00FC5B4A"/>
    <w:rsid w:val="00FE218B"/>
    <w:rsid w:val="00FE45A4"/>
    <w:rsid w:val="00FE7A8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BF27D-FAEB-43C9-BC8A-B41DA180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F4"/>
  </w:style>
  <w:style w:type="paragraph" w:styleId="Footer">
    <w:name w:val="footer"/>
    <w:basedOn w:val="Normal"/>
    <w:link w:val="FooterChar"/>
    <w:uiPriority w:val="99"/>
    <w:unhideWhenUsed/>
    <w:rsid w:val="009C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F4"/>
  </w:style>
  <w:style w:type="character" w:styleId="Hyperlink">
    <w:name w:val="Hyperlink"/>
    <w:basedOn w:val="DefaultParagraphFont"/>
    <w:uiPriority w:val="99"/>
    <w:unhideWhenUsed/>
    <w:rsid w:val="0026308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D0C4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D0C42"/>
    <w:rPr>
      <w:rFonts w:ascii="Times New Roman" w:eastAsia="Times New Roman" w:hAnsi="Times New Roman" w:cs="Times New Roman"/>
      <w:sz w:val="24"/>
      <w:szCs w:val="20"/>
      <w:lang w:val="hu-H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konjenje@mgsi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B8BE-5F5C-4009-BC4D-D4CB138C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16250</Words>
  <Characters>92629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Bojan Grgic</cp:lastModifiedBy>
  <cp:revision>2</cp:revision>
  <cp:lastPrinted>2015-11-13T09:20:00Z</cp:lastPrinted>
  <dcterms:created xsi:type="dcterms:W3CDTF">2015-11-13T12:51:00Z</dcterms:created>
  <dcterms:modified xsi:type="dcterms:W3CDTF">2015-11-13T12:51:00Z</dcterms:modified>
</cp:coreProperties>
</file>