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drawings/drawing13.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drawings/drawing14.xml" ContentType="application/vnd.openxmlformats-officedocument.drawingml.chartshapes+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charts/chart34.xml" ContentType="application/vnd.openxmlformats-officedocument.drawingml.chart+xml"/>
  <Override PartName="/word/theme/themeOverride26.xml" ContentType="application/vnd.openxmlformats-officedocument.themeOverride+xml"/>
  <Override PartName="/word/drawings/drawing15.xml" ContentType="application/vnd.openxmlformats-officedocument.drawingml.chartshapes+xml"/>
  <Override PartName="/word/charts/chart35.xml" ContentType="application/vnd.openxmlformats-officedocument.drawingml.chart+xml"/>
  <Override PartName="/word/theme/themeOverride27.xml" ContentType="application/vnd.openxmlformats-officedocument.themeOverride+xml"/>
  <Override PartName="/word/charts/chart36.xml" ContentType="application/vnd.openxmlformats-officedocument.drawingml.chart+xml"/>
  <Override PartName="/word/theme/themeOverride2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05C" w:rsidRPr="00171A80" w:rsidRDefault="00E45D20" w:rsidP="005301BF">
      <w:pPr>
        <w:ind w:left="-567" w:hanging="567"/>
        <w:rPr>
          <w:rFonts w:asciiTheme="majorHAnsi" w:hAnsiTheme="majorHAnsi"/>
          <w:lang w:val="sr-Cyrl-RS"/>
        </w:rPr>
      </w:pPr>
      <w:r w:rsidRPr="00171A80">
        <w:rPr>
          <w:rFonts w:asciiTheme="majorHAnsi" w:hAnsiTheme="majorHAnsi"/>
          <w:noProof/>
          <w:lang w:val="en-US"/>
        </w:rPr>
        <mc:AlternateContent>
          <mc:Choice Requires="wpg">
            <w:drawing>
              <wp:anchor distT="0" distB="0" distL="114300" distR="114300" simplePos="0" relativeHeight="251657216" behindDoc="0" locked="0" layoutInCell="0" allowOverlap="1" wp14:anchorId="7E43AF2B" wp14:editId="05A3FFE2">
                <wp:simplePos x="0" y="0"/>
                <wp:positionH relativeFrom="page">
                  <wp:posOffset>4519295</wp:posOffset>
                </wp:positionH>
                <wp:positionV relativeFrom="page">
                  <wp:posOffset>0</wp:posOffset>
                </wp:positionV>
                <wp:extent cx="3019425" cy="10687685"/>
                <wp:effectExtent l="0" t="0" r="5080" b="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7685"/>
                          <a:chOff x="7329" y="0"/>
                          <a:chExt cx="4911" cy="15840"/>
                        </a:xfrm>
                      </wpg:grpSpPr>
                      <wpg:grpSp>
                        <wpg:cNvPr id="39" name="Group 3"/>
                        <wpg:cNvGrpSpPr>
                          <a:grpSpLocks/>
                        </wpg:cNvGrpSpPr>
                        <wpg:grpSpPr bwMode="auto">
                          <a:xfrm>
                            <a:off x="7344" y="0"/>
                            <a:ext cx="4896" cy="15840"/>
                            <a:chOff x="7560" y="0"/>
                            <a:chExt cx="4700" cy="15840"/>
                          </a:xfrm>
                        </wpg:grpSpPr>
                        <wps:wsp>
                          <wps:cNvPr id="41" name="Rectangle 4"/>
                          <wps:cNvSpPr>
                            <a:spLocks noChangeArrowheads="1"/>
                          </wps:cNvSpPr>
                          <wps:spPr bwMode="auto">
                            <a:xfrm>
                              <a:off x="7755" y="0"/>
                              <a:ext cx="4505" cy="15840"/>
                            </a:xfrm>
                            <a:prstGeom prst="rect">
                              <a:avLst/>
                            </a:prstGeom>
                            <a:solidFill>
                              <a:schemeClr val="accent3">
                                <a:lumMod val="20000"/>
                                <a:lumOff val="8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2"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3"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4EED" w:rsidRPr="00E01C1A" w:rsidRDefault="00F74EED" w:rsidP="004122F3">
                              <w:pPr>
                                <w:pStyle w:val="NoSpacing"/>
                                <w:rPr>
                                  <w:rFonts w:ascii="Cambria" w:hAnsi="Cambria"/>
                                  <w:color w:val="4F6228" w:themeColor="accent3" w:themeShade="80"/>
                                </w:rPr>
                              </w:pPr>
                              <w:r w:rsidRPr="00E01C1A">
                                <w:rPr>
                                  <w:rFonts w:ascii="Cambria" w:hAnsi="Cambria"/>
                                  <w:color w:val="4F6228" w:themeColor="accent3" w:themeShade="80"/>
                                  <w:sz w:val="68"/>
                                  <w:szCs w:val="68"/>
                                </w:rPr>
                                <w:t>ВЛАДА РЕПУБЛИКЕ СРБИЈЕ</w:t>
                              </w:r>
                            </w:p>
                          </w:txbxContent>
                        </wps:txbx>
                        <wps:bodyPr rot="0" vert="horz" wrap="square" lIns="365760" tIns="182880" rIns="182880" bIns="182880" anchor="b" anchorCtr="0" upright="1">
                          <a:noAutofit/>
                        </wps:bodyPr>
                      </wps:wsp>
                      <wps:wsp>
                        <wps:cNvPr id="44"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74EED" w:rsidRPr="00DA7AF2" w:rsidRDefault="00F74EED">
                              <w:pPr>
                                <w:pStyle w:val="NoSpacing"/>
                                <w:spacing w:line="360" w:lineRule="auto"/>
                                <w:rPr>
                                  <w:color w:val="FFFFFF"/>
                                </w:rPr>
                              </w:pPr>
                              <w:r>
                                <w:rPr>
                                  <w:noProof/>
                                  <w:color w:val="FFFFFF"/>
                                </w:rPr>
                                <w:drawing>
                                  <wp:inline distT="0" distB="0" distL="0" distR="0" wp14:anchorId="003A57E2" wp14:editId="594A308C">
                                    <wp:extent cx="2447925" cy="2074802"/>
                                    <wp:effectExtent l="57150" t="0" r="47625" b="116205"/>
                                    <wp:docPr id="3" name="Picture 3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4" descr="images.jpg"/>
                                            <pic:cNvPicPr/>
                                          </pic:nvPicPr>
                                          <pic:blipFill>
                                            <a:blip r:embed="rId9">
                                              <a:duotone>
                                                <a:prstClr val="black"/>
                                                <a:schemeClr val="accent3">
                                                  <a:tint val="45000"/>
                                                  <a:satMod val="400000"/>
                                                </a:schemeClr>
                                              </a:duotone>
                                            </a:blip>
                                            <a:stretch>
                                              <a:fillRect/>
                                            </a:stretch>
                                          </pic:blipFill>
                                          <pic:spPr>
                                            <a:xfrm>
                                              <a:off x="0" y="0"/>
                                              <a:ext cx="2447925" cy="2074802"/>
                                            </a:xfrm>
                                            <a:prstGeom prst="rect">
                                              <a:avLst/>
                                            </a:prstGeom>
                                            <a:solidFill>
                                              <a:schemeClr val="accent3">
                                                <a:alpha val="0"/>
                                              </a:schemeClr>
                                            </a:solidFill>
                                            <a:effectLst>
                                              <a:outerShdw blurRad="50800" dist="50800" dir="5400000" algn="ctr" rotWithShape="0">
                                                <a:schemeClr val="accent3">
                                                  <a:lumMod val="40000"/>
                                                  <a:lumOff val="60000"/>
                                                </a:schemeClr>
                                              </a:outerShdw>
                                            </a:effectLst>
                                          </pic:spPr>
                                        </pic:pic>
                                      </a:graphicData>
                                    </a:graphic>
                                  </wp:inline>
                                </w:drawing>
                              </w:r>
                            </w:p>
                            <w:p w:rsidR="00F74EED" w:rsidRPr="00DA7AF2" w:rsidRDefault="00F74EED">
                              <w:pPr>
                                <w:pStyle w:val="NoSpacing"/>
                                <w:spacing w:line="360" w:lineRule="auto"/>
                                <w:rPr>
                                  <w:rFonts w:ascii="Cambria" w:hAnsi="Cambria"/>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E43AF2B" id="Group 2" o:spid="_x0000_s1026" style="position:absolute;left:0;text-align:left;margin-left:355.85pt;margin-top:0;width:237.75pt;height:841.55pt;z-index:251657216;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Qd8cA&#10;AADbAAAADwAAAGRycy9kb3ducmV2LnhtbESPQWvCQBSE74X+h+UJXopulLZo6ipFUAMBi1GE3h7Z&#10;ZxLMvg3ZVWN/fVco9DjMzDfMbNGZWlypdZVlBaNhBII4t7riQsFhvxpMQDiPrLG2TAru5GAxf36a&#10;YaztjXd0zXwhAoRdjApK75tYSpeXZNANbUMcvJNtDfog20LqFm8Bbmo5jqJ3abDisFBiQ8uS8nN2&#10;MQreptvdzz3Nvl+2X5vzJk3XSdIcler3us8PEJ46/x/+aydawesIHl/CD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0kHfHAAAA2wAAAA8AAAAAAAAAAAAAAAAAmAIAAGRy&#10;cy9kb3ducmV2LnhtbFBLBQYAAAAABAAEAPUAAACMAwAAAAA=&#10;" fillcolor="#eaf1dd [662]" stroked="f" strokecolor="#d8d8d8"/>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kSMcA&#10;AADbAAAADwAAAGRycy9kb3ducmV2LnhtbESPQWsCMRSE74X+h/AEL1Kzipa6NYoKgkoPrbWF3l43&#10;z92tm5dlEzX+eyMIPQ4z8w0zngZTiRM1rrSsoNdNQBBnVpecK9h9Lp9eQDiPrLGyTAou5GA6eXwY&#10;Y6rtmT/otPW5iBB2KSoovK9TKV1WkEHXtTVx9Pa2MeijbHKpGzxHuKlkP0mepcGS40KBNS0Kyg7b&#10;o1EwH27ed2+D8D37+/0ajZLO+id0hkq1W2H2CsJT8P/he3ulFQz6cPsSf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UpEjHAAAA2wAAAA8AAAAAAAAAAAAAAAAAmAIAAGRy&#10;cy9kb3ducmV2LnhtbFBLBQYAAAAABAAEAPUAAACMAwAAAAA=&#10;" fillcolor="#9bbb59" stroked="f" strokecolor="white" strokeweight="1pt">
                    <v:fill r:id="rId10" o:title="" opacity="52428f" o:opacity2="52428f" type="pattern"/>
                    <v:shadow color="#d8d8d8"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I7sQA&#10;AADbAAAADwAAAGRycy9kb3ducmV2LnhtbESPQWsCMRSE74L/ITyhF6lJVaSuRpFiob20VEvx+Hbz&#10;3CxuXpZNqtt/3wiCx2FmvmGW687V4kxtqDxreBopEMSFNxWXGr73r4/PIEJENlh7Jg1/FGC96veW&#10;mBl/4S8672IpEoRDhhpsjE0mZSgsOQwj3xAn7+hbhzHJtpSmxUuCu1qOlZpJhxWnBYsNvVgqTrtf&#10;p+GTfuzkfZ7nW/Vxyg8HFYeGjNYPg26zABGpi/fwrf1mNEwncP2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yO7EAAAA2wAAAA8AAAAAAAAAAAAAAAAAmAIAAGRycy9k&#10;b3ducmV2LnhtbFBLBQYAAAAABAAEAPUAAACJAwAAAAA=&#10;" filled="f" stroked="f" strokecolor="white" strokeweight="1pt">
                  <v:fill opacity="52428f"/>
                  <v:textbox inset="28.8pt,14.4pt,14.4pt,14.4pt">
                    <w:txbxContent>
                      <w:p w:rsidR="00F74EED" w:rsidRPr="00E01C1A" w:rsidRDefault="00F74EED" w:rsidP="004122F3">
                        <w:pPr>
                          <w:pStyle w:val="NoSpacing"/>
                          <w:rPr>
                            <w:rFonts w:ascii="Cambria" w:hAnsi="Cambria"/>
                            <w:color w:val="4F6228" w:themeColor="accent3" w:themeShade="80"/>
                          </w:rPr>
                        </w:pPr>
                        <w:r w:rsidRPr="00E01C1A">
                          <w:rPr>
                            <w:rFonts w:ascii="Cambria" w:hAnsi="Cambria"/>
                            <w:color w:val="4F6228" w:themeColor="accent3" w:themeShade="80"/>
                            <w:sz w:val="68"/>
                            <w:szCs w:val="68"/>
                          </w:rPr>
                          <w:t>ВЛАДА РЕПУБЛИКЕ СРБИЈЕ</w:t>
                        </w: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msQA&#10;AADbAAAADwAAAGRycy9kb3ducmV2LnhtbESPQWsCMRSE74L/IbxCL0WTqojdGkWKhfZiqYp4fLt5&#10;3SxuXpZNquu/b4SCx2FmvmHmy87V4kxtqDxreB4qEMSFNxWXGva798EMRIjIBmvPpOFKAZaLfm+O&#10;mfEX/qbzNpYiQThkqMHG2GRShsKSwzD0DXHyfnzrMCbZltK0eElwV8uRUlPpsOK0YLGhN0vFafvr&#10;NHzRwY4/X/J8rTan/HhU8cmQ0frxoVu9gojUxXv4v/1hNEwm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UJrEAAAA2wAAAA8AAAAAAAAAAAAAAAAAmAIAAGRycy9k&#10;b3ducmV2LnhtbFBLBQYAAAAABAAEAPUAAACJAwAAAAA=&#10;" filled="f" stroked="f" strokecolor="white" strokeweight="1pt">
                  <v:fill opacity="52428f"/>
                  <v:textbox inset="28.8pt,14.4pt,14.4pt,14.4pt">
                    <w:txbxContent>
                      <w:p w:rsidR="00F74EED" w:rsidRPr="00DA7AF2" w:rsidRDefault="00F74EED">
                        <w:pPr>
                          <w:pStyle w:val="NoSpacing"/>
                          <w:spacing w:line="360" w:lineRule="auto"/>
                          <w:rPr>
                            <w:color w:val="FFFFFF"/>
                          </w:rPr>
                        </w:pPr>
                        <w:r>
                          <w:rPr>
                            <w:noProof/>
                            <w:color w:val="FFFFFF"/>
                          </w:rPr>
                          <w:drawing>
                            <wp:inline distT="0" distB="0" distL="0" distR="0" wp14:anchorId="003A57E2" wp14:editId="594A308C">
                              <wp:extent cx="2447925" cy="2074802"/>
                              <wp:effectExtent l="57150" t="0" r="47625" b="116205"/>
                              <wp:docPr id="3" name="Picture 3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4" descr="images.jpg"/>
                                      <pic:cNvPicPr/>
                                    </pic:nvPicPr>
                                    <pic:blipFill>
                                      <a:blip r:embed="rId11">
                                        <a:duotone>
                                          <a:prstClr val="black"/>
                                          <a:schemeClr val="accent3">
                                            <a:tint val="45000"/>
                                            <a:satMod val="400000"/>
                                          </a:schemeClr>
                                        </a:duotone>
                                      </a:blip>
                                      <a:stretch>
                                        <a:fillRect/>
                                      </a:stretch>
                                    </pic:blipFill>
                                    <pic:spPr>
                                      <a:xfrm>
                                        <a:off x="0" y="0"/>
                                        <a:ext cx="2447925" cy="2074802"/>
                                      </a:xfrm>
                                      <a:prstGeom prst="rect">
                                        <a:avLst/>
                                      </a:prstGeom>
                                      <a:solidFill>
                                        <a:schemeClr val="accent3">
                                          <a:alpha val="0"/>
                                        </a:schemeClr>
                                      </a:solidFill>
                                      <a:effectLst>
                                        <a:outerShdw blurRad="50800" dist="50800" dir="5400000" algn="ctr" rotWithShape="0">
                                          <a:schemeClr val="accent3">
                                            <a:lumMod val="40000"/>
                                            <a:lumOff val="60000"/>
                                          </a:schemeClr>
                                        </a:outerShdw>
                                      </a:effectLst>
                                    </pic:spPr>
                                  </pic:pic>
                                </a:graphicData>
                              </a:graphic>
                            </wp:inline>
                          </w:drawing>
                        </w:r>
                      </w:p>
                      <w:p w:rsidR="00F74EED" w:rsidRPr="00DA7AF2" w:rsidRDefault="00F74EED">
                        <w:pPr>
                          <w:pStyle w:val="NoSpacing"/>
                          <w:spacing w:line="360" w:lineRule="auto"/>
                          <w:rPr>
                            <w:rFonts w:ascii="Cambria" w:hAnsi="Cambria"/>
                            <w:color w:val="FFFFFF"/>
                          </w:rPr>
                        </w:pPr>
                      </w:p>
                    </w:txbxContent>
                  </v:textbox>
                </v:rect>
                <w10:wrap anchorx="page" anchory="page"/>
              </v:group>
            </w:pict>
          </mc:Fallback>
        </mc:AlternateContent>
      </w:r>
    </w:p>
    <w:p w:rsidR="00A837A2" w:rsidRPr="00171A80" w:rsidRDefault="00E45D20" w:rsidP="005301BF">
      <w:pPr>
        <w:spacing w:after="0"/>
        <w:ind w:left="-1134" w:firstLine="0"/>
        <w:jc w:val="left"/>
        <w:rPr>
          <w:rFonts w:asciiTheme="majorHAnsi" w:hAnsiTheme="majorHAnsi" w:cs="Times New Roman"/>
          <w:b/>
          <w:color w:val="365F91"/>
          <w:sz w:val="21"/>
          <w:szCs w:val="21"/>
          <w:lang w:val="sr-Cyrl-RS"/>
        </w:rPr>
      </w:pPr>
      <w:r w:rsidRPr="00171A80">
        <w:rPr>
          <w:rFonts w:asciiTheme="majorHAnsi" w:hAnsiTheme="majorHAnsi"/>
          <w:noProof/>
          <w:lang w:val="en-US"/>
        </w:rPr>
        <mc:AlternateContent>
          <mc:Choice Requires="wps">
            <w:drawing>
              <wp:anchor distT="0" distB="0" distL="114300" distR="114300" simplePos="0" relativeHeight="251658240" behindDoc="0" locked="0" layoutInCell="0" allowOverlap="1" wp14:anchorId="7F9C2CEE" wp14:editId="2574B0A1">
                <wp:simplePos x="0" y="0"/>
                <wp:positionH relativeFrom="page">
                  <wp:posOffset>6350</wp:posOffset>
                </wp:positionH>
                <wp:positionV relativeFrom="page">
                  <wp:posOffset>3808730</wp:posOffset>
                </wp:positionV>
                <wp:extent cx="6784975" cy="908050"/>
                <wp:effectExtent l="0" t="0" r="15875" b="2540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908050"/>
                        </a:xfrm>
                        <a:prstGeom prst="rect">
                          <a:avLst/>
                        </a:prstGeom>
                        <a:solidFill>
                          <a:schemeClr val="accent3"/>
                        </a:solidFill>
                        <a:ln w="12700">
                          <a:solidFill>
                            <a:srgbClr val="FFFFFF"/>
                          </a:solidFill>
                          <a:miter lim="800000"/>
                          <a:headEnd/>
                          <a:tailEnd/>
                        </a:ln>
                        <a:effectLst/>
                        <a:extLst/>
                      </wps:spPr>
                      <wps:txbx>
                        <w:txbxContent>
                          <w:p w:rsidR="00F74EED" w:rsidRPr="0097114B" w:rsidRDefault="00F74EED" w:rsidP="00DA7AF2">
                            <w:pPr>
                              <w:pStyle w:val="NoSpacing"/>
                              <w:shd w:val="clear" w:color="auto" w:fill="244061"/>
                              <w:jc w:val="right"/>
                              <w:rPr>
                                <w:b/>
                                <w:color w:val="9BBB59" w:themeColor="accent3"/>
                                <w:sz w:val="28"/>
                                <w:szCs w:val="28"/>
                                <w:lang w:val="ru-RU" w:bidi="en-US"/>
                              </w:rPr>
                            </w:pPr>
                            <w:r w:rsidRPr="00E01C1A">
                              <w:rPr>
                                <w:rFonts w:ascii="Cambria" w:hAnsi="Cambria"/>
                                <w:color w:val="9BBB59" w:themeColor="accent3"/>
                                <w:sz w:val="80"/>
                                <w:szCs w:val="80"/>
                                <w:lang w:val="sr-Latn-CS"/>
                              </w:rPr>
                              <w:t>ФИСКАЛНА СТРАТЕГИЈА</w:t>
                            </w:r>
                            <w:r w:rsidRPr="0097114B">
                              <w:rPr>
                                <w:b/>
                                <w:color w:val="9BBB59" w:themeColor="accent3"/>
                                <w:sz w:val="28"/>
                                <w:szCs w:val="28"/>
                                <w:lang w:val="ru-RU" w:bidi="en-US"/>
                              </w:rPr>
                              <w:t xml:space="preserve"> </w:t>
                            </w:r>
                          </w:p>
                          <w:p w:rsidR="00F74EED" w:rsidRPr="00DA7AF2" w:rsidRDefault="00F74EED" w:rsidP="00DA7AF2">
                            <w:pPr>
                              <w:pStyle w:val="NoSpacing"/>
                              <w:shd w:val="clear" w:color="auto" w:fill="244061"/>
                              <w:jc w:val="right"/>
                              <w:rPr>
                                <w:rFonts w:ascii="Cambria" w:hAnsi="Cambria"/>
                                <w:color w:val="FFFFFF"/>
                                <w:sz w:val="72"/>
                                <w:szCs w:val="72"/>
                              </w:rPr>
                            </w:pPr>
                            <w:r w:rsidRPr="0097114B">
                              <w:rPr>
                                <w:rFonts w:ascii="Cambria" w:hAnsi="Cambria"/>
                                <w:b/>
                                <w:color w:val="FFFFFF"/>
                                <w:sz w:val="28"/>
                                <w:szCs w:val="28"/>
                                <w:lang w:val="ru-RU" w:bidi="en-US"/>
                              </w:rPr>
                              <w:t>ЗА 201</w:t>
                            </w:r>
                            <w:r>
                              <w:rPr>
                                <w:rFonts w:ascii="Cambria" w:hAnsi="Cambria"/>
                                <w:b/>
                                <w:color w:val="FFFFFF"/>
                                <w:sz w:val="28"/>
                                <w:szCs w:val="28"/>
                                <w:lang w:val="sr-Cyrl-CS" w:bidi="en-US"/>
                              </w:rPr>
                              <w:t>5</w:t>
                            </w:r>
                            <w:r w:rsidRPr="0097114B">
                              <w:rPr>
                                <w:rFonts w:ascii="Cambria" w:hAnsi="Cambria"/>
                                <w:b/>
                                <w:color w:val="FFFFFF"/>
                                <w:sz w:val="28"/>
                                <w:szCs w:val="28"/>
                                <w:lang w:val="ru-RU" w:bidi="en-US"/>
                              </w:rPr>
                              <w:t>. ГОДИНУ СА ПРОЈЕКЦИЈАМА ЗА 201</w:t>
                            </w:r>
                            <w:r>
                              <w:rPr>
                                <w:rFonts w:ascii="Cambria" w:hAnsi="Cambria"/>
                                <w:b/>
                                <w:color w:val="FFFFFF"/>
                                <w:sz w:val="28"/>
                                <w:szCs w:val="28"/>
                                <w:lang w:val="sr-Cyrl-CS" w:bidi="en-US"/>
                              </w:rPr>
                              <w:t>6</w:t>
                            </w:r>
                            <w:r w:rsidRPr="0097114B">
                              <w:rPr>
                                <w:rFonts w:ascii="Cambria" w:hAnsi="Cambria"/>
                                <w:b/>
                                <w:color w:val="FFFFFF"/>
                                <w:sz w:val="28"/>
                                <w:szCs w:val="28"/>
                                <w:lang w:val="ru-RU" w:bidi="en-US"/>
                              </w:rPr>
                              <w:t xml:space="preserve">. </w:t>
                            </w:r>
                            <w:r w:rsidRPr="00DA7AF2">
                              <w:rPr>
                                <w:rFonts w:ascii="Cambria" w:hAnsi="Cambria"/>
                                <w:b/>
                                <w:color w:val="FFFFFF"/>
                                <w:sz w:val="28"/>
                                <w:szCs w:val="28"/>
                                <w:lang w:bidi="en-US"/>
                              </w:rPr>
                              <w:t>И 201</w:t>
                            </w:r>
                            <w:r>
                              <w:rPr>
                                <w:rFonts w:ascii="Cambria" w:hAnsi="Cambria"/>
                                <w:b/>
                                <w:color w:val="FFFFFF"/>
                                <w:sz w:val="28"/>
                                <w:szCs w:val="28"/>
                                <w:lang w:val="sr-Cyrl-CS" w:bidi="en-US"/>
                              </w:rPr>
                              <w:t>7</w:t>
                            </w:r>
                            <w:r w:rsidRPr="00DA7AF2">
                              <w:rPr>
                                <w:rFonts w:ascii="Cambria" w:hAnsi="Cambria"/>
                                <w:b/>
                                <w:color w:val="FFFFFF"/>
                                <w:sz w:val="28"/>
                                <w:szCs w:val="28"/>
                                <w:lang w:bidi="en-US"/>
                              </w:rPr>
                              <w:t>. ГОДИНУ</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F9C2CEE" id="Rectangle 8" o:spid="_x0000_s1032" style="position:absolute;left:0;text-align:left;margin-left:.5pt;margin-top:299.9pt;width:534.25pt;height:71.5pt;z-index:25165824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" o:allowincell="f" fillcolor="#9bbb59 [3206]" strokecolor="white" strokeweight="1pt">
                <v:textbox style="mso-fit-shape-to-text:t" inset="14.4pt,,14.4pt">
                  <w:txbxContent>
                    <w:p w:rsidR="00F74EED" w:rsidRPr="0097114B" w:rsidRDefault="00F74EED" w:rsidP="00DA7AF2">
                      <w:pPr>
                        <w:pStyle w:val="NoSpacing"/>
                        <w:shd w:val="clear" w:color="auto" w:fill="244061"/>
                        <w:jc w:val="right"/>
                        <w:rPr>
                          <w:b/>
                          <w:color w:val="9BBB59" w:themeColor="accent3"/>
                          <w:sz w:val="28"/>
                          <w:szCs w:val="28"/>
                          <w:lang w:val="ru-RU" w:bidi="en-US"/>
                        </w:rPr>
                      </w:pPr>
                      <w:r w:rsidRPr="00E01C1A">
                        <w:rPr>
                          <w:rFonts w:ascii="Cambria" w:hAnsi="Cambria"/>
                          <w:color w:val="9BBB59" w:themeColor="accent3"/>
                          <w:sz w:val="80"/>
                          <w:szCs w:val="80"/>
                          <w:lang w:val="sr-Latn-CS"/>
                        </w:rPr>
                        <w:t>ФИСКАЛНА СТРАТЕГИЈА</w:t>
                      </w:r>
                      <w:r w:rsidRPr="0097114B">
                        <w:rPr>
                          <w:b/>
                          <w:color w:val="9BBB59" w:themeColor="accent3"/>
                          <w:sz w:val="28"/>
                          <w:szCs w:val="28"/>
                          <w:lang w:val="ru-RU" w:bidi="en-US"/>
                        </w:rPr>
                        <w:t xml:space="preserve"> </w:t>
                      </w:r>
                    </w:p>
                    <w:p w:rsidR="00F74EED" w:rsidRPr="00DA7AF2" w:rsidRDefault="00F74EED" w:rsidP="00DA7AF2">
                      <w:pPr>
                        <w:pStyle w:val="NoSpacing"/>
                        <w:shd w:val="clear" w:color="auto" w:fill="244061"/>
                        <w:jc w:val="right"/>
                        <w:rPr>
                          <w:rFonts w:ascii="Cambria" w:hAnsi="Cambria"/>
                          <w:color w:val="FFFFFF"/>
                          <w:sz w:val="72"/>
                          <w:szCs w:val="72"/>
                        </w:rPr>
                      </w:pPr>
                      <w:r w:rsidRPr="0097114B">
                        <w:rPr>
                          <w:rFonts w:ascii="Cambria" w:hAnsi="Cambria"/>
                          <w:b/>
                          <w:color w:val="FFFFFF"/>
                          <w:sz w:val="28"/>
                          <w:szCs w:val="28"/>
                          <w:lang w:val="ru-RU" w:bidi="en-US"/>
                        </w:rPr>
                        <w:t>ЗА 201</w:t>
                      </w:r>
                      <w:r>
                        <w:rPr>
                          <w:rFonts w:ascii="Cambria" w:hAnsi="Cambria"/>
                          <w:b/>
                          <w:color w:val="FFFFFF"/>
                          <w:sz w:val="28"/>
                          <w:szCs w:val="28"/>
                          <w:lang w:val="sr-Cyrl-CS" w:bidi="en-US"/>
                        </w:rPr>
                        <w:t>5</w:t>
                      </w:r>
                      <w:r w:rsidRPr="0097114B">
                        <w:rPr>
                          <w:rFonts w:ascii="Cambria" w:hAnsi="Cambria"/>
                          <w:b/>
                          <w:color w:val="FFFFFF"/>
                          <w:sz w:val="28"/>
                          <w:szCs w:val="28"/>
                          <w:lang w:val="ru-RU" w:bidi="en-US"/>
                        </w:rPr>
                        <w:t>. ГОДИНУ СА ПРОЈЕКЦИЈАМА ЗА 201</w:t>
                      </w:r>
                      <w:r>
                        <w:rPr>
                          <w:rFonts w:ascii="Cambria" w:hAnsi="Cambria"/>
                          <w:b/>
                          <w:color w:val="FFFFFF"/>
                          <w:sz w:val="28"/>
                          <w:szCs w:val="28"/>
                          <w:lang w:val="sr-Cyrl-CS" w:bidi="en-US"/>
                        </w:rPr>
                        <w:t>6</w:t>
                      </w:r>
                      <w:r w:rsidRPr="0097114B">
                        <w:rPr>
                          <w:rFonts w:ascii="Cambria" w:hAnsi="Cambria"/>
                          <w:b/>
                          <w:color w:val="FFFFFF"/>
                          <w:sz w:val="28"/>
                          <w:szCs w:val="28"/>
                          <w:lang w:val="ru-RU" w:bidi="en-US"/>
                        </w:rPr>
                        <w:t xml:space="preserve">. </w:t>
                      </w:r>
                      <w:r w:rsidRPr="00DA7AF2">
                        <w:rPr>
                          <w:rFonts w:ascii="Cambria" w:hAnsi="Cambria"/>
                          <w:b/>
                          <w:color w:val="FFFFFF"/>
                          <w:sz w:val="28"/>
                          <w:szCs w:val="28"/>
                          <w:lang w:bidi="en-US"/>
                        </w:rPr>
                        <w:t>И 201</w:t>
                      </w:r>
                      <w:r>
                        <w:rPr>
                          <w:rFonts w:ascii="Cambria" w:hAnsi="Cambria"/>
                          <w:b/>
                          <w:color w:val="FFFFFF"/>
                          <w:sz w:val="28"/>
                          <w:szCs w:val="28"/>
                          <w:lang w:val="sr-Cyrl-CS" w:bidi="en-US"/>
                        </w:rPr>
                        <w:t>7</w:t>
                      </w:r>
                      <w:r w:rsidRPr="00DA7AF2">
                        <w:rPr>
                          <w:rFonts w:ascii="Cambria" w:hAnsi="Cambria"/>
                          <w:b/>
                          <w:color w:val="FFFFFF"/>
                          <w:sz w:val="28"/>
                          <w:szCs w:val="28"/>
                          <w:lang w:bidi="en-US"/>
                        </w:rPr>
                        <w:t>. ГОДИНУ</w:t>
                      </w:r>
                    </w:p>
                  </w:txbxContent>
                </v:textbox>
                <w10:wrap anchorx="page" anchory="page"/>
              </v:rect>
            </w:pict>
          </mc:Fallback>
        </mc:AlternateContent>
      </w:r>
      <w:r w:rsidR="002D005C" w:rsidRPr="00171A80">
        <w:rPr>
          <w:rFonts w:asciiTheme="majorHAnsi" w:hAnsiTheme="majorHAnsi" w:cs="Times New Roman"/>
          <w:b/>
          <w:color w:val="365F91"/>
          <w:sz w:val="21"/>
          <w:szCs w:val="21"/>
          <w:lang w:val="sr-Cyrl-RS"/>
        </w:rPr>
        <w:br w:type="page"/>
      </w:r>
    </w:p>
    <w:p w:rsidR="002D005C" w:rsidRPr="00171A80" w:rsidRDefault="002D005C">
      <w:pPr>
        <w:spacing w:after="0"/>
        <w:ind w:firstLine="0"/>
        <w:jc w:val="left"/>
        <w:rPr>
          <w:rFonts w:asciiTheme="majorHAnsi" w:hAnsiTheme="majorHAnsi" w:cs="Times New Roman"/>
          <w:b/>
          <w:color w:val="365F91"/>
          <w:sz w:val="21"/>
          <w:szCs w:val="21"/>
          <w:lang w:val="sr-Cyrl-RS"/>
        </w:rPr>
      </w:pPr>
    </w:p>
    <w:p w:rsidR="00D829C6" w:rsidRPr="00171A80" w:rsidRDefault="00D829C6" w:rsidP="00D829C6">
      <w:pPr>
        <w:ind w:firstLine="0"/>
        <w:rPr>
          <w:rFonts w:asciiTheme="majorHAnsi" w:hAnsiTheme="majorHAnsi"/>
          <w:lang w:val="sr-Cyrl-RS"/>
        </w:rPr>
      </w:pPr>
    </w:p>
    <w:p w:rsidR="00622106" w:rsidRPr="00171A80" w:rsidRDefault="00622106" w:rsidP="003E033B">
      <w:pPr>
        <w:pStyle w:val="TOCHeading"/>
        <w:numPr>
          <w:ilvl w:val="0"/>
          <w:numId w:val="0"/>
        </w:numPr>
        <w:ind w:left="284"/>
        <w:rPr>
          <w:lang w:val="sr-Cyrl-RS"/>
        </w:rPr>
      </w:pPr>
    </w:p>
    <w:p w:rsidR="00B26A04" w:rsidRDefault="009B6136" w:rsidP="003E033B">
      <w:pPr>
        <w:pStyle w:val="TOCHeading"/>
        <w:numPr>
          <w:ilvl w:val="0"/>
          <w:numId w:val="0"/>
        </w:numPr>
        <w:ind w:left="284"/>
        <w:rPr>
          <w:b/>
          <w:color w:val="4F6228" w:themeColor="accent3" w:themeShade="80"/>
          <w:lang w:val="sr-Cyrl-RS"/>
        </w:rPr>
      </w:pPr>
      <w:r w:rsidRPr="00171A80">
        <w:rPr>
          <w:b/>
          <w:color w:val="4F6228" w:themeColor="accent3" w:themeShade="80"/>
          <w:lang w:val="sr-Cyrl-RS"/>
        </w:rPr>
        <w:t>САДРЖАЈ</w:t>
      </w:r>
    </w:p>
    <w:p w:rsidR="006E7F12" w:rsidRPr="006E7F12" w:rsidRDefault="006E7F12" w:rsidP="006E7F12">
      <w:pPr>
        <w:rPr>
          <w:lang w:val="sr-Cyrl-RS"/>
        </w:rPr>
      </w:pPr>
    </w:p>
    <w:p w:rsidR="00E31FDD" w:rsidRDefault="00D113BB">
      <w:pPr>
        <w:pStyle w:val="TOC1"/>
        <w:rPr>
          <w:rFonts w:asciiTheme="minorHAnsi" w:eastAsiaTheme="minorEastAsia" w:hAnsiTheme="minorHAnsi" w:cstheme="minorBidi"/>
          <w:bCs w:val="0"/>
          <w:noProof/>
          <w:color w:val="auto"/>
          <w:szCs w:val="22"/>
          <w:lang w:val="en-US"/>
        </w:rPr>
      </w:pPr>
      <w:r w:rsidRPr="00171A80">
        <w:rPr>
          <w:rFonts w:asciiTheme="majorHAnsi" w:hAnsiTheme="majorHAnsi"/>
          <w:color w:val="808080" w:themeColor="background1" w:themeShade="80"/>
          <w:szCs w:val="22"/>
          <w:lang w:val="sr-Cyrl-RS"/>
        </w:rPr>
        <w:fldChar w:fldCharType="begin"/>
      </w:r>
      <w:r w:rsidR="00B26A04" w:rsidRPr="00171A80">
        <w:rPr>
          <w:rFonts w:asciiTheme="majorHAnsi" w:hAnsiTheme="majorHAnsi"/>
          <w:color w:val="808080" w:themeColor="background1" w:themeShade="80"/>
          <w:szCs w:val="22"/>
          <w:lang w:val="sr-Cyrl-RS"/>
        </w:rPr>
        <w:instrText xml:space="preserve"> TOC \o "1-3" \h \z \u </w:instrText>
      </w:r>
      <w:r w:rsidRPr="00171A80">
        <w:rPr>
          <w:rFonts w:asciiTheme="majorHAnsi" w:hAnsiTheme="majorHAnsi"/>
          <w:color w:val="808080" w:themeColor="background1" w:themeShade="80"/>
          <w:szCs w:val="22"/>
          <w:lang w:val="sr-Cyrl-RS"/>
        </w:rPr>
        <w:fldChar w:fldCharType="separate"/>
      </w:r>
      <w:hyperlink w:anchor="_Toc407617154" w:history="1">
        <w:r w:rsidR="00E31FDD" w:rsidRPr="00404CB3">
          <w:rPr>
            <w:rStyle w:val="Hyperlink"/>
            <w:noProof/>
            <w:lang w:val="sr-Cyrl-RS" w:bidi="en-US"/>
          </w:rPr>
          <w:t>I.</w:t>
        </w:r>
        <w:r w:rsidR="00E31FDD">
          <w:rPr>
            <w:rFonts w:asciiTheme="minorHAnsi" w:eastAsiaTheme="minorEastAsia" w:hAnsiTheme="minorHAnsi" w:cstheme="minorBidi"/>
            <w:bCs w:val="0"/>
            <w:noProof/>
            <w:color w:val="auto"/>
            <w:szCs w:val="22"/>
            <w:lang w:val="en-US"/>
          </w:rPr>
          <w:tab/>
        </w:r>
        <w:r w:rsidR="00E31FDD" w:rsidRPr="00404CB3">
          <w:rPr>
            <w:rStyle w:val="Hyperlink"/>
            <w:noProof/>
            <w:lang w:val="sr-Cyrl-RS"/>
          </w:rPr>
          <w:t>Макроекономски оквир за период од 2015. до 2017. године</w:t>
        </w:r>
        <w:r w:rsidR="00E31FDD">
          <w:rPr>
            <w:noProof/>
            <w:webHidden/>
          </w:rPr>
          <w:tab/>
        </w:r>
        <w:r w:rsidR="00E31FDD">
          <w:rPr>
            <w:noProof/>
            <w:webHidden/>
          </w:rPr>
          <w:fldChar w:fldCharType="begin"/>
        </w:r>
        <w:r w:rsidR="00E31FDD">
          <w:rPr>
            <w:noProof/>
            <w:webHidden/>
          </w:rPr>
          <w:instrText xml:space="preserve"> PAGEREF _Toc407617154 \h </w:instrText>
        </w:r>
        <w:r w:rsidR="00E31FDD">
          <w:rPr>
            <w:noProof/>
            <w:webHidden/>
          </w:rPr>
        </w:r>
        <w:r w:rsidR="00E31FDD">
          <w:rPr>
            <w:noProof/>
            <w:webHidden/>
          </w:rPr>
          <w:fldChar w:fldCharType="separate"/>
        </w:r>
        <w:r w:rsidR="00494CDF">
          <w:rPr>
            <w:noProof/>
            <w:webHidden/>
          </w:rPr>
          <w:t>2</w:t>
        </w:r>
        <w:r w:rsidR="00E31FDD">
          <w:rPr>
            <w:noProof/>
            <w:webHidden/>
          </w:rPr>
          <w:fldChar w:fldCharType="end"/>
        </w:r>
      </w:hyperlink>
    </w:p>
    <w:p w:rsidR="00E31FDD" w:rsidRDefault="00B95FAF">
      <w:pPr>
        <w:pStyle w:val="TOC2"/>
        <w:rPr>
          <w:rFonts w:asciiTheme="minorHAnsi" w:eastAsiaTheme="minorEastAsia" w:hAnsiTheme="minorHAnsi" w:cstheme="minorBidi"/>
          <w:bCs w:val="0"/>
          <w:noProof/>
          <w:color w:val="auto"/>
          <w:szCs w:val="22"/>
          <w:lang w:val="en-US"/>
        </w:rPr>
      </w:pPr>
      <w:hyperlink w:anchor="_Toc407617155" w:history="1">
        <w:r w:rsidR="00E31FDD" w:rsidRPr="00404CB3">
          <w:rPr>
            <w:rStyle w:val="Hyperlink"/>
            <w:noProof/>
            <w:snapToGrid w:val="0"/>
            <w:w w:val="0"/>
            <w:lang w:val="sr-Cyrl-RS"/>
          </w:rPr>
          <w:t>1.</w:t>
        </w:r>
        <w:r w:rsidR="00E31FDD">
          <w:rPr>
            <w:rFonts w:asciiTheme="minorHAnsi" w:eastAsiaTheme="minorEastAsia" w:hAnsiTheme="minorHAnsi" w:cstheme="minorBidi"/>
            <w:bCs w:val="0"/>
            <w:noProof/>
            <w:color w:val="auto"/>
            <w:szCs w:val="22"/>
            <w:lang w:val="en-US"/>
          </w:rPr>
          <w:tab/>
        </w:r>
        <w:r w:rsidR="00E31FDD" w:rsidRPr="00404CB3">
          <w:rPr>
            <w:rStyle w:val="Hyperlink"/>
            <w:noProof/>
            <w:lang w:val="sr-Cyrl-RS"/>
          </w:rPr>
          <w:t>Општи оквир и главни циљеви и смернице економске политике</w:t>
        </w:r>
        <w:r w:rsidR="00E31FDD">
          <w:rPr>
            <w:noProof/>
            <w:webHidden/>
          </w:rPr>
          <w:tab/>
        </w:r>
        <w:r w:rsidR="00E31FDD">
          <w:rPr>
            <w:noProof/>
            <w:webHidden/>
          </w:rPr>
          <w:fldChar w:fldCharType="begin"/>
        </w:r>
        <w:r w:rsidR="00E31FDD">
          <w:rPr>
            <w:noProof/>
            <w:webHidden/>
          </w:rPr>
          <w:instrText xml:space="preserve"> PAGEREF _Toc407617155 \h </w:instrText>
        </w:r>
        <w:r w:rsidR="00E31FDD">
          <w:rPr>
            <w:noProof/>
            <w:webHidden/>
          </w:rPr>
        </w:r>
        <w:r w:rsidR="00E31FDD">
          <w:rPr>
            <w:noProof/>
            <w:webHidden/>
          </w:rPr>
          <w:fldChar w:fldCharType="separate"/>
        </w:r>
        <w:r w:rsidR="00494CDF">
          <w:rPr>
            <w:noProof/>
            <w:webHidden/>
          </w:rPr>
          <w:t>2</w:t>
        </w:r>
        <w:r w:rsidR="00E31FDD">
          <w:rPr>
            <w:noProof/>
            <w:webHidden/>
          </w:rPr>
          <w:fldChar w:fldCharType="end"/>
        </w:r>
      </w:hyperlink>
    </w:p>
    <w:p w:rsidR="00E31FDD" w:rsidRDefault="00B95FAF">
      <w:pPr>
        <w:pStyle w:val="TOC2"/>
        <w:rPr>
          <w:rFonts w:asciiTheme="minorHAnsi" w:eastAsiaTheme="minorEastAsia" w:hAnsiTheme="minorHAnsi" w:cstheme="minorBidi"/>
          <w:bCs w:val="0"/>
          <w:noProof/>
          <w:color w:val="auto"/>
          <w:szCs w:val="22"/>
          <w:lang w:val="en-US"/>
        </w:rPr>
      </w:pPr>
      <w:hyperlink w:anchor="_Toc407617156" w:history="1">
        <w:r w:rsidR="00E31FDD" w:rsidRPr="00404CB3">
          <w:rPr>
            <w:rStyle w:val="Hyperlink"/>
            <w:noProof/>
            <w:snapToGrid w:val="0"/>
            <w:w w:val="0"/>
            <w:lang w:val="sr-Cyrl-RS"/>
          </w:rPr>
          <w:t>2.</w:t>
        </w:r>
        <w:r w:rsidR="00E31FDD">
          <w:rPr>
            <w:rFonts w:asciiTheme="minorHAnsi" w:eastAsiaTheme="minorEastAsia" w:hAnsiTheme="minorHAnsi" w:cstheme="minorBidi"/>
            <w:bCs w:val="0"/>
            <w:noProof/>
            <w:color w:val="auto"/>
            <w:szCs w:val="22"/>
            <w:lang w:val="en-US"/>
          </w:rPr>
          <w:tab/>
        </w:r>
        <w:r w:rsidR="00E31FDD" w:rsidRPr="00404CB3">
          <w:rPr>
            <w:rStyle w:val="Hyperlink"/>
            <w:noProof/>
            <w:lang w:val="sr-Cyrl-RS"/>
          </w:rPr>
          <w:t>Економска кретања и изгледи за период 2015 - 2017. године</w:t>
        </w:r>
        <w:r w:rsidR="00E31FDD">
          <w:rPr>
            <w:noProof/>
            <w:webHidden/>
          </w:rPr>
          <w:tab/>
        </w:r>
        <w:r w:rsidR="00E31FDD">
          <w:rPr>
            <w:noProof/>
            <w:webHidden/>
          </w:rPr>
          <w:fldChar w:fldCharType="begin"/>
        </w:r>
        <w:r w:rsidR="00E31FDD">
          <w:rPr>
            <w:noProof/>
            <w:webHidden/>
          </w:rPr>
          <w:instrText xml:space="preserve"> PAGEREF _Toc407617156 \h </w:instrText>
        </w:r>
        <w:r w:rsidR="00E31FDD">
          <w:rPr>
            <w:noProof/>
            <w:webHidden/>
          </w:rPr>
        </w:r>
        <w:r w:rsidR="00E31FDD">
          <w:rPr>
            <w:noProof/>
            <w:webHidden/>
          </w:rPr>
          <w:fldChar w:fldCharType="separate"/>
        </w:r>
        <w:r w:rsidR="00494CDF">
          <w:rPr>
            <w:noProof/>
            <w:webHidden/>
          </w:rPr>
          <w:t>4</w:t>
        </w:r>
        <w:r w:rsidR="00E31FDD">
          <w:rPr>
            <w:noProof/>
            <w:webHidden/>
          </w:rPr>
          <w:fldChar w:fldCharType="end"/>
        </w:r>
      </w:hyperlink>
    </w:p>
    <w:p w:rsidR="00E31FDD" w:rsidRDefault="00B95FAF">
      <w:pPr>
        <w:pStyle w:val="TOC3"/>
        <w:rPr>
          <w:rFonts w:asciiTheme="minorHAnsi" w:eastAsiaTheme="minorEastAsia" w:hAnsiTheme="minorHAnsi" w:cstheme="minorBidi"/>
          <w:bCs w:val="0"/>
          <w:noProof/>
          <w:color w:val="auto"/>
          <w:szCs w:val="22"/>
          <w:lang w:val="en-US"/>
        </w:rPr>
      </w:pPr>
      <w:hyperlink w:anchor="_Toc407617157" w:history="1">
        <w:r w:rsidR="00E31FDD" w:rsidRPr="00404CB3">
          <w:rPr>
            <w:rStyle w:val="Hyperlink"/>
            <w:rFonts w:asciiTheme="majorHAnsi" w:hAnsiTheme="majorHAnsi"/>
            <w:noProof/>
            <w:lang w:val="sr-Cyrl-RS"/>
          </w:rPr>
          <w:t>2.1.</w:t>
        </w:r>
        <w:r w:rsidR="00E31FDD">
          <w:rPr>
            <w:rFonts w:asciiTheme="minorHAnsi" w:eastAsiaTheme="minorEastAsia" w:hAnsiTheme="minorHAnsi" w:cstheme="minorBidi"/>
            <w:bCs w:val="0"/>
            <w:noProof/>
            <w:color w:val="auto"/>
            <w:szCs w:val="22"/>
            <w:lang w:val="en-US"/>
          </w:rPr>
          <w:tab/>
        </w:r>
        <w:r w:rsidR="00E31FDD" w:rsidRPr="00404CB3">
          <w:rPr>
            <w:rStyle w:val="Hyperlink"/>
            <w:rFonts w:asciiTheme="majorHAnsi" w:hAnsiTheme="majorHAnsi"/>
            <w:noProof/>
            <w:lang w:val="sr-Cyrl-RS"/>
          </w:rPr>
          <w:t>Процене међународног економског окружења</w:t>
        </w:r>
        <w:r w:rsidR="00E31FDD">
          <w:rPr>
            <w:noProof/>
            <w:webHidden/>
          </w:rPr>
          <w:tab/>
        </w:r>
        <w:r w:rsidR="00E31FDD">
          <w:rPr>
            <w:noProof/>
            <w:webHidden/>
          </w:rPr>
          <w:fldChar w:fldCharType="begin"/>
        </w:r>
        <w:r w:rsidR="00E31FDD">
          <w:rPr>
            <w:noProof/>
            <w:webHidden/>
          </w:rPr>
          <w:instrText xml:space="preserve"> PAGEREF _Toc407617157 \h </w:instrText>
        </w:r>
        <w:r w:rsidR="00E31FDD">
          <w:rPr>
            <w:noProof/>
            <w:webHidden/>
          </w:rPr>
        </w:r>
        <w:r w:rsidR="00E31FDD">
          <w:rPr>
            <w:noProof/>
            <w:webHidden/>
          </w:rPr>
          <w:fldChar w:fldCharType="separate"/>
        </w:r>
        <w:r w:rsidR="00494CDF">
          <w:rPr>
            <w:noProof/>
            <w:webHidden/>
          </w:rPr>
          <w:t>4</w:t>
        </w:r>
        <w:r w:rsidR="00E31FDD">
          <w:rPr>
            <w:noProof/>
            <w:webHidden/>
          </w:rPr>
          <w:fldChar w:fldCharType="end"/>
        </w:r>
      </w:hyperlink>
    </w:p>
    <w:p w:rsidR="00E31FDD" w:rsidRDefault="00B95FAF">
      <w:pPr>
        <w:pStyle w:val="TOC3"/>
        <w:rPr>
          <w:rFonts w:asciiTheme="minorHAnsi" w:eastAsiaTheme="minorEastAsia" w:hAnsiTheme="minorHAnsi" w:cstheme="minorBidi"/>
          <w:bCs w:val="0"/>
          <w:noProof/>
          <w:color w:val="auto"/>
          <w:szCs w:val="22"/>
          <w:lang w:val="en-US"/>
        </w:rPr>
      </w:pPr>
      <w:hyperlink w:anchor="_Toc407617158" w:history="1">
        <w:r w:rsidR="00E31FDD" w:rsidRPr="00404CB3">
          <w:rPr>
            <w:rStyle w:val="Hyperlink"/>
            <w:rFonts w:asciiTheme="majorHAnsi" w:hAnsiTheme="majorHAnsi"/>
            <w:noProof/>
            <w:lang w:val="sr-Cyrl-RS"/>
          </w:rPr>
          <w:t>2.2.</w:t>
        </w:r>
        <w:r w:rsidR="00E31FDD">
          <w:rPr>
            <w:rFonts w:asciiTheme="minorHAnsi" w:eastAsiaTheme="minorEastAsia" w:hAnsiTheme="minorHAnsi" w:cstheme="minorBidi"/>
            <w:bCs w:val="0"/>
            <w:noProof/>
            <w:color w:val="auto"/>
            <w:szCs w:val="22"/>
            <w:lang w:val="en-US"/>
          </w:rPr>
          <w:tab/>
        </w:r>
        <w:r w:rsidR="00E31FDD" w:rsidRPr="00404CB3">
          <w:rPr>
            <w:rStyle w:val="Hyperlink"/>
            <w:rFonts w:asciiTheme="majorHAnsi" w:hAnsiTheme="majorHAnsi"/>
            <w:noProof/>
            <w:lang w:val="sr-Cyrl-RS"/>
          </w:rPr>
          <w:t>Текућа макроекономска кретања и изгледи за 2014. годину</w:t>
        </w:r>
        <w:r w:rsidR="00E31FDD">
          <w:rPr>
            <w:noProof/>
            <w:webHidden/>
          </w:rPr>
          <w:tab/>
        </w:r>
        <w:r w:rsidR="00E31FDD">
          <w:rPr>
            <w:noProof/>
            <w:webHidden/>
          </w:rPr>
          <w:fldChar w:fldCharType="begin"/>
        </w:r>
        <w:r w:rsidR="00E31FDD">
          <w:rPr>
            <w:noProof/>
            <w:webHidden/>
          </w:rPr>
          <w:instrText xml:space="preserve"> PAGEREF _Toc407617158 \h </w:instrText>
        </w:r>
        <w:r w:rsidR="00E31FDD">
          <w:rPr>
            <w:noProof/>
            <w:webHidden/>
          </w:rPr>
        </w:r>
        <w:r w:rsidR="00E31FDD">
          <w:rPr>
            <w:noProof/>
            <w:webHidden/>
          </w:rPr>
          <w:fldChar w:fldCharType="separate"/>
        </w:r>
        <w:r w:rsidR="00494CDF">
          <w:rPr>
            <w:noProof/>
            <w:webHidden/>
          </w:rPr>
          <w:t>7</w:t>
        </w:r>
        <w:r w:rsidR="00E31FDD">
          <w:rPr>
            <w:noProof/>
            <w:webHidden/>
          </w:rPr>
          <w:fldChar w:fldCharType="end"/>
        </w:r>
      </w:hyperlink>
    </w:p>
    <w:p w:rsidR="00E31FDD" w:rsidRDefault="00B95FAF">
      <w:pPr>
        <w:pStyle w:val="TOC3"/>
        <w:rPr>
          <w:rFonts w:asciiTheme="minorHAnsi" w:eastAsiaTheme="minorEastAsia" w:hAnsiTheme="minorHAnsi" w:cstheme="minorBidi"/>
          <w:bCs w:val="0"/>
          <w:noProof/>
          <w:color w:val="auto"/>
          <w:szCs w:val="22"/>
          <w:lang w:val="en-US"/>
        </w:rPr>
      </w:pPr>
      <w:hyperlink w:anchor="_Toc407617159" w:history="1">
        <w:r w:rsidR="00E31FDD" w:rsidRPr="00404CB3">
          <w:rPr>
            <w:rStyle w:val="Hyperlink"/>
            <w:rFonts w:asciiTheme="majorHAnsi" w:eastAsia="Calibri" w:hAnsiTheme="majorHAnsi"/>
            <w:noProof/>
            <w:lang w:val="sr-Cyrl-RS"/>
          </w:rPr>
          <w:t>2.3.</w:t>
        </w:r>
        <w:r w:rsidR="00E31FDD">
          <w:rPr>
            <w:rFonts w:asciiTheme="minorHAnsi" w:eastAsiaTheme="minorEastAsia" w:hAnsiTheme="minorHAnsi" w:cstheme="minorBidi"/>
            <w:bCs w:val="0"/>
            <w:noProof/>
            <w:color w:val="auto"/>
            <w:szCs w:val="22"/>
            <w:lang w:val="en-US"/>
          </w:rPr>
          <w:tab/>
        </w:r>
        <w:r w:rsidR="00E31FDD" w:rsidRPr="00404CB3">
          <w:rPr>
            <w:rStyle w:val="Hyperlink"/>
            <w:rFonts w:asciiTheme="majorHAnsi" w:hAnsiTheme="majorHAnsi"/>
            <w:noProof/>
            <w:lang w:val="sr-Cyrl-RS"/>
          </w:rPr>
          <w:t>Пројекција</w:t>
        </w:r>
        <w:r w:rsidR="00E31FDD" w:rsidRPr="00404CB3">
          <w:rPr>
            <w:rStyle w:val="Hyperlink"/>
            <w:rFonts w:asciiTheme="majorHAnsi" w:eastAsia="Calibri" w:hAnsiTheme="majorHAnsi"/>
            <w:noProof/>
            <w:lang w:val="sr-Cyrl-RS"/>
          </w:rPr>
          <w:t xml:space="preserve"> </w:t>
        </w:r>
        <w:r w:rsidR="00E31FDD" w:rsidRPr="00404CB3">
          <w:rPr>
            <w:rStyle w:val="Hyperlink"/>
            <w:rFonts w:asciiTheme="majorHAnsi" w:hAnsiTheme="majorHAnsi"/>
            <w:noProof/>
            <w:lang w:val="sr-Cyrl-RS"/>
          </w:rPr>
          <w:t>макроекономских</w:t>
        </w:r>
        <w:r w:rsidR="00E31FDD" w:rsidRPr="00404CB3">
          <w:rPr>
            <w:rStyle w:val="Hyperlink"/>
            <w:rFonts w:asciiTheme="majorHAnsi" w:eastAsia="Calibri" w:hAnsiTheme="majorHAnsi"/>
            <w:noProof/>
            <w:lang w:val="sr-Cyrl-RS"/>
          </w:rPr>
          <w:t xml:space="preserve"> индикатора за период 2015 – 2017. године</w:t>
        </w:r>
        <w:r w:rsidR="00E31FDD">
          <w:rPr>
            <w:noProof/>
            <w:webHidden/>
          </w:rPr>
          <w:tab/>
        </w:r>
        <w:r w:rsidR="00E31FDD">
          <w:rPr>
            <w:noProof/>
            <w:webHidden/>
          </w:rPr>
          <w:fldChar w:fldCharType="begin"/>
        </w:r>
        <w:r w:rsidR="00E31FDD">
          <w:rPr>
            <w:noProof/>
            <w:webHidden/>
          </w:rPr>
          <w:instrText xml:space="preserve"> PAGEREF _Toc407617159 \h </w:instrText>
        </w:r>
        <w:r w:rsidR="00E31FDD">
          <w:rPr>
            <w:noProof/>
            <w:webHidden/>
          </w:rPr>
        </w:r>
        <w:r w:rsidR="00E31FDD">
          <w:rPr>
            <w:noProof/>
            <w:webHidden/>
          </w:rPr>
          <w:fldChar w:fldCharType="separate"/>
        </w:r>
        <w:r w:rsidR="00494CDF">
          <w:rPr>
            <w:noProof/>
            <w:webHidden/>
          </w:rPr>
          <w:t>11</w:t>
        </w:r>
        <w:r w:rsidR="00E31FDD">
          <w:rPr>
            <w:noProof/>
            <w:webHidden/>
          </w:rPr>
          <w:fldChar w:fldCharType="end"/>
        </w:r>
      </w:hyperlink>
    </w:p>
    <w:p w:rsidR="00E31FDD" w:rsidRDefault="00B95FAF">
      <w:pPr>
        <w:pStyle w:val="TOC3"/>
        <w:rPr>
          <w:rFonts w:asciiTheme="minorHAnsi" w:eastAsiaTheme="minorEastAsia" w:hAnsiTheme="minorHAnsi" w:cstheme="minorBidi"/>
          <w:bCs w:val="0"/>
          <w:noProof/>
          <w:color w:val="auto"/>
          <w:szCs w:val="22"/>
          <w:lang w:val="en-US"/>
        </w:rPr>
      </w:pPr>
      <w:hyperlink w:anchor="_Toc407617160" w:history="1">
        <w:r w:rsidR="00E31FDD" w:rsidRPr="00404CB3">
          <w:rPr>
            <w:rStyle w:val="Hyperlink"/>
            <w:rFonts w:asciiTheme="majorHAnsi" w:eastAsia="Calibri" w:hAnsiTheme="majorHAnsi"/>
            <w:noProof/>
            <w:lang w:val="sr-Cyrl-RS"/>
          </w:rPr>
          <w:t>2.4.</w:t>
        </w:r>
        <w:r w:rsidR="00E31FDD">
          <w:rPr>
            <w:rFonts w:asciiTheme="minorHAnsi" w:eastAsiaTheme="minorEastAsia" w:hAnsiTheme="minorHAnsi" w:cstheme="minorBidi"/>
            <w:bCs w:val="0"/>
            <w:noProof/>
            <w:color w:val="auto"/>
            <w:szCs w:val="22"/>
            <w:lang w:val="en-US"/>
          </w:rPr>
          <w:tab/>
        </w:r>
        <w:r w:rsidR="00E31FDD" w:rsidRPr="00404CB3">
          <w:rPr>
            <w:rStyle w:val="Hyperlink"/>
            <w:rFonts w:asciiTheme="majorHAnsi" w:eastAsia="Calibri" w:hAnsiTheme="majorHAnsi"/>
            <w:noProof/>
            <w:lang w:val="sr-Cyrl-RS"/>
          </w:rPr>
          <w:t>Ризици остваривања пројекције</w:t>
        </w:r>
        <w:r w:rsidR="00E31FDD">
          <w:rPr>
            <w:noProof/>
            <w:webHidden/>
          </w:rPr>
          <w:tab/>
        </w:r>
        <w:r w:rsidR="00E31FDD">
          <w:rPr>
            <w:noProof/>
            <w:webHidden/>
          </w:rPr>
          <w:fldChar w:fldCharType="begin"/>
        </w:r>
        <w:r w:rsidR="00E31FDD">
          <w:rPr>
            <w:noProof/>
            <w:webHidden/>
          </w:rPr>
          <w:instrText xml:space="preserve"> PAGEREF _Toc407617160 \h </w:instrText>
        </w:r>
        <w:r w:rsidR="00E31FDD">
          <w:rPr>
            <w:noProof/>
            <w:webHidden/>
          </w:rPr>
        </w:r>
        <w:r w:rsidR="00E31FDD">
          <w:rPr>
            <w:noProof/>
            <w:webHidden/>
          </w:rPr>
          <w:fldChar w:fldCharType="separate"/>
        </w:r>
        <w:r w:rsidR="00494CDF">
          <w:rPr>
            <w:noProof/>
            <w:webHidden/>
          </w:rPr>
          <w:t>20</w:t>
        </w:r>
        <w:r w:rsidR="00E31FDD">
          <w:rPr>
            <w:noProof/>
            <w:webHidden/>
          </w:rPr>
          <w:fldChar w:fldCharType="end"/>
        </w:r>
      </w:hyperlink>
    </w:p>
    <w:p w:rsidR="00E31FDD" w:rsidRDefault="00B95FAF">
      <w:pPr>
        <w:pStyle w:val="TOC1"/>
        <w:rPr>
          <w:rFonts w:asciiTheme="minorHAnsi" w:eastAsiaTheme="minorEastAsia" w:hAnsiTheme="minorHAnsi" w:cstheme="minorBidi"/>
          <w:bCs w:val="0"/>
          <w:noProof/>
          <w:color w:val="auto"/>
          <w:szCs w:val="22"/>
          <w:lang w:val="en-US"/>
        </w:rPr>
      </w:pPr>
      <w:hyperlink w:anchor="_Toc407617161" w:history="1">
        <w:r w:rsidR="00E31FDD" w:rsidRPr="00404CB3">
          <w:rPr>
            <w:rStyle w:val="Hyperlink"/>
            <w:noProof/>
            <w:lang w:val="sr-Cyrl-RS"/>
          </w:rPr>
          <w:t>II.</w:t>
        </w:r>
        <w:r w:rsidR="00E31FDD">
          <w:rPr>
            <w:rFonts w:asciiTheme="minorHAnsi" w:eastAsiaTheme="minorEastAsia" w:hAnsiTheme="minorHAnsi" w:cstheme="minorBidi"/>
            <w:bCs w:val="0"/>
            <w:noProof/>
            <w:color w:val="auto"/>
            <w:szCs w:val="22"/>
            <w:lang w:val="en-US"/>
          </w:rPr>
          <w:tab/>
        </w:r>
        <w:r w:rsidR="00E31FDD" w:rsidRPr="00404CB3">
          <w:rPr>
            <w:rStyle w:val="Hyperlink"/>
            <w:noProof/>
            <w:lang w:val="sr-Cyrl-RS"/>
          </w:rPr>
          <w:t>Фискални оквир за период од 2015. до 2017. године</w:t>
        </w:r>
        <w:r w:rsidR="00E31FDD">
          <w:rPr>
            <w:noProof/>
            <w:webHidden/>
          </w:rPr>
          <w:tab/>
        </w:r>
        <w:r w:rsidR="00E31FDD">
          <w:rPr>
            <w:noProof/>
            <w:webHidden/>
          </w:rPr>
          <w:fldChar w:fldCharType="begin"/>
        </w:r>
        <w:r w:rsidR="00E31FDD">
          <w:rPr>
            <w:noProof/>
            <w:webHidden/>
          </w:rPr>
          <w:instrText xml:space="preserve"> PAGEREF _Toc407617161 \h </w:instrText>
        </w:r>
        <w:r w:rsidR="00E31FDD">
          <w:rPr>
            <w:noProof/>
            <w:webHidden/>
          </w:rPr>
        </w:r>
        <w:r w:rsidR="00E31FDD">
          <w:rPr>
            <w:noProof/>
            <w:webHidden/>
          </w:rPr>
          <w:fldChar w:fldCharType="separate"/>
        </w:r>
        <w:r w:rsidR="00494CDF">
          <w:rPr>
            <w:noProof/>
            <w:webHidden/>
          </w:rPr>
          <w:t>22</w:t>
        </w:r>
        <w:r w:rsidR="00E31FDD">
          <w:rPr>
            <w:noProof/>
            <w:webHidden/>
          </w:rPr>
          <w:fldChar w:fldCharType="end"/>
        </w:r>
      </w:hyperlink>
    </w:p>
    <w:p w:rsidR="00E31FDD" w:rsidRDefault="00B95FAF">
      <w:pPr>
        <w:pStyle w:val="TOC2"/>
        <w:rPr>
          <w:rFonts w:asciiTheme="minorHAnsi" w:eastAsiaTheme="minorEastAsia" w:hAnsiTheme="minorHAnsi" w:cstheme="minorBidi"/>
          <w:bCs w:val="0"/>
          <w:noProof/>
          <w:color w:val="auto"/>
          <w:szCs w:val="22"/>
          <w:lang w:val="en-US"/>
        </w:rPr>
      </w:pPr>
      <w:hyperlink w:anchor="_Toc407617162" w:history="1">
        <w:r w:rsidR="00E31FDD" w:rsidRPr="00404CB3">
          <w:rPr>
            <w:rStyle w:val="Hyperlink"/>
            <w:noProof/>
            <w:snapToGrid w:val="0"/>
            <w:w w:val="0"/>
            <w:lang w:val="sr-Cyrl-RS"/>
          </w:rPr>
          <w:t>1.</w:t>
        </w:r>
        <w:r w:rsidR="00E31FDD">
          <w:rPr>
            <w:rFonts w:asciiTheme="minorHAnsi" w:eastAsiaTheme="minorEastAsia" w:hAnsiTheme="minorHAnsi" w:cstheme="minorBidi"/>
            <w:bCs w:val="0"/>
            <w:noProof/>
            <w:color w:val="auto"/>
            <w:szCs w:val="22"/>
            <w:lang w:val="en-US"/>
          </w:rPr>
          <w:tab/>
        </w:r>
        <w:r w:rsidR="00E31FDD" w:rsidRPr="00404CB3">
          <w:rPr>
            <w:rStyle w:val="Hyperlink"/>
            <w:rFonts w:asciiTheme="majorHAnsi" w:hAnsiTheme="majorHAnsi" w:cs="Calibri"/>
            <w:noProof/>
            <w:lang w:val="sr-Cyrl-RS"/>
            <w14:shadow w14:blurRad="50800" w14:dist="50800" w14:dir="5400000" w14:sx="0" w14:sy="0" w14:kx="0" w14:ky="0" w14:algn="ctr">
              <w14:schemeClr w14:val="accent3"/>
            </w14:shadow>
          </w:rPr>
          <w:t>Средњорочни</w:t>
        </w:r>
        <w:r w:rsidR="00E31FDD" w:rsidRPr="00404CB3">
          <w:rPr>
            <w:rStyle w:val="Hyperlink"/>
            <w:rFonts w:asciiTheme="majorHAnsi" w:hAnsiTheme="majorHAnsi"/>
            <w:noProof/>
            <w:lang w:val="sr-Cyrl-RS"/>
            <w14:shadow w14:blurRad="50800" w14:dist="50800" w14:dir="5400000" w14:sx="0" w14:sy="0" w14:kx="0" w14:ky="0" w14:algn="ctr">
              <w14:schemeClr w14:val="accent3"/>
            </w14:shadow>
          </w:rPr>
          <w:t xml:space="preserve"> </w:t>
        </w:r>
        <w:r w:rsidR="00E31FDD" w:rsidRPr="00404CB3">
          <w:rPr>
            <w:rStyle w:val="Hyperlink"/>
            <w:rFonts w:asciiTheme="majorHAnsi" w:hAnsiTheme="majorHAnsi" w:cs="Calibri"/>
            <w:noProof/>
            <w:lang w:val="sr-Cyrl-RS"/>
            <w14:shadow w14:blurRad="50800" w14:dist="50800" w14:dir="5400000" w14:sx="0" w14:sy="0" w14:kx="0" w14:ky="0" w14:algn="ctr">
              <w14:schemeClr w14:val="accent3"/>
            </w14:shadow>
          </w:rPr>
          <w:t>циљеви</w:t>
        </w:r>
        <w:r w:rsidR="00E31FDD" w:rsidRPr="00404CB3">
          <w:rPr>
            <w:rStyle w:val="Hyperlink"/>
            <w:rFonts w:asciiTheme="majorHAnsi" w:hAnsiTheme="majorHAnsi"/>
            <w:noProof/>
            <w:lang w:val="sr-Cyrl-RS"/>
            <w14:shadow w14:blurRad="50800" w14:dist="50800" w14:dir="5400000" w14:sx="0" w14:sy="0" w14:kx="0" w14:ky="0" w14:algn="ctr">
              <w14:schemeClr w14:val="accent3"/>
            </w14:shadow>
          </w:rPr>
          <w:t xml:space="preserve"> </w:t>
        </w:r>
        <w:r w:rsidR="00E31FDD" w:rsidRPr="00404CB3">
          <w:rPr>
            <w:rStyle w:val="Hyperlink"/>
            <w:rFonts w:asciiTheme="majorHAnsi" w:hAnsiTheme="majorHAnsi" w:cs="Calibri"/>
            <w:noProof/>
            <w:lang w:val="sr-Cyrl-RS"/>
            <w14:shadow w14:blurRad="50800" w14:dist="50800" w14:dir="5400000" w14:sx="0" w14:sy="0" w14:kx="0" w14:ky="0" w14:algn="ctr">
              <w14:schemeClr w14:val="accent3"/>
            </w14:shadow>
          </w:rPr>
          <w:t>фискалне</w:t>
        </w:r>
        <w:r w:rsidR="00E31FDD" w:rsidRPr="00404CB3">
          <w:rPr>
            <w:rStyle w:val="Hyperlink"/>
            <w:rFonts w:asciiTheme="majorHAnsi" w:hAnsiTheme="majorHAnsi"/>
            <w:noProof/>
            <w:lang w:val="sr-Cyrl-RS"/>
            <w14:shadow w14:blurRad="50800" w14:dist="50800" w14:dir="5400000" w14:sx="0" w14:sy="0" w14:kx="0" w14:ky="0" w14:algn="ctr">
              <w14:schemeClr w14:val="accent3"/>
            </w14:shadow>
          </w:rPr>
          <w:t xml:space="preserve"> </w:t>
        </w:r>
        <w:r w:rsidR="00E31FDD" w:rsidRPr="00404CB3">
          <w:rPr>
            <w:rStyle w:val="Hyperlink"/>
            <w:rFonts w:asciiTheme="majorHAnsi" w:hAnsiTheme="majorHAnsi" w:cs="Calibri"/>
            <w:noProof/>
            <w:lang w:val="sr-Cyrl-RS"/>
            <w14:shadow w14:blurRad="50800" w14:dist="50800" w14:dir="5400000" w14:sx="0" w14:sy="0" w14:kx="0" w14:ky="0" w14:algn="ctr">
              <w14:schemeClr w14:val="accent3"/>
            </w14:shadow>
          </w:rPr>
          <w:t>политике</w:t>
        </w:r>
        <w:r w:rsidR="00E31FDD">
          <w:rPr>
            <w:noProof/>
            <w:webHidden/>
          </w:rPr>
          <w:tab/>
        </w:r>
        <w:r w:rsidR="00E31FDD">
          <w:rPr>
            <w:noProof/>
            <w:webHidden/>
          </w:rPr>
          <w:fldChar w:fldCharType="begin"/>
        </w:r>
        <w:r w:rsidR="00E31FDD">
          <w:rPr>
            <w:noProof/>
            <w:webHidden/>
          </w:rPr>
          <w:instrText xml:space="preserve"> PAGEREF _Toc407617162 \h </w:instrText>
        </w:r>
        <w:r w:rsidR="00E31FDD">
          <w:rPr>
            <w:noProof/>
            <w:webHidden/>
          </w:rPr>
        </w:r>
        <w:r w:rsidR="00E31FDD">
          <w:rPr>
            <w:noProof/>
            <w:webHidden/>
          </w:rPr>
          <w:fldChar w:fldCharType="separate"/>
        </w:r>
        <w:r w:rsidR="00494CDF">
          <w:rPr>
            <w:noProof/>
            <w:webHidden/>
          </w:rPr>
          <w:t>22</w:t>
        </w:r>
        <w:r w:rsidR="00E31FDD">
          <w:rPr>
            <w:noProof/>
            <w:webHidden/>
          </w:rPr>
          <w:fldChar w:fldCharType="end"/>
        </w:r>
      </w:hyperlink>
    </w:p>
    <w:p w:rsidR="00E31FDD" w:rsidRDefault="00B95FAF">
      <w:pPr>
        <w:pStyle w:val="TOC2"/>
        <w:rPr>
          <w:rFonts w:asciiTheme="minorHAnsi" w:eastAsiaTheme="minorEastAsia" w:hAnsiTheme="minorHAnsi" w:cstheme="minorBidi"/>
          <w:bCs w:val="0"/>
          <w:noProof/>
          <w:color w:val="auto"/>
          <w:szCs w:val="22"/>
          <w:lang w:val="en-US"/>
        </w:rPr>
      </w:pPr>
      <w:hyperlink w:anchor="_Toc407617163" w:history="1">
        <w:r w:rsidR="00E31FDD" w:rsidRPr="00404CB3">
          <w:rPr>
            <w:rStyle w:val="Hyperlink"/>
            <w:noProof/>
            <w:snapToGrid w:val="0"/>
            <w:w w:val="0"/>
            <w:lang w:val="sr-Cyrl-RS"/>
          </w:rPr>
          <w:t>2.</w:t>
        </w:r>
        <w:r w:rsidR="00E31FDD">
          <w:rPr>
            <w:rFonts w:asciiTheme="minorHAnsi" w:eastAsiaTheme="minorEastAsia" w:hAnsiTheme="minorHAnsi" w:cstheme="minorBidi"/>
            <w:bCs w:val="0"/>
            <w:noProof/>
            <w:color w:val="auto"/>
            <w:szCs w:val="22"/>
            <w:lang w:val="en-US"/>
          </w:rPr>
          <w:tab/>
        </w:r>
        <w:r w:rsidR="00E31FDD" w:rsidRPr="00404CB3">
          <w:rPr>
            <w:rStyle w:val="Hyperlink"/>
            <w:noProof/>
            <w:lang w:val="sr-Cyrl-RS"/>
          </w:rPr>
          <w:t>Фискални оквир у периоду од 2015. до 2017. године</w:t>
        </w:r>
        <w:r w:rsidR="00E31FDD">
          <w:rPr>
            <w:noProof/>
            <w:webHidden/>
          </w:rPr>
          <w:tab/>
        </w:r>
        <w:r w:rsidR="00E31FDD">
          <w:rPr>
            <w:noProof/>
            <w:webHidden/>
          </w:rPr>
          <w:fldChar w:fldCharType="begin"/>
        </w:r>
        <w:r w:rsidR="00E31FDD">
          <w:rPr>
            <w:noProof/>
            <w:webHidden/>
          </w:rPr>
          <w:instrText xml:space="preserve"> PAGEREF _Toc407617163 \h </w:instrText>
        </w:r>
        <w:r w:rsidR="00E31FDD">
          <w:rPr>
            <w:noProof/>
            <w:webHidden/>
          </w:rPr>
        </w:r>
        <w:r w:rsidR="00E31FDD">
          <w:rPr>
            <w:noProof/>
            <w:webHidden/>
          </w:rPr>
          <w:fldChar w:fldCharType="separate"/>
        </w:r>
        <w:r w:rsidR="00494CDF">
          <w:rPr>
            <w:noProof/>
            <w:webHidden/>
          </w:rPr>
          <w:t>23</w:t>
        </w:r>
        <w:r w:rsidR="00E31FDD">
          <w:rPr>
            <w:noProof/>
            <w:webHidden/>
          </w:rPr>
          <w:fldChar w:fldCharType="end"/>
        </w:r>
      </w:hyperlink>
    </w:p>
    <w:p w:rsidR="00E31FDD" w:rsidRDefault="00B95FAF">
      <w:pPr>
        <w:pStyle w:val="TOC3"/>
        <w:rPr>
          <w:rFonts w:asciiTheme="minorHAnsi" w:eastAsiaTheme="minorEastAsia" w:hAnsiTheme="minorHAnsi" w:cstheme="minorBidi"/>
          <w:bCs w:val="0"/>
          <w:noProof/>
          <w:color w:val="auto"/>
          <w:szCs w:val="22"/>
          <w:lang w:val="en-US"/>
        </w:rPr>
      </w:pPr>
      <w:hyperlink w:anchor="_Toc407617164" w:history="1">
        <w:r w:rsidR="00E31FDD" w:rsidRPr="00404CB3">
          <w:rPr>
            <w:rStyle w:val="Hyperlink"/>
            <w:rFonts w:asciiTheme="majorHAnsi" w:hAnsiTheme="majorHAnsi"/>
            <w:noProof/>
            <w:lang w:val="sr-Cyrl-RS"/>
          </w:rPr>
          <w:t>2.1.</w:t>
        </w:r>
        <w:r w:rsidR="00E31FDD">
          <w:rPr>
            <w:rFonts w:asciiTheme="minorHAnsi" w:eastAsiaTheme="minorEastAsia" w:hAnsiTheme="minorHAnsi" w:cstheme="minorBidi"/>
            <w:bCs w:val="0"/>
            <w:noProof/>
            <w:color w:val="auto"/>
            <w:szCs w:val="22"/>
            <w:lang w:val="en-US"/>
          </w:rPr>
          <w:tab/>
        </w:r>
        <w:r w:rsidR="00E31FDD" w:rsidRPr="00404CB3">
          <w:rPr>
            <w:rStyle w:val="Hyperlink"/>
            <w:rFonts w:asciiTheme="majorHAnsi" w:hAnsiTheme="majorHAnsi"/>
            <w:noProof/>
            <w:lang w:val="sr-Cyrl-RS"/>
          </w:rPr>
          <w:t>Фискална кретања у 2013. и 2014. години</w:t>
        </w:r>
        <w:r w:rsidR="00E31FDD">
          <w:rPr>
            <w:noProof/>
            <w:webHidden/>
          </w:rPr>
          <w:tab/>
        </w:r>
        <w:r w:rsidR="00E31FDD">
          <w:rPr>
            <w:noProof/>
            <w:webHidden/>
          </w:rPr>
          <w:fldChar w:fldCharType="begin"/>
        </w:r>
        <w:r w:rsidR="00E31FDD">
          <w:rPr>
            <w:noProof/>
            <w:webHidden/>
          </w:rPr>
          <w:instrText xml:space="preserve"> PAGEREF _Toc407617164 \h </w:instrText>
        </w:r>
        <w:r w:rsidR="00E31FDD">
          <w:rPr>
            <w:noProof/>
            <w:webHidden/>
          </w:rPr>
        </w:r>
        <w:r w:rsidR="00E31FDD">
          <w:rPr>
            <w:noProof/>
            <w:webHidden/>
          </w:rPr>
          <w:fldChar w:fldCharType="separate"/>
        </w:r>
        <w:r w:rsidR="00494CDF">
          <w:rPr>
            <w:noProof/>
            <w:webHidden/>
          </w:rPr>
          <w:t>23</w:t>
        </w:r>
        <w:r w:rsidR="00E31FDD">
          <w:rPr>
            <w:noProof/>
            <w:webHidden/>
          </w:rPr>
          <w:fldChar w:fldCharType="end"/>
        </w:r>
      </w:hyperlink>
    </w:p>
    <w:p w:rsidR="00E31FDD" w:rsidRDefault="00B95FAF">
      <w:pPr>
        <w:pStyle w:val="TOC3"/>
        <w:rPr>
          <w:rFonts w:asciiTheme="minorHAnsi" w:eastAsiaTheme="minorEastAsia" w:hAnsiTheme="minorHAnsi" w:cstheme="minorBidi"/>
          <w:bCs w:val="0"/>
          <w:noProof/>
          <w:color w:val="auto"/>
          <w:szCs w:val="22"/>
          <w:lang w:val="en-US"/>
        </w:rPr>
      </w:pPr>
      <w:hyperlink w:anchor="_Toc407617165" w:history="1">
        <w:r w:rsidR="00E31FDD" w:rsidRPr="00404CB3">
          <w:rPr>
            <w:rStyle w:val="Hyperlink"/>
            <w:rFonts w:asciiTheme="majorHAnsi" w:hAnsiTheme="majorHAnsi"/>
            <w:noProof/>
            <w:lang w:val="sr-Cyrl-RS"/>
          </w:rPr>
          <w:t>2.2.</w:t>
        </w:r>
        <w:r w:rsidR="00E31FDD">
          <w:rPr>
            <w:rFonts w:asciiTheme="minorHAnsi" w:eastAsiaTheme="minorEastAsia" w:hAnsiTheme="minorHAnsi" w:cstheme="minorBidi"/>
            <w:bCs w:val="0"/>
            <w:noProof/>
            <w:color w:val="auto"/>
            <w:szCs w:val="22"/>
            <w:lang w:val="en-US"/>
          </w:rPr>
          <w:tab/>
        </w:r>
        <w:r w:rsidR="00E31FDD" w:rsidRPr="00404CB3">
          <w:rPr>
            <w:rStyle w:val="Hyperlink"/>
            <w:rFonts w:asciiTheme="majorHAnsi" w:hAnsiTheme="majorHAnsi"/>
            <w:noProof/>
            <w:lang w:val="sr-Cyrl-RS"/>
          </w:rPr>
          <w:t>Фискалне пројекције у периоду од 2015. до 2017. године</w:t>
        </w:r>
        <w:r w:rsidR="00E31FDD">
          <w:rPr>
            <w:noProof/>
            <w:webHidden/>
          </w:rPr>
          <w:tab/>
        </w:r>
        <w:r w:rsidR="00E31FDD">
          <w:rPr>
            <w:noProof/>
            <w:webHidden/>
          </w:rPr>
          <w:fldChar w:fldCharType="begin"/>
        </w:r>
        <w:r w:rsidR="00E31FDD">
          <w:rPr>
            <w:noProof/>
            <w:webHidden/>
          </w:rPr>
          <w:instrText xml:space="preserve"> PAGEREF _Toc407617165 \h </w:instrText>
        </w:r>
        <w:r w:rsidR="00E31FDD">
          <w:rPr>
            <w:noProof/>
            <w:webHidden/>
          </w:rPr>
        </w:r>
        <w:r w:rsidR="00E31FDD">
          <w:rPr>
            <w:noProof/>
            <w:webHidden/>
          </w:rPr>
          <w:fldChar w:fldCharType="separate"/>
        </w:r>
        <w:r w:rsidR="00494CDF">
          <w:rPr>
            <w:noProof/>
            <w:webHidden/>
          </w:rPr>
          <w:t>29</w:t>
        </w:r>
        <w:r w:rsidR="00E31FDD">
          <w:rPr>
            <w:noProof/>
            <w:webHidden/>
          </w:rPr>
          <w:fldChar w:fldCharType="end"/>
        </w:r>
      </w:hyperlink>
    </w:p>
    <w:p w:rsidR="00E31FDD" w:rsidRDefault="00B95FAF">
      <w:pPr>
        <w:pStyle w:val="TOC3"/>
        <w:rPr>
          <w:rFonts w:asciiTheme="minorHAnsi" w:eastAsiaTheme="minorEastAsia" w:hAnsiTheme="minorHAnsi" w:cstheme="minorBidi"/>
          <w:bCs w:val="0"/>
          <w:noProof/>
          <w:color w:val="auto"/>
          <w:szCs w:val="22"/>
          <w:lang w:val="en-US"/>
        </w:rPr>
      </w:pPr>
      <w:hyperlink w:anchor="_Toc407617166" w:history="1">
        <w:r w:rsidR="00E31FDD" w:rsidRPr="00404CB3">
          <w:rPr>
            <w:rStyle w:val="Hyperlink"/>
            <w:rFonts w:asciiTheme="majorHAnsi" w:hAnsiTheme="majorHAnsi"/>
            <w:noProof/>
            <w:lang w:val="sr-Cyrl-RS"/>
          </w:rPr>
          <w:t>2.3.</w:t>
        </w:r>
        <w:r w:rsidR="00E31FDD">
          <w:rPr>
            <w:rFonts w:asciiTheme="minorHAnsi" w:eastAsiaTheme="minorEastAsia" w:hAnsiTheme="minorHAnsi" w:cstheme="minorBidi"/>
            <w:bCs w:val="0"/>
            <w:noProof/>
            <w:color w:val="auto"/>
            <w:szCs w:val="22"/>
            <w:lang w:val="en-US"/>
          </w:rPr>
          <w:tab/>
        </w:r>
        <w:r w:rsidR="00E31FDD" w:rsidRPr="00404CB3">
          <w:rPr>
            <w:rStyle w:val="Hyperlink"/>
            <w:rFonts w:asciiTheme="majorHAnsi" w:hAnsiTheme="majorHAnsi"/>
            <w:noProof/>
            <w:lang w:val="sr-Cyrl-RS"/>
          </w:rPr>
          <w:t>Програм за смањење дуга</w:t>
        </w:r>
        <w:r w:rsidR="00E31FDD">
          <w:rPr>
            <w:noProof/>
            <w:webHidden/>
          </w:rPr>
          <w:tab/>
        </w:r>
        <w:r w:rsidR="00E31FDD">
          <w:rPr>
            <w:noProof/>
            <w:webHidden/>
          </w:rPr>
          <w:fldChar w:fldCharType="begin"/>
        </w:r>
        <w:r w:rsidR="00E31FDD">
          <w:rPr>
            <w:noProof/>
            <w:webHidden/>
          </w:rPr>
          <w:instrText xml:space="preserve"> PAGEREF _Toc407617166 \h </w:instrText>
        </w:r>
        <w:r w:rsidR="00E31FDD">
          <w:rPr>
            <w:noProof/>
            <w:webHidden/>
          </w:rPr>
        </w:r>
        <w:r w:rsidR="00E31FDD">
          <w:rPr>
            <w:noProof/>
            <w:webHidden/>
          </w:rPr>
          <w:fldChar w:fldCharType="separate"/>
        </w:r>
        <w:r w:rsidR="00494CDF">
          <w:rPr>
            <w:noProof/>
            <w:webHidden/>
          </w:rPr>
          <w:t>38</w:t>
        </w:r>
        <w:r w:rsidR="00E31FDD">
          <w:rPr>
            <w:noProof/>
            <w:webHidden/>
          </w:rPr>
          <w:fldChar w:fldCharType="end"/>
        </w:r>
      </w:hyperlink>
    </w:p>
    <w:p w:rsidR="00E31FDD" w:rsidRDefault="00B95FAF">
      <w:pPr>
        <w:pStyle w:val="TOC3"/>
        <w:rPr>
          <w:rFonts w:asciiTheme="minorHAnsi" w:eastAsiaTheme="minorEastAsia" w:hAnsiTheme="minorHAnsi" w:cstheme="minorBidi"/>
          <w:bCs w:val="0"/>
          <w:noProof/>
          <w:color w:val="auto"/>
          <w:szCs w:val="22"/>
          <w:lang w:val="en-US"/>
        </w:rPr>
      </w:pPr>
      <w:hyperlink w:anchor="_Toc407617167" w:history="1">
        <w:r w:rsidR="00E31FDD" w:rsidRPr="00404CB3">
          <w:rPr>
            <w:rStyle w:val="Hyperlink"/>
            <w:rFonts w:asciiTheme="majorHAnsi" w:hAnsiTheme="majorHAnsi"/>
            <w:noProof/>
            <w:lang w:val="sr-Cyrl-RS"/>
          </w:rPr>
          <w:t>2.4.</w:t>
        </w:r>
        <w:r w:rsidR="00E31FDD">
          <w:rPr>
            <w:rFonts w:asciiTheme="minorHAnsi" w:eastAsiaTheme="minorEastAsia" w:hAnsiTheme="minorHAnsi" w:cstheme="minorBidi"/>
            <w:bCs w:val="0"/>
            <w:noProof/>
            <w:color w:val="auto"/>
            <w:szCs w:val="22"/>
            <w:lang w:val="en-US"/>
          </w:rPr>
          <w:tab/>
        </w:r>
        <w:r w:rsidR="00E31FDD" w:rsidRPr="00404CB3">
          <w:rPr>
            <w:rStyle w:val="Hyperlink"/>
            <w:rFonts w:asciiTheme="majorHAnsi" w:hAnsiTheme="majorHAnsi"/>
            <w:noProof/>
            <w:lang w:val="sr-Cyrl-RS"/>
          </w:rPr>
          <w:t>Фискални ризици</w:t>
        </w:r>
        <w:r w:rsidR="00E31FDD">
          <w:rPr>
            <w:noProof/>
            <w:webHidden/>
          </w:rPr>
          <w:tab/>
        </w:r>
        <w:r w:rsidR="00E31FDD">
          <w:rPr>
            <w:noProof/>
            <w:webHidden/>
          </w:rPr>
          <w:fldChar w:fldCharType="begin"/>
        </w:r>
        <w:r w:rsidR="00E31FDD">
          <w:rPr>
            <w:noProof/>
            <w:webHidden/>
          </w:rPr>
          <w:instrText xml:space="preserve"> PAGEREF _Toc407617167 \h </w:instrText>
        </w:r>
        <w:r w:rsidR="00E31FDD">
          <w:rPr>
            <w:noProof/>
            <w:webHidden/>
          </w:rPr>
        </w:r>
        <w:r w:rsidR="00E31FDD">
          <w:rPr>
            <w:noProof/>
            <w:webHidden/>
          </w:rPr>
          <w:fldChar w:fldCharType="separate"/>
        </w:r>
        <w:r w:rsidR="00494CDF">
          <w:rPr>
            <w:noProof/>
            <w:webHidden/>
          </w:rPr>
          <w:t>42</w:t>
        </w:r>
        <w:r w:rsidR="00E31FDD">
          <w:rPr>
            <w:noProof/>
            <w:webHidden/>
          </w:rPr>
          <w:fldChar w:fldCharType="end"/>
        </w:r>
      </w:hyperlink>
    </w:p>
    <w:p w:rsidR="00E31FDD" w:rsidRDefault="00B95FAF">
      <w:pPr>
        <w:pStyle w:val="TOC3"/>
        <w:rPr>
          <w:rFonts w:asciiTheme="minorHAnsi" w:eastAsiaTheme="minorEastAsia" w:hAnsiTheme="minorHAnsi" w:cstheme="minorBidi"/>
          <w:bCs w:val="0"/>
          <w:noProof/>
          <w:color w:val="auto"/>
          <w:szCs w:val="22"/>
          <w:lang w:val="en-US"/>
        </w:rPr>
      </w:pPr>
      <w:hyperlink w:anchor="_Toc407617168" w:history="1">
        <w:r w:rsidR="00E31FDD" w:rsidRPr="00404CB3">
          <w:rPr>
            <w:rStyle w:val="Hyperlink"/>
            <w:rFonts w:asciiTheme="majorHAnsi" w:hAnsiTheme="majorHAnsi"/>
            <w:noProof/>
            <w:lang w:val="sr-Cyrl-RS"/>
          </w:rPr>
          <w:t>2.5.</w:t>
        </w:r>
        <w:r w:rsidR="00E31FDD">
          <w:rPr>
            <w:rFonts w:asciiTheme="minorHAnsi" w:eastAsiaTheme="minorEastAsia" w:hAnsiTheme="minorHAnsi" w:cstheme="minorBidi"/>
            <w:bCs w:val="0"/>
            <w:noProof/>
            <w:color w:val="auto"/>
            <w:szCs w:val="22"/>
            <w:lang w:val="en-US"/>
          </w:rPr>
          <w:tab/>
        </w:r>
        <w:r w:rsidR="00E31FDD" w:rsidRPr="00404CB3">
          <w:rPr>
            <w:rStyle w:val="Hyperlink"/>
            <w:rFonts w:asciiTheme="majorHAnsi" w:hAnsiTheme="majorHAnsi"/>
            <w:noProof/>
            <w:lang w:val="sr-Cyrl-RS"/>
          </w:rPr>
          <w:t>Циклично прилагођени фискални баланс</w:t>
        </w:r>
        <w:r w:rsidR="00E31FDD">
          <w:rPr>
            <w:noProof/>
            <w:webHidden/>
          </w:rPr>
          <w:tab/>
        </w:r>
        <w:r w:rsidR="00E31FDD">
          <w:rPr>
            <w:noProof/>
            <w:webHidden/>
          </w:rPr>
          <w:fldChar w:fldCharType="begin"/>
        </w:r>
        <w:r w:rsidR="00E31FDD">
          <w:rPr>
            <w:noProof/>
            <w:webHidden/>
          </w:rPr>
          <w:instrText xml:space="preserve"> PAGEREF _Toc407617168 \h </w:instrText>
        </w:r>
        <w:r w:rsidR="00E31FDD">
          <w:rPr>
            <w:noProof/>
            <w:webHidden/>
          </w:rPr>
        </w:r>
        <w:r w:rsidR="00E31FDD">
          <w:rPr>
            <w:noProof/>
            <w:webHidden/>
          </w:rPr>
          <w:fldChar w:fldCharType="separate"/>
        </w:r>
        <w:r w:rsidR="00494CDF">
          <w:rPr>
            <w:noProof/>
            <w:webHidden/>
          </w:rPr>
          <w:t>44</w:t>
        </w:r>
        <w:r w:rsidR="00E31FDD">
          <w:rPr>
            <w:noProof/>
            <w:webHidden/>
          </w:rPr>
          <w:fldChar w:fldCharType="end"/>
        </w:r>
      </w:hyperlink>
    </w:p>
    <w:p w:rsidR="00E31FDD" w:rsidRDefault="00B95FAF">
      <w:pPr>
        <w:pStyle w:val="TOC1"/>
        <w:rPr>
          <w:rFonts w:asciiTheme="minorHAnsi" w:eastAsiaTheme="minorEastAsia" w:hAnsiTheme="minorHAnsi" w:cstheme="minorBidi"/>
          <w:bCs w:val="0"/>
          <w:noProof/>
          <w:color w:val="auto"/>
          <w:szCs w:val="22"/>
          <w:lang w:val="en-US"/>
        </w:rPr>
      </w:pPr>
      <w:hyperlink w:anchor="_Toc407617169" w:history="1">
        <w:r w:rsidR="00E31FDD" w:rsidRPr="00404CB3">
          <w:rPr>
            <w:rStyle w:val="Hyperlink"/>
            <w:noProof/>
            <w:lang w:val="sr-Cyrl-RS"/>
          </w:rPr>
          <w:t>III.</w:t>
        </w:r>
        <w:r w:rsidR="00E31FDD">
          <w:rPr>
            <w:rFonts w:asciiTheme="minorHAnsi" w:eastAsiaTheme="minorEastAsia" w:hAnsiTheme="minorHAnsi" w:cstheme="minorBidi"/>
            <w:bCs w:val="0"/>
            <w:noProof/>
            <w:color w:val="auto"/>
            <w:szCs w:val="22"/>
            <w:lang w:val="en-US"/>
          </w:rPr>
          <w:tab/>
        </w:r>
        <w:r w:rsidR="00E31FDD" w:rsidRPr="00404CB3">
          <w:rPr>
            <w:rStyle w:val="Hyperlink"/>
            <w:noProof/>
            <w:lang w:val="sr-Cyrl-RS"/>
          </w:rPr>
          <w:t>Стратегија управљања јавним дугом од 2015. до 2017. године</w:t>
        </w:r>
        <w:r w:rsidR="00E31FDD">
          <w:rPr>
            <w:noProof/>
            <w:webHidden/>
          </w:rPr>
          <w:tab/>
        </w:r>
        <w:r w:rsidR="00E31FDD">
          <w:rPr>
            <w:noProof/>
            <w:webHidden/>
          </w:rPr>
          <w:fldChar w:fldCharType="begin"/>
        </w:r>
        <w:r w:rsidR="00E31FDD">
          <w:rPr>
            <w:noProof/>
            <w:webHidden/>
          </w:rPr>
          <w:instrText xml:space="preserve"> PAGEREF _Toc407617169 \h </w:instrText>
        </w:r>
        <w:r w:rsidR="00E31FDD">
          <w:rPr>
            <w:noProof/>
            <w:webHidden/>
          </w:rPr>
        </w:r>
        <w:r w:rsidR="00E31FDD">
          <w:rPr>
            <w:noProof/>
            <w:webHidden/>
          </w:rPr>
          <w:fldChar w:fldCharType="separate"/>
        </w:r>
        <w:r w:rsidR="00494CDF">
          <w:rPr>
            <w:noProof/>
            <w:webHidden/>
          </w:rPr>
          <w:t>48</w:t>
        </w:r>
        <w:r w:rsidR="00E31FDD">
          <w:rPr>
            <w:noProof/>
            <w:webHidden/>
          </w:rPr>
          <w:fldChar w:fldCharType="end"/>
        </w:r>
      </w:hyperlink>
    </w:p>
    <w:p w:rsidR="00E31FDD" w:rsidRDefault="00B95FAF">
      <w:pPr>
        <w:pStyle w:val="TOC2"/>
        <w:rPr>
          <w:rFonts w:asciiTheme="minorHAnsi" w:eastAsiaTheme="minorEastAsia" w:hAnsiTheme="minorHAnsi" w:cstheme="minorBidi"/>
          <w:bCs w:val="0"/>
          <w:noProof/>
          <w:color w:val="auto"/>
          <w:szCs w:val="22"/>
          <w:lang w:val="en-US"/>
        </w:rPr>
      </w:pPr>
      <w:hyperlink w:anchor="_Toc407617170" w:history="1">
        <w:r w:rsidR="00E31FDD" w:rsidRPr="00404CB3">
          <w:rPr>
            <w:rStyle w:val="Hyperlink"/>
            <w:noProof/>
            <w:snapToGrid w:val="0"/>
            <w:w w:val="0"/>
            <w:lang w:val="sr-Cyrl-RS"/>
          </w:rPr>
          <w:t>1.</w:t>
        </w:r>
        <w:r w:rsidR="00E31FDD">
          <w:rPr>
            <w:rFonts w:asciiTheme="minorHAnsi" w:eastAsiaTheme="minorEastAsia" w:hAnsiTheme="minorHAnsi" w:cstheme="minorBidi"/>
            <w:bCs w:val="0"/>
            <w:noProof/>
            <w:color w:val="auto"/>
            <w:szCs w:val="22"/>
            <w:lang w:val="en-US"/>
          </w:rPr>
          <w:tab/>
        </w:r>
        <w:r w:rsidR="00E31FDD" w:rsidRPr="00404CB3">
          <w:rPr>
            <w:rStyle w:val="Hyperlink"/>
            <w:noProof/>
            <w:lang w:val="sr-Cyrl-RS"/>
          </w:rPr>
          <w:t>Стање и структура јавног дуга у периоду крај 2011 - октобар 2014. године</w:t>
        </w:r>
        <w:r w:rsidR="00E31FDD">
          <w:rPr>
            <w:noProof/>
            <w:webHidden/>
          </w:rPr>
          <w:tab/>
        </w:r>
        <w:r w:rsidR="00E31FDD">
          <w:rPr>
            <w:noProof/>
            <w:webHidden/>
          </w:rPr>
          <w:fldChar w:fldCharType="begin"/>
        </w:r>
        <w:r w:rsidR="00E31FDD">
          <w:rPr>
            <w:noProof/>
            <w:webHidden/>
          </w:rPr>
          <w:instrText xml:space="preserve"> PAGEREF _Toc407617170 \h </w:instrText>
        </w:r>
        <w:r w:rsidR="00E31FDD">
          <w:rPr>
            <w:noProof/>
            <w:webHidden/>
          </w:rPr>
        </w:r>
        <w:r w:rsidR="00E31FDD">
          <w:rPr>
            <w:noProof/>
            <w:webHidden/>
          </w:rPr>
          <w:fldChar w:fldCharType="separate"/>
        </w:r>
        <w:r w:rsidR="00494CDF">
          <w:rPr>
            <w:noProof/>
            <w:webHidden/>
          </w:rPr>
          <w:t>49</w:t>
        </w:r>
        <w:r w:rsidR="00E31FDD">
          <w:rPr>
            <w:noProof/>
            <w:webHidden/>
          </w:rPr>
          <w:fldChar w:fldCharType="end"/>
        </w:r>
      </w:hyperlink>
    </w:p>
    <w:p w:rsidR="00E31FDD" w:rsidRDefault="00B95FAF">
      <w:pPr>
        <w:pStyle w:val="TOC2"/>
        <w:rPr>
          <w:rFonts w:asciiTheme="minorHAnsi" w:eastAsiaTheme="minorEastAsia" w:hAnsiTheme="minorHAnsi" w:cstheme="minorBidi"/>
          <w:bCs w:val="0"/>
          <w:noProof/>
          <w:color w:val="auto"/>
          <w:szCs w:val="22"/>
          <w:lang w:val="en-US"/>
        </w:rPr>
      </w:pPr>
      <w:hyperlink w:anchor="_Toc407617171" w:history="1">
        <w:r w:rsidR="00E31FDD" w:rsidRPr="00404CB3">
          <w:rPr>
            <w:rStyle w:val="Hyperlink"/>
            <w:noProof/>
            <w:snapToGrid w:val="0"/>
            <w:w w:val="0"/>
            <w:lang w:val="sr-Cyrl-RS"/>
          </w:rPr>
          <w:t>2.</w:t>
        </w:r>
        <w:r w:rsidR="00E31FDD">
          <w:rPr>
            <w:rFonts w:asciiTheme="minorHAnsi" w:eastAsiaTheme="minorEastAsia" w:hAnsiTheme="minorHAnsi" w:cstheme="minorBidi"/>
            <w:bCs w:val="0"/>
            <w:noProof/>
            <w:color w:val="auto"/>
            <w:szCs w:val="22"/>
            <w:lang w:val="en-US"/>
          </w:rPr>
          <w:tab/>
        </w:r>
        <w:r w:rsidR="00E31FDD" w:rsidRPr="00404CB3">
          <w:rPr>
            <w:rStyle w:val="Hyperlink"/>
            <w:noProof/>
            <w:lang w:val="sr-Cyrl-RS"/>
          </w:rPr>
          <w:t>Пројекција стања јавног дуга опште државе у периоду 2014</w:t>
        </w:r>
        <w:r w:rsidR="00E31FDD" w:rsidRPr="00404CB3">
          <w:rPr>
            <w:rStyle w:val="Hyperlink"/>
            <w:noProof/>
            <w:lang w:val="sr-Latn-RS"/>
          </w:rPr>
          <w:t xml:space="preserve"> </w:t>
        </w:r>
        <w:r w:rsidR="00E31FDD" w:rsidRPr="00404CB3">
          <w:rPr>
            <w:rStyle w:val="Hyperlink"/>
            <w:noProof/>
            <w:lang w:val="sr-Cyrl-RS"/>
          </w:rPr>
          <w:t>-</w:t>
        </w:r>
        <w:r w:rsidR="00E31FDD" w:rsidRPr="00404CB3">
          <w:rPr>
            <w:rStyle w:val="Hyperlink"/>
            <w:noProof/>
            <w:lang w:val="sr-Latn-RS"/>
          </w:rPr>
          <w:t xml:space="preserve"> </w:t>
        </w:r>
        <w:r w:rsidR="00E31FDD" w:rsidRPr="00404CB3">
          <w:rPr>
            <w:rStyle w:val="Hyperlink"/>
            <w:noProof/>
            <w:lang w:val="sr-Cyrl-RS"/>
          </w:rPr>
          <w:t>2017. године</w:t>
        </w:r>
        <w:r w:rsidR="00E31FDD">
          <w:rPr>
            <w:noProof/>
            <w:webHidden/>
          </w:rPr>
          <w:tab/>
        </w:r>
        <w:r w:rsidR="00E31FDD">
          <w:rPr>
            <w:noProof/>
            <w:webHidden/>
          </w:rPr>
          <w:fldChar w:fldCharType="begin"/>
        </w:r>
        <w:r w:rsidR="00E31FDD">
          <w:rPr>
            <w:noProof/>
            <w:webHidden/>
          </w:rPr>
          <w:instrText xml:space="preserve"> PAGEREF _Toc407617171 \h </w:instrText>
        </w:r>
        <w:r w:rsidR="00E31FDD">
          <w:rPr>
            <w:noProof/>
            <w:webHidden/>
          </w:rPr>
        </w:r>
        <w:r w:rsidR="00E31FDD">
          <w:rPr>
            <w:noProof/>
            <w:webHidden/>
          </w:rPr>
          <w:fldChar w:fldCharType="separate"/>
        </w:r>
        <w:r w:rsidR="00494CDF">
          <w:rPr>
            <w:noProof/>
            <w:webHidden/>
          </w:rPr>
          <w:t>65</w:t>
        </w:r>
        <w:r w:rsidR="00E31FDD">
          <w:rPr>
            <w:noProof/>
            <w:webHidden/>
          </w:rPr>
          <w:fldChar w:fldCharType="end"/>
        </w:r>
      </w:hyperlink>
    </w:p>
    <w:p w:rsidR="00E31FDD" w:rsidRDefault="00B95FAF">
      <w:pPr>
        <w:pStyle w:val="TOC2"/>
        <w:rPr>
          <w:rFonts w:asciiTheme="minorHAnsi" w:eastAsiaTheme="minorEastAsia" w:hAnsiTheme="minorHAnsi" w:cstheme="minorBidi"/>
          <w:bCs w:val="0"/>
          <w:noProof/>
          <w:color w:val="auto"/>
          <w:szCs w:val="22"/>
          <w:lang w:val="en-US"/>
        </w:rPr>
      </w:pPr>
      <w:hyperlink w:anchor="_Toc407617172" w:history="1">
        <w:r w:rsidR="00E31FDD" w:rsidRPr="00404CB3">
          <w:rPr>
            <w:rStyle w:val="Hyperlink"/>
            <w:noProof/>
            <w:snapToGrid w:val="0"/>
            <w:w w:val="0"/>
            <w:lang w:val="sr-Cyrl-RS" w:eastAsia="ko-KR"/>
          </w:rPr>
          <w:t>3.</w:t>
        </w:r>
        <w:r w:rsidR="00E31FDD">
          <w:rPr>
            <w:rFonts w:asciiTheme="minorHAnsi" w:eastAsiaTheme="minorEastAsia" w:hAnsiTheme="minorHAnsi" w:cstheme="minorBidi"/>
            <w:bCs w:val="0"/>
            <w:noProof/>
            <w:color w:val="auto"/>
            <w:szCs w:val="22"/>
            <w:lang w:val="en-US"/>
          </w:rPr>
          <w:tab/>
        </w:r>
        <w:r w:rsidR="00E31FDD" w:rsidRPr="00404CB3">
          <w:rPr>
            <w:rStyle w:val="Hyperlink"/>
            <w:noProof/>
            <w:lang w:val="sr-Cyrl-RS" w:eastAsia="ko-KR"/>
          </w:rPr>
          <w:t>Финансијски ризици и јавни дуг</w:t>
        </w:r>
        <w:r w:rsidR="00E31FDD">
          <w:rPr>
            <w:noProof/>
            <w:webHidden/>
          </w:rPr>
          <w:tab/>
        </w:r>
        <w:r w:rsidR="00E31FDD">
          <w:rPr>
            <w:noProof/>
            <w:webHidden/>
          </w:rPr>
          <w:fldChar w:fldCharType="begin"/>
        </w:r>
        <w:r w:rsidR="00E31FDD">
          <w:rPr>
            <w:noProof/>
            <w:webHidden/>
          </w:rPr>
          <w:instrText xml:space="preserve"> PAGEREF _Toc407617172 \h </w:instrText>
        </w:r>
        <w:r w:rsidR="00E31FDD">
          <w:rPr>
            <w:noProof/>
            <w:webHidden/>
          </w:rPr>
        </w:r>
        <w:r w:rsidR="00E31FDD">
          <w:rPr>
            <w:noProof/>
            <w:webHidden/>
          </w:rPr>
          <w:fldChar w:fldCharType="separate"/>
        </w:r>
        <w:r w:rsidR="00494CDF">
          <w:rPr>
            <w:noProof/>
            <w:webHidden/>
          </w:rPr>
          <w:t>73</w:t>
        </w:r>
        <w:r w:rsidR="00E31FDD">
          <w:rPr>
            <w:noProof/>
            <w:webHidden/>
          </w:rPr>
          <w:fldChar w:fldCharType="end"/>
        </w:r>
      </w:hyperlink>
    </w:p>
    <w:p w:rsidR="00E31FDD" w:rsidRDefault="00B95FAF">
      <w:pPr>
        <w:pStyle w:val="TOC1"/>
        <w:rPr>
          <w:rFonts w:asciiTheme="minorHAnsi" w:eastAsiaTheme="minorEastAsia" w:hAnsiTheme="minorHAnsi" w:cstheme="minorBidi"/>
          <w:bCs w:val="0"/>
          <w:noProof/>
          <w:color w:val="auto"/>
          <w:szCs w:val="22"/>
          <w:lang w:val="en-US"/>
        </w:rPr>
      </w:pPr>
      <w:hyperlink w:anchor="_Toc407617173" w:history="1">
        <w:r w:rsidR="00E31FDD" w:rsidRPr="00404CB3">
          <w:rPr>
            <w:rStyle w:val="Hyperlink"/>
            <w:noProof/>
            <w:lang w:val="sr-Cyrl-RS"/>
          </w:rPr>
          <w:t>IV.</w:t>
        </w:r>
        <w:r w:rsidR="00E31FDD">
          <w:rPr>
            <w:rFonts w:asciiTheme="minorHAnsi" w:eastAsiaTheme="minorEastAsia" w:hAnsiTheme="minorHAnsi" w:cstheme="minorBidi"/>
            <w:bCs w:val="0"/>
            <w:noProof/>
            <w:color w:val="auto"/>
            <w:szCs w:val="22"/>
            <w:lang w:val="en-US"/>
          </w:rPr>
          <w:tab/>
        </w:r>
        <w:r w:rsidR="00E31FDD" w:rsidRPr="00404CB3">
          <w:rPr>
            <w:rStyle w:val="Hyperlink"/>
            <w:noProof/>
            <w:lang w:val="sr-Cyrl-RS"/>
          </w:rPr>
          <w:t>Структурне реформе у периоду од 2015. до 2017. године</w:t>
        </w:r>
        <w:r w:rsidR="00E31FDD">
          <w:rPr>
            <w:noProof/>
            <w:webHidden/>
          </w:rPr>
          <w:tab/>
        </w:r>
        <w:r w:rsidR="00E31FDD">
          <w:rPr>
            <w:noProof/>
            <w:webHidden/>
          </w:rPr>
          <w:fldChar w:fldCharType="begin"/>
        </w:r>
        <w:r w:rsidR="00E31FDD">
          <w:rPr>
            <w:noProof/>
            <w:webHidden/>
          </w:rPr>
          <w:instrText xml:space="preserve"> PAGEREF _Toc407617173 \h </w:instrText>
        </w:r>
        <w:r w:rsidR="00E31FDD">
          <w:rPr>
            <w:noProof/>
            <w:webHidden/>
          </w:rPr>
        </w:r>
        <w:r w:rsidR="00E31FDD">
          <w:rPr>
            <w:noProof/>
            <w:webHidden/>
          </w:rPr>
          <w:fldChar w:fldCharType="separate"/>
        </w:r>
        <w:r w:rsidR="00494CDF">
          <w:rPr>
            <w:noProof/>
            <w:webHidden/>
          </w:rPr>
          <w:t>81</w:t>
        </w:r>
        <w:r w:rsidR="00E31FDD">
          <w:rPr>
            <w:noProof/>
            <w:webHidden/>
          </w:rPr>
          <w:fldChar w:fldCharType="end"/>
        </w:r>
      </w:hyperlink>
    </w:p>
    <w:p w:rsidR="00E31FDD" w:rsidRDefault="00B95FAF">
      <w:pPr>
        <w:pStyle w:val="TOC2"/>
        <w:rPr>
          <w:rFonts w:asciiTheme="minorHAnsi" w:eastAsiaTheme="minorEastAsia" w:hAnsiTheme="minorHAnsi" w:cstheme="minorBidi"/>
          <w:bCs w:val="0"/>
          <w:noProof/>
          <w:color w:val="auto"/>
          <w:szCs w:val="22"/>
          <w:lang w:val="en-US"/>
        </w:rPr>
      </w:pPr>
      <w:hyperlink w:anchor="_Toc407617174" w:history="1">
        <w:r w:rsidR="00E31FDD" w:rsidRPr="00404CB3">
          <w:rPr>
            <w:rStyle w:val="Hyperlink"/>
            <w:rFonts w:asciiTheme="majorHAnsi" w:hAnsiTheme="majorHAnsi" w:cs="Calibri"/>
            <w:iCs/>
            <w:noProof/>
            <w:lang w:val="sr-Cyrl-RS"/>
          </w:rPr>
          <w:t>1. Структурне реформе реалног сектора</w:t>
        </w:r>
        <w:r w:rsidR="00E31FDD">
          <w:rPr>
            <w:noProof/>
            <w:webHidden/>
          </w:rPr>
          <w:tab/>
        </w:r>
        <w:r w:rsidR="00E31FDD">
          <w:rPr>
            <w:noProof/>
            <w:webHidden/>
          </w:rPr>
          <w:fldChar w:fldCharType="begin"/>
        </w:r>
        <w:r w:rsidR="00E31FDD">
          <w:rPr>
            <w:noProof/>
            <w:webHidden/>
          </w:rPr>
          <w:instrText xml:space="preserve"> PAGEREF _Toc407617174 \h </w:instrText>
        </w:r>
        <w:r w:rsidR="00E31FDD">
          <w:rPr>
            <w:noProof/>
            <w:webHidden/>
          </w:rPr>
        </w:r>
        <w:r w:rsidR="00E31FDD">
          <w:rPr>
            <w:noProof/>
            <w:webHidden/>
          </w:rPr>
          <w:fldChar w:fldCharType="separate"/>
        </w:r>
        <w:r w:rsidR="00494CDF">
          <w:rPr>
            <w:noProof/>
            <w:webHidden/>
          </w:rPr>
          <w:t>81</w:t>
        </w:r>
        <w:r w:rsidR="00E31FDD">
          <w:rPr>
            <w:noProof/>
            <w:webHidden/>
          </w:rPr>
          <w:fldChar w:fldCharType="end"/>
        </w:r>
      </w:hyperlink>
    </w:p>
    <w:p w:rsidR="00E31FDD" w:rsidRDefault="00B95FAF">
      <w:pPr>
        <w:pStyle w:val="TOC2"/>
        <w:rPr>
          <w:rFonts w:asciiTheme="minorHAnsi" w:eastAsiaTheme="minorEastAsia" w:hAnsiTheme="minorHAnsi" w:cstheme="minorBidi"/>
          <w:bCs w:val="0"/>
          <w:noProof/>
          <w:color w:val="auto"/>
          <w:szCs w:val="22"/>
          <w:lang w:val="en-US"/>
        </w:rPr>
      </w:pPr>
      <w:hyperlink w:anchor="_Toc407617175" w:history="1">
        <w:r w:rsidR="00E31FDD" w:rsidRPr="00404CB3">
          <w:rPr>
            <w:rStyle w:val="Hyperlink"/>
            <w:noProof/>
            <w:lang w:val="sr-Cyrl-RS"/>
          </w:rPr>
          <w:t>2. Структурне реформе јавног сектора</w:t>
        </w:r>
        <w:r w:rsidR="00E31FDD">
          <w:rPr>
            <w:noProof/>
            <w:webHidden/>
          </w:rPr>
          <w:tab/>
        </w:r>
        <w:r w:rsidR="00E31FDD">
          <w:rPr>
            <w:noProof/>
            <w:webHidden/>
          </w:rPr>
          <w:fldChar w:fldCharType="begin"/>
        </w:r>
        <w:r w:rsidR="00E31FDD">
          <w:rPr>
            <w:noProof/>
            <w:webHidden/>
          </w:rPr>
          <w:instrText xml:space="preserve"> PAGEREF _Toc407617175 \h </w:instrText>
        </w:r>
        <w:r w:rsidR="00E31FDD">
          <w:rPr>
            <w:noProof/>
            <w:webHidden/>
          </w:rPr>
        </w:r>
        <w:r w:rsidR="00E31FDD">
          <w:rPr>
            <w:noProof/>
            <w:webHidden/>
          </w:rPr>
          <w:fldChar w:fldCharType="separate"/>
        </w:r>
        <w:r w:rsidR="00494CDF">
          <w:rPr>
            <w:noProof/>
            <w:webHidden/>
          </w:rPr>
          <w:t>84</w:t>
        </w:r>
        <w:r w:rsidR="00E31FDD">
          <w:rPr>
            <w:noProof/>
            <w:webHidden/>
          </w:rPr>
          <w:fldChar w:fldCharType="end"/>
        </w:r>
      </w:hyperlink>
    </w:p>
    <w:p w:rsidR="00B26A04" w:rsidRPr="00171A80" w:rsidRDefault="00D113BB" w:rsidP="00B26A04">
      <w:pPr>
        <w:spacing w:after="0"/>
        <w:ind w:left="284"/>
        <w:rPr>
          <w:rFonts w:asciiTheme="majorHAnsi" w:hAnsiTheme="majorHAnsi"/>
          <w:color w:val="808080" w:themeColor="background1" w:themeShade="80"/>
          <w:lang w:val="sr-Cyrl-RS"/>
        </w:rPr>
      </w:pPr>
      <w:r w:rsidRPr="00171A80">
        <w:rPr>
          <w:rFonts w:asciiTheme="majorHAnsi" w:hAnsiTheme="majorHAnsi"/>
          <w:color w:val="808080" w:themeColor="background1" w:themeShade="80"/>
          <w:szCs w:val="22"/>
          <w:lang w:val="sr-Cyrl-RS"/>
        </w:rPr>
        <w:fldChar w:fldCharType="end"/>
      </w:r>
    </w:p>
    <w:p w:rsidR="00D829C6" w:rsidRPr="00171A80" w:rsidRDefault="00D829C6" w:rsidP="00D829C6">
      <w:pPr>
        <w:pStyle w:val="IFS2012tekst"/>
        <w:ind w:firstLine="0"/>
        <w:rPr>
          <w:rFonts w:asciiTheme="majorHAnsi" w:hAnsiTheme="majorHAnsi" w:cs="Calibri"/>
          <w:color w:val="7F7F7F" w:themeColor="text1" w:themeTint="80"/>
          <w:lang w:val="sr-Cyrl-RS"/>
        </w:rPr>
      </w:pPr>
    </w:p>
    <w:p w:rsidR="00D829C6" w:rsidRPr="00171A80" w:rsidRDefault="00D829C6" w:rsidP="00265292">
      <w:pPr>
        <w:pStyle w:val="IFS2012tekst"/>
        <w:rPr>
          <w:rFonts w:asciiTheme="majorHAnsi" w:hAnsiTheme="majorHAnsi" w:cs="Calibri"/>
          <w:color w:val="7F7F7F" w:themeColor="text1" w:themeTint="80"/>
          <w:lang w:val="sr-Cyrl-RS"/>
        </w:rPr>
      </w:pPr>
    </w:p>
    <w:p w:rsidR="001E34A9" w:rsidRDefault="001E34A9">
      <w:pPr>
        <w:spacing w:after="0"/>
        <w:ind w:firstLine="0"/>
        <w:jc w:val="left"/>
        <w:rPr>
          <w:rFonts w:asciiTheme="majorHAnsi" w:hAnsiTheme="majorHAnsi" w:cs="Calibri"/>
          <w:color w:val="7F7F7F" w:themeColor="text1" w:themeTint="80"/>
          <w:lang w:val="sr-Cyrl-RS"/>
        </w:rPr>
      </w:pPr>
    </w:p>
    <w:p w:rsidR="001E34A9" w:rsidRDefault="001E34A9">
      <w:pPr>
        <w:spacing w:after="0"/>
        <w:ind w:firstLine="0"/>
        <w:jc w:val="left"/>
        <w:rPr>
          <w:rFonts w:asciiTheme="majorHAnsi" w:hAnsiTheme="majorHAnsi" w:cs="Calibri"/>
          <w:color w:val="7F7F7F" w:themeColor="text1" w:themeTint="80"/>
          <w:lang w:val="sr-Cyrl-RS"/>
        </w:rPr>
      </w:pPr>
    </w:p>
    <w:p w:rsidR="001E34A9" w:rsidRDefault="001E34A9">
      <w:pPr>
        <w:spacing w:after="0"/>
        <w:ind w:firstLine="0"/>
        <w:jc w:val="left"/>
        <w:rPr>
          <w:rFonts w:asciiTheme="majorHAnsi" w:hAnsiTheme="majorHAnsi" w:cs="Calibri"/>
          <w:color w:val="7F7F7F" w:themeColor="text1" w:themeTint="80"/>
          <w:lang w:val="sr-Cyrl-RS"/>
        </w:rPr>
      </w:pPr>
    </w:p>
    <w:p w:rsidR="001E34A9" w:rsidRDefault="001E34A9">
      <w:pPr>
        <w:spacing w:after="0"/>
        <w:ind w:firstLine="0"/>
        <w:jc w:val="left"/>
        <w:rPr>
          <w:rFonts w:asciiTheme="majorHAnsi" w:hAnsiTheme="majorHAnsi" w:cs="Calibri"/>
          <w:color w:val="7F7F7F" w:themeColor="text1" w:themeTint="80"/>
          <w:lang w:val="sr-Cyrl-RS"/>
        </w:rPr>
      </w:pPr>
    </w:p>
    <w:p w:rsidR="001E34A9" w:rsidRDefault="001E34A9">
      <w:pPr>
        <w:spacing w:after="0"/>
        <w:ind w:firstLine="0"/>
        <w:jc w:val="left"/>
        <w:rPr>
          <w:rFonts w:asciiTheme="majorHAnsi" w:hAnsiTheme="majorHAnsi" w:cs="Calibri"/>
          <w:color w:val="7F7F7F" w:themeColor="text1" w:themeTint="80"/>
          <w:lang w:val="sr-Cyrl-RS"/>
        </w:rPr>
      </w:pPr>
    </w:p>
    <w:p w:rsidR="001E34A9" w:rsidRDefault="001E34A9">
      <w:pPr>
        <w:spacing w:after="0"/>
        <w:ind w:firstLine="0"/>
        <w:jc w:val="left"/>
        <w:rPr>
          <w:rFonts w:asciiTheme="majorHAnsi" w:hAnsiTheme="majorHAnsi" w:cs="Calibri"/>
          <w:color w:val="7F7F7F" w:themeColor="text1" w:themeTint="80"/>
          <w:lang w:val="sr-Cyrl-RS"/>
        </w:rPr>
      </w:pPr>
    </w:p>
    <w:p w:rsidR="001E34A9" w:rsidRDefault="001E34A9">
      <w:pPr>
        <w:spacing w:after="0"/>
        <w:ind w:firstLine="0"/>
        <w:jc w:val="left"/>
        <w:rPr>
          <w:rFonts w:asciiTheme="majorHAnsi" w:hAnsiTheme="majorHAnsi" w:cs="Calibri"/>
          <w:color w:val="7F7F7F" w:themeColor="text1" w:themeTint="80"/>
          <w:lang w:val="sr-Cyrl-RS"/>
        </w:rPr>
      </w:pPr>
    </w:p>
    <w:p w:rsidR="001E34A9" w:rsidRDefault="00F74EED" w:rsidP="001E34A9">
      <w:pPr>
        <w:spacing w:after="0"/>
        <w:ind w:firstLine="0"/>
        <w:rPr>
          <w:rFonts w:asciiTheme="majorHAnsi" w:hAnsiTheme="majorHAnsi" w:cs="Calibri"/>
          <w:color w:val="7F7F7F" w:themeColor="text1" w:themeTint="80"/>
        </w:rPr>
      </w:pPr>
      <w:r w:rsidRPr="00F74EED">
        <w:rPr>
          <w:rFonts w:asciiTheme="majorHAnsi" w:hAnsiTheme="majorHAnsi" w:cs="Calibri"/>
          <w:color w:val="7F7F7F" w:themeColor="text1" w:themeTint="80"/>
        </w:rPr>
        <w:lastRenderedPageBreak/>
        <w:t>На основу члана 27в став 1. Закона о буџетском систему („Службени гласник РС”, бр. 54/09, 73/10, 101/10, 101/11, 93/12, 62/13, 63/13-исправка, 108/13 и 142/14),</w:t>
      </w:r>
    </w:p>
    <w:p w:rsidR="001E34A9" w:rsidRDefault="001E34A9">
      <w:pPr>
        <w:spacing w:after="0"/>
        <w:ind w:firstLine="0"/>
        <w:jc w:val="left"/>
        <w:rPr>
          <w:rFonts w:asciiTheme="majorHAnsi" w:hAnsiTheme="majorHAnsi" w:cs="Calibri"/>
          <w:color w:val="7F7F7F" w:themeColor="text1" w:themeTint="80"/>
        </w:rPr>
      </w:pPr>
    </w:p>
    <w:p w:rsidR="001E34A9" w:rsidRDefault="001E34A9">
      <w:pPr>
        <w:spacing w:after="0"/>
        <w:ind w:firstLine="0"/>
        <w:jc w:val="left"/>
        <w:rPr>
          <w:rFonts w:asciiTheme="majorHAnsi" w:hAnsiTheme="majorHAnsi" w:cs="Calibri"/>
          <w:color w:val="7F7F7F" w:themeColor="text1" w:themeTint="80"/>
          <w:lang w:val="sr-Cyrl-RS"/>
        </w:rPr>
      </w:pPr>
      <w:r>
        <w:rPr>
          <w:rFonts w:asciiTheme="majorHAnsi" w:hAnsiTheme="majorHAnsi" w:cs="Calibri"/>
          <w:color w:val="7F7F7F" w:themeColor="text1" w:themeTint="80"/>
          <w:lang w:val="sr-Cyrl-RS"/>
        </w:rPr>
        <w:t>Влада усваја,</w:t>
      </w:r>
    </w:p>
    <w:p w:rsidR="001E34A9" w:rsidRPr="000A04FB" w:rsidRDefault="001E34A9">
      <w:pPr>
        <w:spacing w:after="0"/>
        <w:ind w:firstLine="0"/>
        <w:jc w:val="left"/>
        <w:rPr>
          <w:rFonts w:asciiTheme="majorHAnsi" w:hAnsiTheme="majorHAnsi" w:cs="Calibri"/>
          <w:color w:val="76923C" w:themeColor="accent3" w:themeShade="BF"/>
          <w:lang w:val="sr-Cyrl-RS"/>
        </w:rPr>
      </w:pPr>
    </w:p>
    <w:p w:rsidR="001E34A9" w:rsidRPr="000A04FB" w:rsidRDefault="000A04FB" w:rsidP="001E34A9">
      <w:pPr>
        <w:spacing w:after="0"/>
        <w:ind w:firstLine="0"/>
        <w:jc w:val="center"/>
        <w:rPr>
          <w:rFonts w:asciiTheme="majorHAnsi" w:hAnsiTheme="majorHAnsi" w:cs="Calibri"/>
          <w:b/>
          <w:color w:val="76923C" w:themeColor="accent3" w:themeShade="BF"/>
          <w:sz w:val="30"/>
          <w:szCs w:val="30"/>
          <w:lang w:val="sr-Cyrl-RS"/>
        </w:rPr>
      </w:pPr>
      <w:r w:rsidRPr="000A04FB">
        <w:rPr>
          <w:rFonts w:asciiTheme="majorHAnsi" w:hAnsiTheme="majorHAnsi" w:cs="Calibri"/>
          <w:b/>
          <w:color w:val="76923C" w:themeColor="accent3" w:themeShade="BF"/>
          <w:sz w:val="30"/>
          <w:szCs w:val="30"/>
          <w:lang w:val="sr-Cyrl-RS"/>
        </w:rPr>
        <w:t xml:space="preserve">ФИСКАЛНУ СТРАТЕГИЈУ </w:t>
      </w:r>
    </w:p>
    <w:p w:rsidR="00D829C6" w:rsidRPr="000A04FB" w:rsidRDefault="000A04FB" w:rsidP="001E34A9">
      <w:pPr>
        <w:spacing w:after="0"/>
        <w:ind w:firstLine="0"/>
        <w:jc w:val="center"/>
        <w:rPr>
          <w:rFonts w:asciiTheme="majorHAnsi" w:hAnsiTheme="majorHAnsi" w:cs="Calibri"/>
          <w:b/>
          <w:color w:val="76923C" w:themeColor="accent3" w:themeShade="BF"/>
          <w:sz w:val="30"/>
          <w:szCs w:val="30"/>
          <w:lang w:val="sr-Cyrl-RS"/>
        </w:rPr>
      </w:pPr>
      <w:r w:rsidRPr="000A04FB">
        <w:rPr>
          <w:rFonts w:asciiTheme="majorHAnsi" w:hAnsiTheme="majorHAnsi" w:cs="Calibri"/>
          <w:b/>
          <w:color w:val="76923C" w:themeColor="accent3" w:themeShade="BF"/>
          <w:sz w:val="30"/>
          <w:szCs w:val="30"/>
          <w:lang w:val="sr-Cyrl-RS"/>
        </w:rPr>
        <w:t>ЗА 2015. ГОДИНУ СА ПРОЈЕКЦИЈАМА ЗА 2016. И 2017. ГОДИНУ</w:t>
      </w:r>
      <w:bookmarkStart w:id="0" w:name="_Toc289941625"/>
      <w:bookmarkStart w:id="1" w:name="_Toc291669933"/>
      <w:bookmarkStart w:id="2" w:name="_Toc318705116"/>
      <w:bookmarkStart w:id="3" w:name="_Toc334096123"/>
      <w:bookmarkStart w:id="4" w:name="_Toc334099423"/>
      <w:bookmarkStart w:id="5" w:name="_Toc337117106"/>
    </w:p>
    <w:p w:rsidR="000A04FB" w:rsidRPr="001E34A9" w:rsidRDefault="000A04FB" w:rsidP="006D67D3">
      <w:pPr>
        <w:spacing w:after="0"/>
        <w:ind w:firstLine="0"/>
        <w:rPr>
          <w:rFonts w:asciiTheme="majorHAnsi" w:hAnsiTheme="majorHAnsi" w:cs="Calibri"/>
          <w:b/>
          <w:color w:val="4F6228" w:themeColor="accent3" w:themeShade="80"/>
          <w:sz w:val="32"/>
          <w:szCs w:val="32"/>
          <w:lang w:val="sr-Cyrl-RS"/>
        </w:rPr>
      </w:pPr>
    </w:p>
    <w:p w:rsidR="006A1B3A" w:rsidRPr="00171A80" w:rsidRDefault="006A1B3A" w:rsidP="001E34A9">
      <w:pPr>
        <w:pStyle w:val="IFS2012naslov1"/>
        <w:keepNext w:val="0"/>
        <w:rPr>
          <w:lang w:val="sr-Cyrl-RS" w:bidi="en-US"/>
        </w:rPr>
      </w:pPr>
      <w:bookmarkStart w:id="6" w:name="_Toc407617154"/>
      <w:r w:rsidRPr="00171A80">
        <w:rPr>
          <w:lang w:val="sr-Cyrl-RS"/>
        </w:rPr>
        <w:t>Макроекономски оквир за период од 201</w:t>
      </w:r>
      <w:r w:rsidR="00C37371" w:rsidRPr="00171A80">
        <w:rPr>
          <w:lang w:val="sr-Cyrl-RS"/>
        </w:rPr>
        <w:t>5</w:t>
      </w:r>
      <w:r w:rsidRPr="00171A80">
        <w:rPr>
          <w:lang w:val="sr-Cyrl-RS"/>
        </w:rPr>
        <w:t>. до 201</w:t>
      </w:r>
      <w:r w:rsidR="00C37371" w:rsidRPr="00171A80">
        <w:rPr>
          <w:lang w:val="sr-Cyrl-RS"/>
        </w:rPr>
        <w:t>7</w:t>
      </w:r>
      <w:r w:rsidRPr="00171A80">
        <w:rPr>
          <w:lang w:val="sr-Cyrl-RS"/>
        </w:rPr>
        <w:t xml:space="preserve">. </w:t>
      </w:r>
      <w:bookmarkEnd w:id="0"/>
      <w:bookmarkEnd w:id="1"/>
      <w:r w:rsidRPr="00171A80">
        <w:rPr>
          <w:lang w:val="sr-Cyrl-RS"/>
        </w:rPr>
        <w:t>године</w:t>
      </w:r>
      <w:bookmarkStart w:id="7" w:name="_Toc318705117"/>
      <w:bookmarkEnd w:id="2"/>
      <w:bookmarkEnd w:id="3"/>
      <w:bookmarkEnd w:id="4"/>
      <w:bookmarkEnd w:id="5"/>
      <w:bookmarkEnd w:id="6"/>
    </w:p>
    <w:p w:rsidR="006A1B3A" w:rsidRPr="00171A80" w:rsidRDefault="006A1B3A" w:rsidP="003E033B">
      <w:pPr>
        <w:pStyle w:val="IFS2012naslov1"/>
        <w:numPr>
          <w:ilvl w:val="0"/>
          <w:numId w:val="0"/>
        </w:numPr>
        <w:ind w:left="502"/>
        <w:rPr>
          <w:lang w:val="sr-Cyrl-RS"/>
        </w:rPr>
      </w:pPr>
    </w:p>
    <w:p w:rsidR="000A04FB" w:rsidRDefault="009A4B9E" w:rsidP="003274D9">
      <w:pPr>
        <w:pStyle w:val="IFS2012Naslov2"/>
        <w:rPr>
          <w:lang w:val="sr-Cyrl-RS"/>
        </w:rPr>
      </w:pPr>
      <w:bookmarkStart w:id="8" w:name="_Toc407617155"/>
      <w:bookmarkStart w:id="9" w:name="_Toc318705118"/>
      <w:bookmarkEnd w:id="7"/>
      <w:r w:rsidRPr="00171A80">
        <w:rPr>
          <w:lang w:val="sr-Cyrl-RS"/>
        </w:rPr>
        <w:t>Општи оквир и главни циљеви</w:t>
      </w:r>
      <w:r w:rsidR="001447B1" w:rsidRPr="00171A80">
        <w:rPr>
          <w:lang w:val="sr-Cyrl-RS"/>
        </w:rPr>
        <w:t xml:space="preserve"> и смернице</w:t>
      </w:r>
      <w:r w:rsidRPr="00171A80">
        <w:rPr>
          <w:lang w:val="sr-Cyrl-RS"/>
        </w:rPr>
        <w:t xml:space="preserve"> економске политике</w:t>
      </w:r>
      <w:bookmarkEnd w:id="8"/>
    </w:p>
    <w:p w:rsidR="000A04FB" w:rsidRPr="000A04FB" w:rsidRDefault="000A04FB" w:rsidP="003274D9">
      <w:pPr>
        <w:pStyle w:val="IFS2012Naslov2"/>
        <w:numPr>
          <w:ilvl w:val="0"/>
          <w:numId w:val="0"/>
        </w:numPr>
        <w:ind w:left="720"/>
        <w:rPr>
          <w:lang w:val="sr-Cyrl-RS"/>
        </w:rPr>
      </w:pPr>
    </w:p>
    <w:p w:rsidR="00F55BBF" w:rsidRPr="00F55BBF" w:rsidRDefault="00F55BBF" w:rsidP="00F55BBF">
      <w:pPr>
        <w:pStyle w:val="IFS2012tekst"/>
        <w:rPr>
          <w:bCs/>
          <w:noProof/>
          <w:color w:val="7F7F7F" w:themeColor="text1" w:themeTint="80"/>
          <w:szCs w:val="21"/>
          <w:lang w:val="sr-Cyrl-RS" w:bidi="en-US"/>
        </w:rPr>
      </w:pPr>
      <w:bookmarkStart w:id="10" w:name="_Toc334096130"/>
      <w:bookmarkStart w:id="11" w:name="_Toc334099431"/>
      <w:bookmarkStart w:id="12" w:name="_Toc337117113"/>
      <w:bookmarkEnd w:id="9"/>
      <w:r w:rsidRPr="00F55BBF">
        <w:rPr>
          <w:bCs/>
          <w:noProof/>
          <w:color w:val="7F7F7F" w:themeColor="text1" w:themeTint="80"/>
          <w:szCs w:val="21"/>
          <w:lang w:val="sr-Cyrl-RS" w:bidi="en-US"/>
        </w:rPr>
        <w:t xml:space="preserve">Влада је стратешки оријентисана на процес европских интеграција ради бржег стицања статуса пуноправног члана ЕУ. Општи оквир економске политике за период од 2015. до 2017. године утврђен је развојним документима Владе као што су: Споразум о стабилизацији и придруживању између Европских заједница и њихових држава чланица, са једне стране, и Републике Србије са друге стране (у даљем тексту: ССП), Национални програм за усвајање правних тековина Европске уније (2013 - 2016), опште и секторске националне развојне стратегије, Фискална стратегија за </w:t>
      </w:r>
      <w:r w:rsidRPr="00F55BBF">
        <w:rPr>
          <w:bCs/>
          <w:noProof/>
          <w:color w:val="7F7F7F" w:themeColor="text1" w:themeTint="80"/>
          <w:szCs w:val="21"/>
          <w:lang w:bidi="en-US"/>
        </w:rPr>
        <w:t xml:space="preserve">2015. годину са пројекцијама за </w:t>
      </w:r>
      <w:r w:rsidRPr="00F55BBF">
        <w:rPr>
          <w:bCs/>
          <w:noProof/>
          <w:color w:val="7F7F7F" w:themeColor="text1" w:themeTint="80"/>
          <w:szCs w:val="21"/>
          <w:lang w:val="sr-Cyrl-RS" w:bidi="en-US"/>
        </w:rPr>
        <w:t>201</w:t>
      </w:r>
      <w:r w:rsidRPr="00F55BBF">
        <w:rPr>
          <w:bCs/>
          <w:noProof/>
          <w:color w:val="7F7F7F" w:themeColor="text1" w:themeTint="80"/>
          <w:szCs w:val="21"/>
          <w:lang w:bidi="en-US"/>
        </w:rPr>
        <w:t xml:space="preserve">6. и </w:t>
      </w:r>
      <w:r w:rsidRPr="00F55BBF">
        <w:rPr>
          <w:bCs/>
          <w:noProof/>
          <w:color w:val="7F7F7F" w:themeColor="text1" w:themeTint="80"/>
          <w:szCs w:val="21"/>
          <w:lang w:val="sr-Cyrl-RS" w:bidi="en-US"/>
        </w:rPr>
        <w:t>2017. годин</w:t>
      </w:r>
      <w:r w:rsidRPr="00F55BBF">
        <w:rPr>
          <w:bCs/>
          <w:noProof/>
          <w:color w:val="7F7F7F" w:themeColor="text1" w:themeTint="80"/>
          <w:szCs w:val="21"/>
          <w:lang w:bidi="en-US"/>
        </w:rPr>
        <w:t>у</w:t>
      </w:r>
      <w:r w:rsidRPr="00F55BBF">
        <w:rPr>
          <w:bCs/>
          <w:noProof/>
          <w:color w:val="7F7F7F" w:themeColor="text1" w:themeTint="80"/>
          <w:szCs w:val="21"/>
          <w:lang w:val="sr-Cyrl-RS" w:bidi="en-US"/>
        </w:rPr>
        <w:t>. Ради задовољавања економских и политичких критеријума за чланство у Европској унији (ЕУ) обезбедиће се јачање административних капацитета и стабилност институција које гарантују демократију, владавину права, поштовање људских права и заштиту мањина, развој тржишне економије и јачање њених капацитета да одговори на притисак конкуренције и тржишних снага из ЕУ, као и стварање стабилног економског и монетарног окружења. У складу са стратешким развојним оквиром опредељена је економска политика за наредни средњорочни период.</w:t>
      </w:r>
    </w:p>
    <w:p w:rsidR="003A2BD7" w:rsidRPr="003A2BD7" w:rsidRDefault="003A2BD7" w:rsidP="003A2BD7">
      <w:pPr>
        <w:pStyle w:val="IFS2012tekst"/>
        <w:rPr>
          <w:bCs/>
          <w:noProof/>
          <w:color w:val="7F7F7F" w:themeColor="text1" w:themeTint="80"/>
          <w:szCs w:val="21"/>
          <w:lang w:val="sr-Cyrl-RS" w:bidi="en-US"/>
        </w:rPr>
      </w:pPr>
      <w:r w:rsidRPr="003A2BD7">
        <w:rPr>
          <w:bCs/>
          <w:noProof/>
          <w:color w:val="7F7F7F" w:themeColor="text1" w:themeTint="80"/>
          <w:szCs w:val="21"/>
          <w:lang w:val="sr-Cyrl-RS" w:bidi="en-US"/>
        </w:rPr>
        <w:t>Основни циљеви економске политике у наредном средњорочном периоду су:</w:t>
      </w:r>
    </w:p>
    <w:p w:rsidR="003A2BD7" w:rsidRPr="003A2BD7" w:rsidRDefault="00F55BBF" w:rsidP="003A2BD7">
      <w:pPr>
        <w:pStyle w:val="IFS2012tekst"/>
        <w:numPr>
          <w:ilvl w:val="0"/>
          <w:numId w:val="18"/>
        </w:numPr>
        <w:rPr>
          <w:bCs/>
          <w:noProof/>
          <w:color w:val="7F7F7F" w:themeColor="text1" w:themeTint="80"/>
          <w:szCs w:val="21"/>
          <w:lang w:val="sr-Cyrl-RS" w:bidi="en-US"/>
        </w:rPr>
      </w:pPr>
      <w:r w:rsidRPr="00F55BBF">
        <w:rPr>
          <w:bCs/>
          <w:noProof/>
          <w:color w:val="7F7F7F" w:themeColor="text1" w:themeTint="80"/>
          <w:szCs w:val="21"/>
          <w:lang w:bidi="en-US"/>
        </w:rPr>
        <w:t>успостављање макроекономске стабилности спровођењем мера фискалне консолидације и јачањем стабилности финансијског сектора</w:t>
      </w:r>
      <w:r w:rsidR="003A2BD7" w:rsidRPr="003A2BD7">
        <w:rPr>
          <w:bCs/>
          <w:noProof/>
          <w:color w:val="7F7F7F" w:themeColor="text1" w:themeTint="80"/>
          <w:szCs w:val="21"/>
          <w:lang w:val="sr-Cyrl-RS" w:bidi="en-US"/>
        </w:rPr>
        <w:t>;</w:t>
      </w:r>
    </w:p>
    <w:p w:rsidR="003A2BD7" w:rsidRPr="003A2BD7" w:rsidRDefault="00F55BBF" w:rsidP="003A2BD7">
      <w:pPr>
        <w:pStyle w:val="IFS2012tekst"/>
        <w:numPr>
          <w:ilvl w:val="0"/>
          <w:numId w:val="18"/>
        </w:numPr>
        <w:rPr>
          <w:bCs/>
          <w:noProof/>
          <w:color w:val="7F7F7F" w:themeColor="text1" w:themeTint="80"/>
          <w:szCs w:val="21"/>
          <w:lang w:val="sr-Cyrl-RS" w:bidi="en-US"/>
        </w:rPr>
      </w:pPr>
      <w:r w:rsidRPr="00F55BBF">
        <w:rPr>
          <w:bCs/>
          <w:noProof/>
          <w:color w:val="7F7F7F" w:themeColor="text1" w:themeTint="80"/>
          <w:szCs w:val="21"/>
          <w:lang w:bidi="en-US"/>
        </w:rPr>
        <w:t>отклањање препрека расту привредне активности и конкурентности спровођењем свеобухватних структурних реформи</w:t>
      </w:r>
      <w:r w:rsidR="003A2BD7" w:rsidRPr="003A2BD7">
        <w:rPr>
          <w:bCs/>
          <w:noProof/>
          <w:color w:val="7F7F7F" w:themeColor="text1" w:themeTint="80"/>
          <w:szCs w:val="21"/>
          <w:lang w:val="sr-Cyrl-RS" w:bidi="en-US"/>
        </w:rPr>
        <w:t>.</w:t>
      </w:r>
    </w:p>
    <w:p w:rsidR="003A2BD7" w:rsidRDefault="00F55BBF" w:rsidP="003A2BD7">
      <w:pPr>
        <w:pStyle w:val="IFS2012tekst"/>
        <w:rPr>
          <w:bCs/>
          <w:noProof/>
          <w:color w:val="7F7F7F" w:themeColor="text1" w:themeTint="80"/>
          <w:szCs w:val="21"/>
          <w:lang w:val="sr-Cyrl-RS" w:bidi="en-US"/>
        </w:rPr>
      </w:pPr>
      <w:r w:rsidRPr="00F55BBF">
        <w:rPr>
          <w:bCs/>
          <w:noProof/>
          <w:color w:val="7F7F7F" w:themeColor="text1" w:themeTint="80"/>
          <w:szCs w:val="21"/>
          <w:lang w:bidi="en-US"/>
        </w:rPr>
        <w:t>Влада, у наредном периоду, водиће економску политику усмерену на креирање стабилног и предвидивог пословног амбијента неопходног за раст привредне активности и повећање удела приватног сектора у производњи, запошљавању и инвестицијама. У том циљу, у претходном периоду, усвојен је већи број реформских закона чија примена треба да доведе до отклањања структурних слабости привреде и стварања основе за дугорочно одржив раст. Међу најзначајнијим законским решењима су Закон о изменама и допунама Закона о раду, Закон о приватизацији, Закон о изменама и допунама Закона о стечају, Закон о изменама и допунама Закона о планирању и изградњи, Закон о изменама и допунама Закона о пензијском и инвалидском осигурању и др</w:t>
      </w:r>
      <w:r w:rsidR="003A2BD7" w:rsidRPr="003A2BD7">
        <w:rPr>
          <w:bCs/>
          <w:noProof/>
          <w:color w:val="7F7F7F" w:themeColor="text1" w:themeTint="80"/>
          <w:szCs w:val="21"/>
          <w:lang w:val="sr-Cyrl-RS" w:bidi="en-US"/>
        </w:rPr>
        <w:t xml:space="preserve">. </w:t>
      </w:r>
    </w:p>
    <w:p w:rsidR="00F55BBF" w:rsidRPr="00F55BBF" w:rsidRDefault="00F55BBF" w:rsidP="00F55BBF">
      <w:pPr>
        <w:pStyle w:val="IFS2012tekst"/>
        <w:rPr>
          <w:bCs/>
          <w:noProof/>
          <w:color w:val="7F7F7F" w:themeColor="text1" w:themeTint="80"/>
          <w:szCs w:val="21"/>
          <w:lang w:val="sr-Cyrl-RS" w:bidi="en-US"/>
        </w:rPr>
      </w:pPr>
      <w:r w:rsidRPr="00F55BBF">
        <w:rPr>
          <w:bCs/>
          <w:noProof/>
          <w:color w:val="7F7F7F" w:themeColor="text1" w:themeTint="80"/>
          <w:szCs w:val="21"/>
          <w:lang w:val="sr-Cyrl-RS" w:bidi="en-US"/>
        </w:rPr>
        <w:t xml:space="preserve">Економском реструктурирању српске привреде значајно ће допринети смањење нерационалне јавне потрошње и промена модела финансирања инвестиција чиме би се подстакао привредни раст и запошљавање. У томе кључну улогу има фискална политика и стабилност националне валуте, активније привлачење страних инвестиција, спречавање одлива девиза сивим каналима, дестимулисање непотребног увоза, подстицање предузећа да супституишу увоз и јачају извозну понуду. Посебна пажња посветиће се стварању пословног амбијента стимулативног за привреднике и инвеститоре и стварању услова за лакше пословање. Убрзаће се преостале економске реформе како би се пословно окружење побољшало, посебно оснаживањем владавине права и додатним смањивањем </w:t>
      </w:r>
      <w:r w:rsidRPr="00F55BBF">
        <w:rPr>
          <w:bCs/>
          <w:noProof/>
          <w:color w:val="7F7F7F" w:themeColor="text1" w:themeTint="80"/>
          <w:szCs w:val="21"/>
          <w:lang w:val="sr-Cyrl-RS" w:bidi="en-US"/>
        </w:rPr>
        <w:lastRenderedPageBreak/>
        <w:t>нефлексибилних услова на тржишту рада. Циљ је успостављање пословног окружења које ће омогућити пораст страних и домаћих инвестиција, убрзање реструктурирања привреде и повећање продуктивности и конкурентности привреде.</w:t>
      </w:r>
    </w:p>
    <w:p w:rsidR="00F55BBF" w:rsidRPr="00F55BBF" w:rsidRDefault="00F55BBF" w:rsidP="00F55BBF">
      <w:pPr>
        <w:pStyle w:val="IFS2012tekst"/>
        <w:rPr>
          <w:bCs/>
          <w:noProof/>
          <w:color w:val="7F7F7F" w:themeColor="text1" w:themeTint="80"/>
          <w:szCs w:val="21"/>
          <w:lang w:val="sr-Cyrl-RS" w:bidi="en-US"/>
        </w:rPr>
      </w:pPr>
      <w:r w:rsidRPr="00F55BBF">
        <w:rPr>
          <w:bCs/>
          <w:noProof/>
          <w:color w:val="7F7F7F" w:themeColor="text1" w:themeTint="80"/>
          <w:szCs w:val="21"/>
          <w:lang w:val="sr-Cyrl-RS" w:bidi="en-US"/>
        </w:rPr>
        <w:t>Ради постизања макроекономске стабилности и остваривања привредног раста, Влада је направила значајан заокрет у вођењу фискалне политике. Експанзивну фискалну политику замењује рестриктивна, са одговарајућим ефектима већ у овој години, као резултат усвојених мера којима је ограничен раст највећих категорија расхода уз повећање одређених пореских стопа. У наредном периоду рестриктивност фискалне политике подразумева спровођење усвојеног програма фискалне консолидације, који ће обезбедити смањење високог фискалног дефицита и стабилизацију дуга опште државе до 2017. године. Смањивањем нерационалне потрошње, бирократије и непотребних трошкова државе створиће се могућност за повећање инвестиционе активности како би се подстакао привредни раст и запошљавање, уз очување нивоа социјалне заштите најугроженијих слојева друштва. У томе кључну улогу имају фискална политика и свеобухватна реформа привредног система.</w:t>
      </w:r>
    </w:p>
    <w:p w:rsidR="003A2BD7" w:rsidRPr="003A2BD7" w:rsidRDefault="00F55BBF" w:rsidP="00F55BBF">
      <w:pPr>
        <w:pStyle w:val="IFS2012tekst"/>
        <w:rPr>
          <w:bCs/>
          <w:noProof/>
          <w:color w:val="7F7F7F" w:themeColor="text1" w:themeTint="80"/>
          <w:szCs w:val="21"/>
          <w:lang w:val="sr-Cyrl-RS" w:bidi="en-US"/>
        </w:rPr>
      </w:pPr>
      <w:r w:rsidRPr="00F55BBF">
        <w:rPr>
          <w:bCs/>
          <w:noProof/>
          <w:color w:val="7F7F7F" w:themeColor="text1" w:themeTint="80"/>
          <w:szCs w:val="21"/>
          <w:lang w:bidi="en-US"/>
        </w:rPr>
        <w:t>С обзиром на тренд раста јавног дуга и растуће трошкове финансирања, у наредне три године фискална политика ће се заснивати на спровођењу мера за смањење расхода, борби против сиве економије и подизању ефикасности наплате јавних прихода као и планираним реформама у домену јавног сектора, посебно јавних предузећа. Приликом смањења буџетских расхода водиће се рачуна да се очувају извори потенцијалног раста и да се побољша ефикасност јавне потрошње.</w:t>
      </w:r>
    </w:p>
    <w:p w:rsidR="003A2BD7" w:rsidRPr="003A2BD7" w:rsidRDefault="003A2BD7" w:rsidP="003A2BD7">
      <w:pPr>
        <w:pStyle w:val="IFS2012tekst"/>
        <w:rPr>
          <w:bCs/>
          <w:noProof/>
          <w:color w:val="7F7F7F" w:themeColor="text1" w:themeTint="80"/>
          <w:szCs w:val="21"/>
          <w:lang w:val="sr-Cyrl-RS" w:bidi="en-US"/>
        </w:rPr>
      </w:pPr>
      <w:r w:rsidRPr="003A2BD7">
        <w:rPr>
          <w:bCs/>
          <w:noProof/>
          <w:color w:val="7F7F7F" w:themeColor="text1" w:themeTint="80"/>
          <w:szCs w:val="21"/>
          <w:lang w:val="sr-Cyrl-RS" w:bidi="en-US"/>
        </w:rPr>
        <w:t xml:space="preserve">Основни циљеви фискалне политике у наредном периоду су: </w:t>
      </w:r>
    </w:p>
    <w:p w:rsidR="003A2BD7" w:rsidRPr="003A2BD7" w:rsidRDefault="003A2BD7" w:rsidP="003A2BD7">
      <w:pPr>
        <w:pStyle w:val="IFS2012tekst"/>
        <w:numPr>
          <w:ilvl w:val="0"/>
          <w:numId w:val="19"/>
        </w:numPr>
        <w:rPr>
          <w:bCs/>
          <w:noProof/>
          <w:color w:val="7F7F7F" w:themeColor="text1" w:themeTint="80"/>
          <w:szCs w:val="21"/>
          <w:lang w:val="sr-Cyrl-RS" w:bidi="en-US"/>
        </w:rPr>
      </w:pPr>
      <w:r w:rsidRPr="003A2BD7">
        <w:rPr>
          <w:bCs/>
          <w:noProof/>
          <w:color w:val="7F7F7F" w:themeColor="text1" w:themeTint="80"/>
          <w:szCs w:val="21"/>
          <w:lang w:val="sr-Cyrl-RS" w:bidi="en-US"/>
        </w:rPr>
        <w:t>снижавање удела јавних расхода, фискалног дефицита и јавног дуга у БДП;</w:t>
      </w:r>
    </w:p>
    <w:p w:rsidR="003A2BD7" w:rsidRPr="003A2BD7" w:rsidRDefault="003A2BD7" w:rsidP="003A2BD7">
      <w:pPr>
        <w:pStyle w:val="IFS2012tekst"/>
        <w:numPr>
          <w:ilvl w:val="0"/>
          <w:numId w:val="19"/>
        </w:numPr>
        <w:rPr>
          <w:bCs/>
          <w:noProof/>
          <w:color w:val="7F7F7F" w:themeColor="text1" w:themeTint="80"/>
          <w:szCs w:val="21"/>
          <w:lang w:val="sr-Cyrl-RS" w:bidi="en-US"/>
        </w:rPr>
      </w:pPr>
      <w:r w:rsidRPr="003A2BD7">
        <w:rPr>
          <w:bCs/>
          <w:noProof/>
          <w:color w:val="7F7F7F" w:themeColor="text1" w:themeTint="80"/>
          <w:szCs w:val="21"/>
          <w:lang w:val="sr-Cyrl-RS" w:bidi="en-US"/>
        </w:rPr>
        <w:t>јачање пореске дисциплине</w:t>
      </w:r>
      <w:r w:rsidRPr="003A2BD7">
        <w:rPr>
          <w:bCs/>
          <w:noProof/>
          <w:color w:val="7F7F7F" w:themeColor="text1" w:themeTint="80"/>
          <w:szCs w:val="21"/>
          <w:lang w:val="ru-RU" w:bidi="en-US"/>
        </w:rPr>
        <w:t>,</w:t>
      </w:r>
      <w:r w:rsidRPr="003A2BD7">
        <w:rPr>
          <w:bCs/>
          <w:noProof/>
          <w:color w:val="7F7F7F" w:themeColor="text1" w:themeTint="80"/>
          <w:szCs w:val="21"/>
          <w:lang w:val="sr-Cyrl-RS" w:bidi="en-US"/>
        </w:rPr>
        <w:t xml:space="preserve"> која подразумева побољшање система наплате пореза и смањење сиве економије;</w:t>
      </w:r>
    </w:p>
    <w:p w:rsidR="003A2BD7" w:rsidRPr="003A2BD7" w:rsidRDefault="003A2BD7" w:rsidP="003A2BD7">
      <w:pPr>
        <w:pStyle w:val="IFS2012tekst"/>
        <w:numPr>
          <w:ilvl w:val="0"/>
          <w:numId w:val="19"/>
        </w:numPr>
        <w:rPr>
          <w:bCs/>
          <w:noProof/>
          <w:color w:val="7F7F7F" w:themeColor="text1" w:themeTint="80"/>
          <w:szCs w:val="21"/>
          <w:lang w:val="sr-Cyrl-RS" w:bidi="en-US"/>
        </w:rPr>
      </w:pPr>
      <w:r w:rsidRPr="003A2BD7">
        <w:rPr>
          <w:bCs/>
          <w:noProof/>
          <w:color w:val="7F7F7F" w:themeColor="text1" w:themeTint="80"/>
          <w:szCs w:val="21"/>
          <w:lang w:val="sr-Cyrl-RS" w:bidi="en-US"/>
        </w:rPr>
        <w:t>јачање дугорочне фискалне одрживости кроз спровођење структурних реформи, посебно реформи јавног сектора.</w:t>
      </w:r>
    </w:p>
    <w:p w:rsidR="00F55BBF" w:rsidRPr="00F55BBF" w:rsidRDefault="00F55BBF" w:rsidP="007C2055">
      <w:pPr>
        <w:pStyle w:val="IFS2012tekst"/>
        <w:rPr>
          <w:bCs/>
          <w:noProof/>
          <w:color w:val="7F7F7F" w:themeColor="text1" w:themeTint="80"/>
          <w:szCs w:val="21"/>
          <w:lang w:val="sr-Cyrl-RS" w:bidi="en-US"/>
        </w:rPr>
      </w:pPr>
      <w:r w:rsidRPr="00F55BBF">
        <w:rPr>
          <w:bCs/>
          <w:noProof/>
          <w:color w:val="7F7F7F" w:themeColor="text1" w:themeTint="80"/>
          <w:szCs w:val="21"/>
          <w:lang w:val="sr-Cyrl-RS" w:bidi="en-US"/>
        </w:rPr>
        <w:t>Снажна фискална консолидација у 2015. години од 3% БДП на расходној страни довешће до краткотрајног пада привредне активности, након чега се очекује убрзање раста БДП на реалним основама. Структура и динамика усвојених мера штедње креирана је тако да обезбеди одрживу путању опоравка у наредним годинама. Са становишта раста привреде битно је нагласити да се уштеде неће остваривати на рачун капиталних улагања који су кључни за покретање инвестиционог циклуса, већ првенствено кроз смањење текућих расхода који су у протеклом периоду били предимензионирани у односу на снагу привреде. Предвиђено фискално прилагођавање највећим делом извршиће се смањивањем расхода за запослене у јавном сектору, смањивањем пензија, субвенција и других врста директних или индиректних облика помоћи државним и јавним предузећима, али уз заштиту најрањивијих и најсиромашнијих слојева становништва. Такође, приоритети фискалне политике у наредном периоду биће јачање пореске дисциплине, повећање ефикасности наплате пореза и борба против сиве економије. На овај начин ће се истовремено обезбедити унапређење општих услова привређивања и равноправног пословања и смањивање укупног фискалног дефицита.</w:t>
      </w:r>
    </w:p>
    <w:p w:rsidR="00F55BBF" w:rsidRPr="00F55BBF" w:rsidRDefault="00F55BBF" w:rsidP="007C2055">
      <w:pPr>
        <w:pStyle w:val="IFS2012tekst"/>
        <w:rPr>
          <w:bCs/>
          <w:noProof/>
          <w:color w:val="7F7F7F" w:themeColor="text1" w:themeTint="80"/>
          <w:szCs w:val="21"/>
          <w:lang w:val="sr-Cyrl-RS" w:bidi="en-US"/>
        </w:rPr>
      </w:pPr>
      <w:r w:rsidRPr="00F55BBF">
        <w:rPr>
          <w:bCs/>
          <w:noProof/>
          <w:color w:val="7F7F7F" w:themeColor="text1" w:themeTint="80"/>
          <w:szCs w:val="21"/>
          <w:lang w:val="sr-Cyrl-RS" w:bidi="en-US"/>
        </w:rPr>
        <w:t xml:space="preserve">Са становишта функционисања јавног сектора и повећања његове ефикасности, мере штедње ће се спровести и укидањем непродуктивних радних места и општом рационализацијом пословања јавног сектора. У наредном периоду потребно је интензивирати увођење професионализације у пословању јавних предузећа и одговорног корпоративног управљања у оним предузећима која ће остати под државном контролом, уз измештање социјалне политике из јавних предузећа у систем социјалне заштите, као и постепено и одговорно смањивање државног удела у привреди. Са друге стране, у осталим деловима јавног сектора, на основу свеобухватне анализе потреба, спровешће се рационализација са циљем подизања квалитета услуга функција које држава пружа (образовање, здравство, државна управа и локална самоуправа, итд). Циљ је успостављање стимулативне пореске политике која подстиче привреду и запошљавање, укључујући прелазак на моделе концесионог финансирања и јавно-приватних партнерстава где год је то економски могуће и оправдано и </w:t>
      </w:r>
      <w:r w:rsidRPr="00F55BBF">
        <w:rPr>
          <w:bCs/>
          <w:noProof/>
          <w:color w:val="7F7F7F" w:themeColor="text1" w:themeTint="80"/>
          <w:szCs w:val="21"/>
          <w:lang w:val="sr-Cyrl-RS" w:bidi="en-US"/>
        </w:rPr>
        <w:lastRenderedPageBreak/>
        <w:t>нулта толеранција за непоштовање закона и криминала и корупције кроз реформисане институције система.</w:t>
      </w:r>
    </w:p>
    <w:p w:rsidR="00F55BBF" w:rsidRPr="00F55BBF" w:rsidRDefault="00F55BBF" w:rsidP="007C2055">
      <w:pPr>
        <w:pStyle w:val="IFS2012tekst"/>
        <w:rPr>
          <w:bCs/>
          <w:noProof/>
          <w:color w:val="7F7F7F" w:themeColor="text1" w:themeTint="80"/>
          <w:szCs w:val="21"/>
          <w:lang w:val="sr-Cyrl-RS" w:bidi="en-US"/>
        </w:rPr>
      </w:pPr>
      <w:r w:rsidRPr="00F55BBF">
        <w:rPr>
          <w:bCs/>
          <w:noProof/>
          <w:color w:val="7F7F7F" w:themeColor="text1" w:themeTint="80"/>
          <w:szCs w:val="21"/>
          <w:lang w:val="sr-Cyrl-RS" w:bidi="en-US"/>
        </w:rPr>
        <w:t>У циљу завршетка и олакшавања поступка приватизације преосталих предузећа са друштвеним капиталом кроз поступак реструктурирања или стечаја усвојени су Закон о приватизацији и Закон о изменама и допунама Закона о стечају. Законом о приватизацији обезбеђени су флексибилнији методи и модели приватизације засновани на реалним тржишним условима који ће сам поступак учинити ефикаснијим. Новим законским решењем предвиђена је приватизација путем неколико модела: продаја капитала, продаја имовине, пренос капитала без накнаде и стратешко партнерство, методом јавног прикупљања понуда са јавним надметањем односно јавним прикупљањем понуда. Поред наведеног, прописана је могућност примене мера за припрему и растерећење обавеза субјекта приватизације и то: условни отпис дуга, односно претварање дуга субјекта приватизације у трајни улог. Законом о изменама и допунама Закона о стечају уведена су јаснија правила која имају за циљ убрзање самог стечајног поступка и бољу заштиту поверилаца стечајног дужника.</w:t>
      </w:r>
    </w:p>
    <w:p w:rsidR="009A3B13" w:rsidRDefault="00F55BBF" w:rsidP="00F55BBF">
      <w:pPr>
        <w:pStyle w:val="IFS2012tekst"/>
        <w:spacing w:after="0"/>
        <w:rPr>
          <w:bCs/>
          <w:noProof/>
          <w:color w:val="7F7F7F" w:themeColor="text1" w:themeTint="80"/>
          <w:szCs w:val="21"/>
          <w:lang w:val="sr-Cyrl-RS" w:bidi="en-US"/>
        </w:rPr>
      </w:pPr>
      <w:r w:rsidRPr="00F55BBF">
        <w:rPr>
          <w:bCs/>
          <w:noProof/>
          <w:color w:val="7F7F7F" w:themeColor="text1" w:themeTint="80"/>
          <w:szCs w:val="21"/>
          <w:lang w:val="sr-Cyrl-RS" w:bidi="en-US"/>
        </w:rPr>
        <w:t>Народна банка Србије (у даљем тексту: НБС) мерама и инструментима монетарне политике подржаваће спровођење економске и фискалне политике Владе, са тим да се при томе не доводи у питање остваривање основних циљева монетарне политике који се односе на одржавање стабилности цена и стабилност финансијског система. Мере монетарне политике ће и у наредном периоду бити усмерене на остварење циљане инфлације од 4±1,5%, тј. њену трајну стабилизацију на ниском нивоу</w:t>
      </w:r>
      <w:r w:rsidR="00D534E8" w:rsidRPr="00D534E8">
        <w:rPr>
          <w:bCs/>
          <w:noProof/>
          <w:color w:val="7F7F7F" w:themeColor="text1" w:themeTint="80"/>
          <w:szCs w:val="21"/>
          <w:lang w:val="sr-Cyrl-RS" w:bidi="en-US"/>
        </w:rPr>
        <w:t>.</w:t>
      </w:r>
    </w:p>
    <w:p w:rsidR="006D67D3" w:rsidRPr="00171A80" w:rsidRDefault="006D67D3" w:rsidP="006D67D3">
      <w:pPr>
        <w:pStyle w:val="IFS2012tekst"/>
        <w:spacing w:after="0"/>
        <w:rPr>
          <w:rFonts w:asciiTheme="majorHAnsi" w:hAnsiTheme="majorHAnsi"/>
          <w:color w:val="7F7F7F" w:themeColor="text1" w:themeTint="80"/>
          <w:szCs w:val="21"/>
          <w:lang w:val="sr-Cyrl-RS"/>
        </w:rPr>
      </w:pPr>
    </w:p>
    <w:p w:rsidR="006A1B3A" w:rsidRPr="006D67D3" w:rsidRDefault="007A0022" w:rsidP="003274D9">
      <w:pPr>
        <w:pStyle w:val="IFS2012Naslov2"/>
        <w:rPr>
          <w:b/>
          <w:lang w:val="sr-Cyrl-RS"/>
        </w:rPr>
      </w:pPr>
      <w:bookmarkStart w:id="13" w:name="_Toc407617156"/>
      <w:r w:rsidRPr="00171A80">
        <w:rPr>
          <w:lang w:val="sr-Cyrl-RS"/>
        </w:rPr>
        <w:t xml:space="preserve">Економска кретања и изгледи за </w:t>
      </w:r>
      <w:r w:rsidR="006A1B3A" w:rsidRPr="00171A80">
        <w:rPr>
          <w:lang w:val="sr-Cyrl-RS"/>
        </w:rPr>
        <w:t>период 201</w:t>
      </w:r>
      <w:r w:rsidR="00C37371" w:rsidRPr="00171A80">
        <w:rPr>
          <w:lang w:val="sr-Cyrl-RS"/>
        </w:rPr>
        <w:t>5</w:t>
      </w:r>
      <w:r w:rsidR="006A1B3A" w:rsidRPr="00171A80">
        <w:rPr>
          <w:lang w:val="sr-Cyrl-RS"/>
        </w:rPr>
        <w:t xml:space="preserve"> </w:t>
      </w:r>
      <w:r w:rsidR="003F1156" w:rsidRPr="00171A80">
        <w:rPr>
          <w:lang w:val="sr-Cyrl-RS"/>
        </w:rPr>
        <w:t xml:space="preserve">- </w:t>
      </w:r>
      <w:r w:rsidR="006A1B3A" w:rsidRPr="00171A80">
        <w:rPr>
          <w:lang w:val="sr-Cyrl-RS"/>
        </w:rPr>
        <w:t>201</w:t>
      </w:r>
      <w:r w:rsidR="00C37371" w:rsidRPr="00171A80">
        <w:rPr>
          <w:lang w:val="sr-Cyrl-RS"/>
        </w:rPr>
        <w:t>7</w:t>
      </w:r>
      <w:r w:rsidR="006A1B3A" w:rsidRPr="00171A80">
        <w:rPr>
          <w:lang w:val="sr-Cyrl-RS"/>
        </w:rPr>
        <w:t xml:space="preserve">. </w:t>
      </w:r>
      <w:r w:rsidR="00D71366" w:rsidRPr="00171A80">
        <w:rPr>
          <w:lang w:val="sr-Cyrl-RS"/>
        </w:rPr>
        <w:t>го</w:t>
      </w:r>
      <w:r w:rsidR="006A1B3A" w:rsidRPr="00171A80">
        <w:rPr>
          <w:lang w:val="sr-Cyrl-RS"/>
        </w:rPr>
        <w:t>дин</w:t>
      </w:r>
      <w:bookmarkStart w:id="14" w:name="_Toc334096131"/>
      <w:bookmarkStart w:id="15" w:name="_Toc334099432"/>
      <w:bookmarkEnd w:id="10"/>
      <w:bookmarkEnd w:id="11"/>
      <w:bookmarkEnd w:id="12"/>
      <w:r w:rsidR="003F1156" w:rsidRPr="00171A80">
        <w:rPr>
          <w:lang w:val="sr-Cyrl-RS"/>
        </w:rPr>
        <w:t>е</w:t>
      </w:r>
      <w:bookmarkEnd w:id="13"/>
    </w:p>
    <w:p w:rsidR="006D67D3" w:rsidRPr="00171A80" w:rsidRDefault="006D67D3" w:rsidP="003274D9">
      <w:pPr>
        <w:pStyle w:val="IFS2012Naslov2"/>
        <w:numPr>
          <w:ilvl w:val="0"/>
          <w:numId w:val="0"/>
        </w:numPr>
        <w:ind w:left="720"/>
        <w:rPr>
          <w:lang w:val="sr-Cyrl-RS"/>
        </w:rPr>
      </w:pPr>
    </w:p>
    <w:p w:rsidR="007A0022" w:rsidRDefault="007A0022" w:rsidP="006D67D3">
      <w:pPr>
        <w:pStyle w:val="Heading3"/>
        <w:numPr>
          <w:ilvl w:val="1"/>
          <w:numId w:val="2"/>
        </w:numPr>
        <w:spacing w:before="0" w:after="0"/>
        <w:ind w:left="357" w:hanging="357"/>
        <w:rPr>
          <w:rFonts w:asciiTheme="majorHAnsi" w:hAnsiTheme="majorHAnsi"/>
          <w:b w:val="0"/>
          <w:lang w:val="sr-Cyrl-RS"/>
        </w:rPr>
      </w:pPr>
      <w:bookmarkStart w:id="16" w:name="_Toc407617157"/>
      <w:bookmarkStart w:id="17" w:name="_Toc337117114"/>
      <w:bookmarkStart w:id="18" w:name="_Toc341958964"/>
      <w:r w:rsidRPr="00171A80">
        <w:rPr>
          <w:rFonts w:asciiTheme="majorHAnsi" w:hAnsiTheme="majorHAnsi"/>
          <w:b w:val="0"/>
          <w:lang w:val="sr-Cyrl-RS"/>
        </w:rPr>
        <w:t>Процене међународног економског окружења</w:t>
      </w:r>
      <w:bookmarkEnd w:id="16"/>
    </w:p>
    <w:p w:rsidR="006D67D3" w:rsidRPr="006D67D3" w:rsidRDefault="006D67D3" w:rsidP="006D67D3">
      <w:pPr>
        <w:spacing w:after="0"/>
        <w:rPr>
          <w:lang w:val="sr-Cyrl-RS"/>
        </w:rPr>
      </w:pPr>
    </w:p>
    <w:p w:rsidR="00DE4DFC" w:rsidRPr="00DE4DFC" w:rsidRDefault="00DE4DFC" w:rsidP="00DE4DFC">
      <w:pPr>
        <w:rPr>
          <w:rFonts w:asciiTheme="majorHAnsi" w:hAnsiTheme="majorHAnsi" w:cs="Calibri"/>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t xml:space="preserve">Међународни монетарни фонд (у даљем тексту: ММФ) је у ревидираном Светском економском прегледу из октобра 2014. године проценио основне економске индикаторе на глобалном нивоу и на нивоу групације земаља. Глобални економски раст је, по трећи пут ове године, ревидиран наниже. Слабији економски резултати ЕУ, уз заоштравање економских односа са Русијом, и изражени дезинфлаторни притисци обележили су економска кретања у међународном окружењу. За земље евро зоне, након међугодишњег раста БДП у првом (1,1%), другом и трећем (по 0,8%) кварталу 2014. године, ревидиран је наниже раст БДП за 2014. годину са 1,1% на 0,8%. Истовремено, процењује се благо смањење стопе незапослености на 11,6% и смањење годишње инфлације на 0,5%. </w:t>
      </w:r>
    </w:p>
    <w:p w:rsidR="00DE4DFC" w:rsidRPr="00DE4DFC" w:rsidRDefault="00DE4DFC" w:rsidP="00DE4DFC">
      <w:pPr>
        <w:rPr>
          <w:rFonts w:asciiTheme="majorHAnsi" w:hAnsiTheme="majorHAnsi" w:cs="Calibri"/>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t>Наставак дезинфлаторних притисака у зони евра је навео Европску Централну Банку (у даљем тексту: ЕЦБ) да додатно ублажи монетарну политику, што је за последицу имало слабљење курса евра према долару. С друге стране, раст економске активности у САД у првој половини 2014. године је био изнад очекивања, што је утицало на одлуку Савезних резерви САД (у даљем тексту: ФЕД) да настави са постепеним смањивањем обима квантитативних олакшица.</w:t>
      </w:r>
    </w:p>
    <w:p w:rsidR="00906E36" w:rsidRPr="00171A80" w:rsidRDefault="00DE4DFC" w:rsidP="00DE4DFC">
      <w:pPr>
        <w:rPr>
          <w:rFonts w:asciiTheme="majorHAnsi" w:hAnsiTheme="majorHAnsi" w:cs="Calibri"/>
          <w:b/>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t>За 2015. годину ММФ предвиђа реални раст БДП евро зоне од 1,3%, смањење стопе незапослености на 11,2%, убрзање раста светске трговине на 5,0% и годишњу инфлацију од 0,9%</w:t>
      </w:r>
      <w:r w:rsidR="00860A04" w:rsidRPr="00860A04">
        <w:rPr>
          <w:rFonts w:asciiTheme="majorHAnsi" w:hAnsiTheme="majorHAnsi" w:cs="Calibri"/>
          <w:color w:val="7F7F7F" w:themeColor="text1" w:themeTint="80"/>
          <w:sz w:val="21"/>
          <w:szCs w:val="21"/>
          <w:lang w:val="sr-Cyrl-RS"/>
        </w:rPr>
        <w:t xml:space="preserve">. </w:t>
      </w:r>
      <w:r w:rsidR="000817F4">
        <w:rPr>
          <w:rFonts w:asciiTheme="majorHAnsi" w:hAnsiTheme="majorHAnsi" w:cs="Calibri"/>
          <w:b/>
          <w:color w:val="7F7F7F" w:themeColor="text1" w:themeTint="80"/>
          <w:sz w:val="21"/>
          <w:szCs w:val="21"/>
          <w:lang w:val="sr-Cyrl-RS"/>
        </w:rPr>
        <w:br w:type="page"/>
      </w:r>
      <w:r w:rsidR="00906E36" w:rsidRPr="00171A80">
        <w:rPr>
          <w:rFonts w:asciiTheme="majorHAnsi" w:hAnsiTheme="majorHAnsi" w:cs="Calibri"/>
          <w:b/>
          <w:color w:val="7F7F7F" w:themeColor="text1" w:themeTint="80"/>
          <w:sz w:val="21"/>
          <w:szCs w:val="21"/>
          <w:lang w:val="sr-Cyrl-RS"/>
        </w:rPr>
        <w:lastRenderedPageBreak/>
        <w:t xml:space="preserve">Табела </w:t>
      </w:r>
      <w:r w:rsidR="001826C9" w:rsidRPr="00171A80">
        <w:rPr>
          <w:rFonts w:asciiTheme="majorHAnsi" w:hAnsiTheme="majorHAnsi" w:cs="Calibri"/>
          <w:b/>
          <w:color w:val="7F7F7F" w:themeColor="text1" w:themeTint="80"/>
          <w:sz w:val="21"/>
          <w:szCs w:val="21"/>
          <w:lang w:val="sr-Cyrl-RS"/>
        </w:rPr>
        <w:t>1</w:t>
      </w:r>
      <w:r w:rsidR="00906E36" w:rsidRPr="00171A80">
        <w:rPr>
          <w:rFonts w:asciiTheme="majorHAnsi" w:hAnsiTheme="majorHAnsi" w:cs="Calibri"/>
          <w:b/>
          <w:color w:val="7F7F7F" w:themeColor="text1" w:themeTint="80"/>
          <w:sz w:val="21"/>
          <w:szCs w:val="21"/>
          <w:lang w:val="sr-Cyrl-RS"/>
        </w:rPr>
        <w:t>. Међународно окружење – макроекономски показатељи</w:t>
      </w:r>
    </w:p>
    <w:tbl>
      <w:tblPr>
        <w:tblStyle w:val="LightShading-Accent33"/>
        <w:tblW w:w="9016" w:type="dxa"/>
        <w:tblLook w:val="04A0" w:firstRow="1" w:lastRow="0" w:firstColumn="1" w:lastColumn="0" w:noHBand="0" w:noVBand="1"/>
      </w:tblPr>
      <w:tblGrid>
        <w:gridCol w:w="5417"/>
        <w:gridCol w:w="719"/>
        <w:gridCol w:w="720"/>
        <w:gridCol w:w="720"/>
        <w:gridCol w:w="720"/>
        <w:gridCol w:w="720"/>
      </w:tblGrid>
      <w:tr w:rsidR="00DD2F65" w:rsidRPr="00171A80" w:rsidTr="0097114B">
        <w:trPr>
          <w:cnfStyle w:val="100000000000" w:firstRow="1" w:lastRow="0" w:firstColumn="0" w:lastColumn="0" w:oddVBand="0" w:evenVBand="0" w:oddHBand="0" w:evenHBand="0" w:firstRowFirstColumn="0" w:firstRowLastColumn="0" w:lastRowFirstColumn="0" w:lastRowLastColumn="0"/>
          <w:trHeight w:val="256"/>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F0762" w:rsidRPr="00171A80" w:rsidRDefault="000F0762" w:rsidP="000F0762">
            <w:pPr>
              <w:spacing w:after="0"/>
              <w:ind w:firstLine="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 </w:t>
            </w:r>
          </w:p>
        </w:tc>
        <w:tc>
          <w:tcPr>
            <w:tcW w:w="0" w:type="auto"/>
            <w:hideMark/>
          </w:tcPr>
          <w:p w:rsidR="000F0762" w:rsidRPr="00171A80" w:rsidRDefault="000F0762" w:rsidP="000F0762">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2013</w:t>
            </w:r>
          </w:p>
        </w:tc>
        <w:tc>
          <w:tcPr>
            <w:tcW w:w="0" w:type="auto"/>
            <w:hideMark/>
          </w:tcPr>
          <w:p w:rsidR="000F0762" w:rsidRPr="00171A80" w:rsidRDefault="000F0762" w:rsidP="000F0762">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2014</w:t>
            </w:r>
          </w:p>
        </w:tc>
        <w:tc>
          <w:tcPr>
            <w:tcW w:w="0" w:type="auto"/>
            <w:hideMark/>
          </w:tcPr>
          <w:p w:rsidR="000F0762" w:rsidRPr="00171A80" w:rsidRDefault="000F0762" w:rsidP="000F0762">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2015</w:t>
            </w:r>
          </w:p>
        </w:tc>
        <w:tc>
          <w:tcPr>
            <w:tcW w:w="0" w:type="auto"/>
            <w:hideMark/>
          </w:tcPr>
          <w:p w:rsidR="000F0762" w:rsidRPr="00171A80" w:rsidRDefault="000F0762" w:rsidP="000F0762">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2016</w:t>
            </w:r>
          </w:p>
        </w:tc>
        <w:tc>
          <w:tcPr>
            <w:tcW w:w="0" w:type="auto"/>
            <w:hideMark/>
          </w:tcPr>
          <w:p w:rsidR="000F0762" w:rsidRPr="00171A80" w:rsidRDefault="000F0762" w:rsidP="000F0762">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2017</w:t>
            </w:r>
          </w:p>
        </w:tc>
      </w:tr>
      <w:tr w:rsidR="000F0762" w:rsidRPr="00171A80" w:rsidTr="00440D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F74EED">
            <w:pPr>
              <w:spacing w:after="0"/>
              <w:ind w:firstLine="0"/>
              <w:rPr>
                <w:rFonts w:asciiTheme="majorHAnsi" w:hAnsiTheme="majorHAnsi" w:cs="Calibri"/>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Реални раст бруто домаћег производа</w:t>
            </w:r>
            <w:r w:rsidR="00F74EED">
              <w:rPr>
                <w:rFonts w:asciiTheme="majorHAnsi" w:hAnsiTheme="majorHAnsi" w:cs="Calibri"/>
                <w:bCs/>
                <w:color w:val="7F7F7F" w:themeColor="text1" w:themeTint="80"/>
                <w:sz w:val="21"/>
                <w:szCs w:val="21"/>
                <w:lang w:val="sr-Cyrl-RS"/>
              </w:rPr>
              <w:t>*</w:t>
            </w:r>
            <w:r w:rsidRPr="00171A80">
              <w:rPr>
                <w:rFonts w:asciiTheme="majorHAnsi" w:hAnsiTheme="majorHAnsi" w:cs="Calibri"/>
                <w:bCs/>
                <w:color w:val="7F7F7F" w:themeColor="text1" w:themeTint="80"/>
                <w:sz w:val="21"/>
                <w:szCs w:val="21"/>
                <w:lang w:val="sr-Cyrl-RS"/>
              </w:rPr>
              <w:t>, %</w:t>
            </w:r>
          </w:p>
        </w:tc>
        <w:tc>
          <w:tcPr>
            <w:tcW w:w="0" w:type="auto"/>
            <w:noWrap/>
            <w:hideMark/>
          </w:tcPr>
          <w:p w:rsidR="000F0762" w:rsidRPr="00171A80" w:rsidRDefault="000F0762" w:rsidP="000F0762">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r>
      <w:tr w:rsidR="00440DBB" w:rsidRPr="00171A80" w:rsidTr="00440DBB">
        <w:trPr>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Свет укупно</w:t>
            </w:r>
          </w:p>
        </w:tc>
        <w:tc>
          <w:tcPr>
            <w:tcW w:w="0" w:type="auto"/>
            <w:noWrap/>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3,3</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3,3</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3,8</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4,0</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4,1</w:t>
            </w:r>
          </w:p>
        </w:tc>
      </w:tr>
      <w:tr w:rsidR="000F0762" w:rsidRPr="00171A80" w:rsidTr="00440D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Европска унија</w:t>
            </w:r>
          </w:p>
        </w:tc>
        <w:tc>
          <w:tcPr>
            <w:tcW w:w="0" w:type="auto"/>
            <w:noWrap/>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0,2</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1,4</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1,8</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w:t>
            </w:r>
          </w:p>
        </w:tc>
      </w:tr>
      <w:tr w:rsidR="00440DBB" w:rsidRPr="00171A80" w:rsidTr="00440DBB">
        <w:trPr>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49687B" w:rsidP="000F0762">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Евро</w:t>
            </w:r>
            <w:r w:rsidR="00287D17" w:rsidRPr="00171A80">
              <w:rPr>
                <w:rFonts w:asciiTheme="majorHAnsi" w:hAnsiTheme="majorHAnsi" w:cs="Calibri"/>
                <w:b w:val="0"/>
                <w:bCs/>
                <w:color w:val="7F7F7F" w:themeColor="text1" w:themeTint="80"/>
                <w:sz w:val="21"/>
                <w:szCs w:val="21"/>
                <w:lang w:val="sr-Cyrl-RS"/>
              </w:rPr>
              <w:t xml:space="preserve"> </w:t>
            </w:r>
            <w:r w:rsidRPr="00171A80">
              <w:rPr>
                <w:rFonts w:asciiTheme="majorHAnsi" w:hAnsiTheme="majorHAnsi" w:cs="Calibri"/>
                <w:b w:val="0"/>
                <w:bCs/>
                <w:color w:val="7F7F7F" w:themeColor="text1" w:themeTint="80"/>
                <w:sz w:val="21"/>
                <w:szCs w:val="21"/>
                <w:lang w:val="sr-Cyrl-RS"/>
              </w:rPr>
              <w:t>зона</w:t>
            </w:r>
          </w:p>
        </w:tc>
        <w:tc>
          <w:tcPr>
            <w:tcW w:w="0" w:type="auto"/>
            <w:noWrap/>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-0,5</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0,8</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1,3</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1,7</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1,7</w:t>
            </w:r>
          </w:p>
        </w:tc>
      </w:tr>
      <w:tr w:rsidR="000F0762" w:rsidRPr="00171A80" w:rsidTr="00440D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САД</w:t>
            </w:r>
          </w:p>
        </w:tc>
        <w:tc>
          <w:tcPr>
            <w:tcW w:w="0" w:type="auto"/>
            <w:noWrap/>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2,2</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2,1</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3,1</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3,0</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2,9</w:t>
            </w:r>
          </w:p>
        </w:tc>
      </w:tr>
      <w:tr w:rsidR="00440DBB" w:rsidRPr="00171A80" w:rsidTr="00440DBB">
        <w:trPr>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Русија</w:t>
            </w:r>
          </w:p>
        </w:tc>
        <w:tc>
          <w:tcPr>
            <w:tcW w:w="0" w:type="auto"/>
            <w:noWrap/>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1,3</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0,2</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0,5</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1,5</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1,8</w:t>
            </w:r>
          </w:p>
        </w:tc>
      </w:tr>
      <w:tr w:rsidR="000F0762" w:rsidRPr="00171A80" w:rsidTr="00440D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Земље у развоју</w:t>
            </w:r>
          </w:p>
        </w:tc>
        <w:tc>
          <w:tcPr>
            <w:tcW w:w="0" w:type="auto"/>
            <w:noWrap/>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4,7</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4,4</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5,0</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5,2</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5,2</w:t>
            </w:r>
          </w:p>
        </w:tc>
      </w:tr>
      <w:tr w:rsidR="00440DBB" w:rsidRPr="00171A80" w:rsidTr="00440DBB">
        <w:trPr>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Cs/>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Раст светске трговине,%</w:t>
            </w:r>
          </w:p>
        </w:tc>
        <w:tc>
          <w:tcPr>
            <w:tcW w:w="0" w:type="auto"/>
            <w:noWrap/>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3,0</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3,8</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5,0</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5,5</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5,6</w:t>
            </w:r>
          </w:p>
        </w:tc>
      </w:tr>
      <w:tr w:rsidR="000F0762" w:rsidRPr="00171A80" w:rsidTr="00440D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Cs/>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Стопа незапослености, %</w:t>
            </w:r>
          </w:p>
        </w:tc>
        <w:tc>
          <w:tcPr>
            <w:tcW w:w="0" w:type="auto"/>
            <w:noWrap/>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r>
      <w:tr w:rsidR="00440DBB" w:rsidRPr="00171A80" w:rsidTr="00440DBB">
        <w:trPr>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49687B" w:rsidP="000F0762">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Евро</w:t>
            </w:r>
            <w:r w:rsidR="00287D17" w:rsidRPr="00171A80">
              <w:rPr>
                <w:rFonts w:asciiTheme="majorHAnsi" w:hAnsiTheme="majorHAnsi" w:cs="Calibri"/>
                <w:b w:val="0"/>
                <w:bCs/>
                <w:color w:val="7F7F7F" w:themeColor="text1" w:themeTint="80"/>
                <w:sz w:val="21"/>
                <w:szCs w:val="21"/>
                <w:lang w:val="sr-Cyrl-RS"/>
              </w:rPr>
              <w:t xml:space="preserve"> </w:t>
            </w:r>
            <w:r w:rsidRPr="00171A80">
              <w:rPr>
                <w:rFonts w:asciiTheme="majorHAnsi" w:hAnsiTheme="majorHAnsi" w:cs="Calibri"/>
                <w:b w:val="0"/>
                <w:bCs/>
                <w:color w:val="7F7F7F" w:themeColor="text1" w:themeTint="80"/>
                <w:sz w:val="21"/>
                <w:szCs w:val="21"/>
                <w:lang w:val="sr-Cyrl-RS"/>
              </w:rPr>
              <w:t>зона</w:t>
            </w:r>
          </w:p>
        </w:tc>
        <w:tc>
          <w:tcPr>
            <w:tcW w:w="0" w:type="auto"/>
            <w:noWrap/>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11,9</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11,6</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11,2</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10,7</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10,2</w:t>
            </w:r>
          </w:p>
        </w:tc>
      </w:tr>
      <w:tr w:rsidR="000F0762" w:rsidRPr="00171A80" w:rsidTr="00440D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САД</w:t>
            </w:r>
          </w:p>
        </w:tc>
        <w:tc>
          <w:tcPr>
            <w:tcW w:w="0" w:type="auto"/>
            <w:noWrap/>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7,4</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6,3</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5,9</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5,8</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5,5</w:t>
            </w:r>
          </w:p>
        </w:tc>
      </w:tr>
      <w:tr w:rsidR="00440DBB" w:rsidRPr="00171A80" w:rsidTr="00440DBB">
        <w:trPr>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Cs/>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Потрошачке цене, годишње промене, %</w:t>
            </w:r>
          </w:p>
        </w:tc>
        <w:tc>
          <w:tcPr>
            <w:tcW w:w="0" w:type="auto"/>
            <w:noWrap/>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w:t>
            </w:r>
          </w:p>
        </w:tc>
      </w:tr>
      <w:tr w:rsidR="000F0762" w:rsidRPr="00171A80" w:rsidTr="00440D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49687B" w:rsidP="0049687B">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Евро</w:t>
            </w:r>
            <w:r w:rsidR="00287D17" w:rsidRPr="00171A80">
              <w:rPr>
                <w:rFonts w:asciiTheme="majorHAnsi" w:hAnsiTheme="majorHAnsi" w:cs="Calibri"/>
                <w:b w:val="0"/>
                <w:bCs/>
                <w:color w:val="7F7F7F" w:themeColor="text1" w:themeTint="80"/>
                <w:sz w:val="21"/>
                <w:szCs w:val="21"/>
                <w:lang w:val="sr-Cyrl-RS"/>
              </w:rPr>
              <w:t xml:space="preserve"> </w:t>
            </w:r>
            <w:r w:rsidRPr="00171A80">
              <w:rPr>
                <w:rFonts w:asciiTheme="majorHAnsi" w:hAnsiTheme="majorHAnsi" w:cs="Calibri"/>
                <w:b w:val="0"/>
                <w:bCs/>
                <w:color w:val="7F7F7F" w:themeColor="text1" w:themeTint="80"/>
                <w:sz w:val="21"/>
                <w:szCs w:val="21"/>
                <w:lang w:val="sr-Cyrl-RS"/>
              </w:rPr>
              <w:t>зона</w:t>
            </w:r>
          </w:p>
        </w:tc>
        <w:tc>
          <w:tcPr>
            <w:tcW w:w="0" w:type="auto"/>
            <w:noWrap/>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1,4</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0,5</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0,9</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1,2</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1,4</w:t>
            </w:r>
          </w:p>
        </w:tc>
      </w:tr>
      <w:tr w:rsidR="00440DBB" w:rsidRPr="00171A80" w:rsidTr="00440DBB">
        <w:trPr>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Развијене економије</w:t>
            </w:r>
          </w:p>
        </w:tc>
        <w:tc>
          <w:tcPr>
            <w:tcW w:w="0" w:type="auto"/>
            <w:noWrap/>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1,4</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1,6</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1,8</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w:t>
            </w:r>
          </w:p>
        </w:tc>
      </w:tr>
      <w:tr w:rsidR="000F0762" w:rsidRPr="00171A80" w:rsidTr="00440D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noWrap/>
            <w:hideMark/>
          </w:tcPr>
          <w:p w:rsidR="000F0762" w:rsidRPr="00171A80" w:rsidRDefault="000F0762" w:rsidP="000F0762">
            <w:pPr>
              <w:spacing w:after="0"/>
              <w:ind w:firstLine="0"/>
              <w:rPr>
                <w:rFonts w:asciiTheme="majorHAnsi" w:hAnsiTheme="majorHAnsi" w:cs="Calibri"/>
                <w:b w:val="0"/>
                <w:bCs/>
                <w:color w:val="7F7F7F" w:themeColor="text1" w:themeTint="80"/>
                <w:sz w:val="21"/>
                <w:szCs w:val="21"/>
                <w:lang w:val="sr-Cyrl-RS"/>
              </w:rPr>
            </w:pPr>
            <w:r w:rsidRPr="00171A80">
              <w:rPr>
                <w:rFonts w:asciiTheme="majorHAnsi" w:hAnsiTheme="majorHAnsi" w:cs="Calibri"/>
                <w:b w:val="0"/>
                <w:bCs/>
                <w:color w:val="7F7F7F" w:themeColor="text1" w:themeTint="80"/>
                <w:sz w:val="21"/>
                <w:szCs w:val="21"/>
                <w:lang w:val="sr-Cyrl-RS"/>
              </w:rPr>
              <w:t>Земље у развоју</w:t>
            </w:r>
          </w:p>
        </w:tc>
        <w:tc>
          <w:tcPr>
            <w:tcW w:w="0" w:type="auto"/>
            <w:noWrap/>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5,9</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5,5</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5,6</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5,2</w:t>
            </w:r>
          </w:p>
        </w:tc>
        <w:tc>
          <w:tcPr>
            <w:tcW w:w="0" w:type="auto"/>
            <w:hideMark/>
          </w:tcPr>
          <w:p w:rsidR="000F0762" w:rsidRPr="00171A80" w:rsidRDefault="000F0762" w:rsidP="000F0762">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4,9</w:t>
            </w:r>
          </w:p>
        </w:tc>
      </w:tr>
      <w:tr w:rsidR="00440DBB" w:rsidRPr="00171A80" w:rsidTr="006F47EF">
        <w:trPr>
          <w:trHeight w:val="238"/>
        </w:trPr>
        <w:tc>
          <w:tcPr>
            <w:cnfStyle w:val="001000000000" w:firstRow="0" w:lastRow="0" w:firstColumn="1" w:lastColumn="0" w:oddVBand="0" w:evenVBand="0" w:oddHBand="0" w:evenHBand="0" w:firstRowFirstColumn="0" w:firstRowLastColumn="0" w:lastRowFirstColumn="0" w:lastRowLastColumn="0"/>
            <w:tcW w:w="0" w:type="auto"/>
            <w:hideMark/>
          </w:tcPr>
          <w:p w:rsidR="000F0762" w:rsidRPr="00171A80" w:rsidRDefault="000F0762" w:rsidP="000F0762">
            <w:pPr>
              <w:spacing w:after="0"/>
              <w:ind w:firstLine="0"/>
              <w:rPr>
                <w:rFonts w:asciiTheme="majorHAnsi" w:hAnsiTheme="majorHAnsi" w:cs="Calibri"/>
                <w:bCs/>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Раст цене нафте, у доларима, годишње промене, %</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-0,9</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-1,3</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-3,3</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-2,0</w:t>
            </w:r>
          </w:p>
        </w:tc>
        <w:tc>
          <w:tcPr>
            <w:tcW w:w="0" w:type="auto"/>
            <w:hideMark/>
          </w:tcPr>
          <w:p w:rsidR="000F0762" w:rsidRPr="00171A80" w:rsidRDefault="000F0762" w:rsidP="000F0762">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 xml:space="preserve"> -2,0</w:t>
            </w:r>
          </w:p>
        </w:tc>
      </w:tr>
    </w:tbl>
    <w:p w:rsidR="00DB38B2" w:rsidRPr="00155924" w:rsidRDefault="00F74EED" w:rsidP="0097114B">
      <w:pPr>
        <w:spacing w:after="0"/>
        <w:ind w:firstLine="0"/>
        <w:rPr>
          <w:rFonts w:asciiTheme="majorHAnsi" w:hAnsiTheme="majorHAnsi" w:cs="Calibri"/>
          <w:color w:val="7F7F7F" w:themeColor="text1" w:themeTint="80"/>
          <w:sz w:val="18"/>
          <w:szCs w:val="18"/>
          <w:lang w:val="sr-Cyrl-RS"/>
        </w:rPr>
      </w:pPr>
      <w:r>
        <w:rPr>
          <w:rFonts w:asciiTheme="majorHAnsi" w:hAnsiTheme="majorHAnsi" w:cs="Calibri"/>
          <w:color w:val="7F7F7F" w:themeColor="text1" w:themeTint="80"/>
          <w:sz w:val="18"/>
          <w:szCs w:val="18"/>
          <w:vertAlign w:val="superscript"/>
          <w:lang w:val="sr-Cyrl-RS"/>
        </w:rPr>
        <w:t>*</w:t>
      </w:r>
      <w:r w:rsidR="00DB38B2" w:rsidRPr="00155924">
        <w:rPr>
          <w:rFonts w:asciiTheme="majorHAnsi" w:hAnsiTheme="majorHAnsi" w:cs="Calibri"/>
          <w:color w:val="7F7F7F" w:themeColor="text1" w:themeTint="80"/>
          <w:sz w:val="18"/>
          <w:szCs w:val="18"/>
          <w:lang w:val="sr-Cyrl-RS"/>
        </w:rPr>
        <w:t xml:space="preserve"> Светски БДП </w:t>
      </w:r>
      <w:r w:rsidR="005F441D" w:rsidRPr="00155924">
        <w:rPr>
          <w:rFonts w:asciiTheme="majorHAnsi" w:hAnsiTheme="majorHAnsi" w:cs="Calibri"/>
          <w:color w:val="7F7F7F" w:themeColor="text1" w:themeTint="80"/>
          <w:sz w:val="18"/>
          <w:szCs w:val="18"/>
          <w:lang w:val="sr-Cyrl-RS"/>
        </w:rPr>
        <w:t>из</w:t>
      </w:r>
      <w:r w:rsidR="00DB38B2" w:rsidRPr="00155924">
        <w:rPr>
          <w:rFonts w:asciiTheme="majorHAnsi" w:hAnsiTheme="majorHAnsi" w:cs="Calibri"/>
          <w:color w:val="7F7F7F" w:themeColor="text1" w:themeTint="80"/>
          <w:sz w:val="18"/>
          <w:szCs w:val="18"/>
          <w:lang w:val="sr-Cyrl-RS"/>
        </w:rPr>
        <w:t xml:space="preserve">рачунат </w:t>
      </w:r>
      <w:r w:rsidR="005F441D" w:rsidRPr="00155924">
        <w:rPr>
          <w:rFonts w:asciiTheme="majorHAnsi" w:hAnsiTheme="majorHAnsi" w:cs="Calibri"/>
          <w:color w:val="7F7F7F" w:themeColor="text1" w:themeTint="80"/>
          <w:sz w:val="18"/>
          <w:szCs w:val="18"/>
          <w:lang w:val="sr-Cyrl-RS"/>
        </w:rPr>
        <w:t xml:space="preserve">је </w:t>
      </w:r>
      <w:r w:rsidR="00DB38B2" w:rsidRPr="00155924">
        <w:rPr>
          <w:rFonts w:asciiTheme="majorHAnsi" w:hAnsiTheme="majorHAnsi" w:cs="Calibri"/>
          <w:color w:val="7F7F7F" w:themeColor="text1" w:themeTint="80"/>
          <w:sz w:val="18"/>
          <w:szCs w:val="18"/>
          <w:lang w:val="sr-Cyrl-RS"/>
        </w:rPr>
        <w:t>п</w:t>
      </w:r>
      <w:r w:rsidR="005F441D" w:rsidRPr="00155924">
        <w:rPr>
          <w:rFonts w:asciiTheme="majorHAnsi" w:hAnsiTheme="majorHAnsi" w:cs="Calibri"/>
          <w:color w:val="7F7F7F" w:themeColor="text1" w:themeTint="80"/>
          <w:sz w:val="18"/>
          <w:szCs w:val="18"/>
          <w:lang w:val="sr-Cyrl-RS"/>
        </w:rPr>
        <w:t>рема</w:t>
      </w:r>
      <w:r w:rsidR="00DB38B2" w:rsidRPr="00155924">
        <w:rPr>
          <w:rFonts w:asciiTheme="majorHAnsi" w:hAnsiTheme="majorHAnsi" w:cs="Calibri"/>
          <w:color w:val="7F7F7F" w:themeColor="text1" w:themeTint="80"/>
          <w:sz w:val="18"/>
          <w:szCs w:val="18"/>
          <w:lang w:val="sr-Cyrl-RS"/>
        </w:rPr>
        <w:t xml:space="preserve"> паритету куповне моћи</w:t>
      </w:r>
      <w:r w:rsidR="005F441D" w:rsidRPr="00155924">
        <w:rPr>
          <w:rFonts w:asciiTheme="majorHAnsi" w:hAnsiTheme="majorHAnsi" w:cs="Calibri"/>
          <w:color w:val="7F7F7F" w:themeColor="text1" w:themeTint="80"/>
          <w:sz w:val="18"/>
          <w:szCs w:val="18"/>
          <w:lang w:val="sr-Cyrl-RS"/>
        </w:rPr>
        <w:t>.</w:t>
      </w:r>
    </w:p>
    <w:p w:rsidR="00906E36" w:rsidRPr="00155924" w:rsidRDefault="000F0762" w:rsidP="00DB38B2">
      <w:pPr>
        <w:ind w:firstLine="0"/>
        <w:rPr>
          <w:rFonts w:asciiTheme="majorHAnsi" w:hAnsiTheme="majorHAnsi" w:cs="Calibri"/>
          <w:b/>
          <w:color w:val="7F7F7F" w:themeColor="text1" w:themeTint="80"/>
          <w:sz w:val="18"/>
          <w:szCs w:val="18"/>
          <w:lang w:val="sr-Cyrl-RS"/>
        </w:rPr>
      </w:pPr>
      <w:r w:rsidRPr="00155924">
        <w:rPr>
          <w:rFonts w:asciiTheme="majorHAnsi" w:hAnsiTheme="majorHAnsi" w:cs="Calibri"/>
          <w:b/>
          <w:color w:val="7F7F7F" w:themeColor="text1" w:themeTint="80"/>
          <w:sz w:val="18"/>
          <w:szCs w:val="18"/>
          <w:lang w:val="sr-Cyrl-RS"/>
        </w:rPr>
        <w:t xml:space="preserve">Извор: </w:t>
      </w:r>
      <w:r w:rsidRPr="00155924">
        <w:rPr>
          <w:rFonts w:asciiTheme="majorHAnsi" w:hAnsiTheme="majorHAnsi" w:cs="Calibri"/>
          <w:color w:val="7F7F7F" w:themeColor="text1" w:themeTint="80"/>
          <w:sz w:val="18"/>
          <w:szCs w:val="18"/>
          <w:lang w:val="sr-Cyrl-RS"/>
        </w:rPr>
        <w:t>ММФ, World Economic Outlook, октобар 2014</w:t>
      </w:r>
      <w:r w:rsidR="00DB38B2" w:rsidRPr="00155924">
        <w:rPr>
          <w:rFonts w:asciiTheme="majorHAnsi" w:hAnsiTheme="majorHAnsi" w:cs="Calibri"/>
          <w:color w:val="7F7F7F" w:themeColor="text1" w:themeTint="80"/>
          <w:sz w:val="18"/>
          <w:szCs w:val="18"/>
          <w:lang w:val="sr-Cyrl-RS"/>
        </w:rPr>
        <w:t>.</w:t>
      </w:r>
    </w:p>
    <w:p w:rsidR="00DE4DFC" w:rsidRPr="00DE4DFC" w:rsidRDefault="00DE4DFC" w:rsidP="00DE4DFC">
      <w:pPr>
        <w:ind w:firstLine="708"/>
        <w:rPr>
          <w:rFonts w:asciiTheme="majorHAnsi" w:hAnsiTheme="majorHAnsi" w:cs="Calibri"/>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t xml:space="preserve">У периоду од 2015. до 2017. године ММФ очекује да ће глобални економски раст пратити фискално прилагођавање, побољшање услова на финансијском тржишту и повољнији услови на тржишту рада. Очекује се знатно поправљање буџетског биланса, постепено повећавање кредитне активности банака и раст домаће тражње као главног покретача економског раста. </w:t>
      </w:r>
    </w:p>
    <w:p w:rsidR="00DE4DFC" w:rsidRPr="00DE4DFC" w:rsidRDefault="00DE4DFC" w:rsidP="00DE4DFC">
      <w:pPr>
        <w:ind w:firstLine="708"/>
        <w:rPr>
          <w:rFonts w:asciiTheme="majorHAnsi" w:hAnsiTheme="majorHAnsi" w:cs="Calibri"/>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t>Ревизија података ММФ из октобра 2014. године обухвата и кретање основних каматних стопа и кретање цене сирове нафте (просечна цена нафте типа „Брент”, „Дубаи Фатех” и „Западни Тексас”). За 2014. и 2015. годину ММФ је предвидео камате на тромесечне евро депозите од 0,2%, као и каматне стопе на шестомесечни ЛИБОР на доларске депозите од 0,4% у 2014. години и 0,7% у 2015. години. ММФ предвиђа смањење цене сирове нафте за 1,3% у 2014. години и 3,3% у 2015. години (са 102,8 $ на 99,3 $).</w:t>
      </w:r>
    </w:p>
    <w:p w:rsidR="00DE4DFC" w:rsidRPr="00DE4DFC" w:rsidRDefault="00DE4DFC" w:rsidP="00DE4DFC">
      <w:pPr>
        <w:ind w:firstLine="708"/>
        <w:rPr>
          <w:rFonts w:asciiTheme="majorHAnsi" w:hAnsiTheme="majorHAnsi" w:cs="Calibri"/>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t xml:space="preserve">Европска комисија (у даљем тексту: ЕК) је у новембру 2014. године ревидирала раст привредне активности ЕУ и евро зоне наниже у односу на мартовску пројекцију. У светлу ових догађаја, ЕЦБ је у септембру 2014. године смањила референтну каматну стопу за 0,10 п.п, на 0,05%, чиме је потврдила настојање да политиком квантитативних олакшица иницира раст економске активности у евро зони. Такође, новоизабрана ЕК је припремила инвестициони план за оживљавање привреде вредан 315 млрд евра. </w:t>
      </w:r>
    </w:p>
    <w:p w:rsidR="00DE4DFC" w:rsidRPr="00DE4DFC" w:rsidRDefault="00DE4DFC" w:rsidP="00DE4DFC">
      <w:pPr>
        <w:ind w:firstLine="708"/>
        <w:rPr>
          <w:rFonts w:asciiTheme="majorHAnsi" w:hAnsiTheme="majorHAnsi" w:cs="Calibri"/>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t xml:space="preserve">Према пројекцијама ЕК, привреда евро зоне ће стагнирати до краја 2014. године. Успоравање економске активности у Европи последица је слабијег раста продуктивности рада, неизвесних перформанси тржишта рада, споријег опоравка инвестиционе активности и погоршања спољнотрговинске активности услед тензија у Украјини и на Блиском истоку. Раст је прекинут у Немачкој, стагнација продужена у Француској, а рецесија се наставља у Италији. За Немачку, као највећу привреду евро зоне и главног спољнотрговинског партнера Републике Србије, у 2014. години, ЕК предвиђа раст од 1,3%. Раст је ревидиран наниже за 0,5 п.п. у односу на пролећне пројекције, услед неповољне спољнополитичке ситуације у Украјини, смањења глобалне тражње и пада инвестиција. Економски раст у периоду 2015 - 2017. године ће бити постепен, услед слабог опоравка на тржишту радне снаге, побољшања услова финансирања и раста екстерне тражње. За Италију се очекује наставак контракције економске активности у 2014. години (пад БДП од 0,4%), уз рекордно ниску инфлацију и велику незапосленост. Благи опоравак се очекује у 2015. и 2016. години када се очекује да ће раст БДП износити 0,6% и 1,1%, респективно, услед снажнијег опоравка домаће тражње и наставка раста нето извоза услед повећања екстерне тражње. </w:t>
      </w:r>
    </w:p>
    <w:p w:rsidR="00DE4DFC" w:rsidRPr="00DE4DFC" w:rsidRDefault="00DE4DFC" w:rsidP="00DE4DFC">
      <w:pPr>
        <w:ind w:firstLine="708"/>
        <w:rPr>
          <w:rFonts w:asciiTheme="majorHAnsi" w:hAnsiTheme="majorHAnsi" w:cs="Calibri"/>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lastRenderedPageBreak/>
        <w:t xml:space="preserve">Прогнозиран економски раст евро зоне у 2015. и 2016. години износи 1,1% и 1,7%, респективно. Јачање економске активности биће вођено, пре свега, спровођењем структурних реформи, као и опоравком на тржишту рада и побољшањем услова финансирања. Главни извор раста у овом периоду ће бити приватна потрошња, услед преливања ефеката монетарне политике ЕЦБ на побољшање кредитне активности и ниске инфлације која ће деловати на повећање расположивог дохотка становништва. Значајнији опоравак инвестиционе потрошње се очекује од 2016. године. Извозна активност ће забележити умерени раст у периоду 2015 - 2017. године, услед јачања глобалне тражње, док ће јачање домаће тражње утицати на раст увоза, тако да ће допринос нето извоза расту БДП бити неутралан. </w:t>
      </w:r>
    </w:p>
    <w:p w:rsidR="00FF08B1" w:rsidRDefault="00DE4DFC" w:rsidP="00DE4DFC">
      <w:pPr>
        <w:ind w:firstLine="708"/>
        <w:rPr>
          <w:rFonts w:asciiTheme="majorHAnsi" w:hAnsiTheme="majorHAnsi" w:cs="Calibri"/>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t>За Немачку, као највећу економију евро зоне и главног спољнотрговинског партнера Србије, у 2015. години предвиђа се раст од 1,5%, док је за Италију предвиђен раст од 0,8%</w:t>
      </w:r>
      <w:r w:rsidR="00FF08B1" w:rsidRPr="00FF08B1">
        <w:rPr>
          <w:rFonts w:asciiTheme="majorHAnsi" w:hAnsiTheme="majorHAnsi" w:cs="Calibri"/>
          <w:color w:val="7F7F7F" w:themeColor="text1" w:themeTint="80"/>
          <w:sz w:val="21"/>
          <w:szCs w:val="21"/>
          <w:lang w:val="sr-Cyrl-RS"/>
        </w:rPr>
        <w:t xml:space="preserve">. </w:t>
      </w:r>
    </w:p>
    <w:p w:rsidR="001826C9" w:rsidRPr="00171A80" w:rsidRDefault="001826C9" w:rsidP="00C07453">
      <w:pPr>
        <w:ind w:firstLine="0"/>
        <w:rPr>
          <w:rFonts w:asciiTheme="majorHAnsi" w:hAnsiTheme="majorHAnsi" w:cs="Calibri"/>
          <w:b/>
          <w:color w:val="7F7F7F" w:themeColor="text1" w:themeTint="80"/>
          <w:sz w:val="21"/>
          <w:szCs w:val="21"/>
          <w:lang w:val="sr-Cyrl-RS"/>
        </w:rPr>
      </w:pPr>
      <w:r w:rsidRPr="00171A80">
        <w:rPr>
          <w:rFonts w:asciiTheme="majorHAnsi" w:hAnsiTheme="majorHAnsi" w:cs="Calibri"/>
          <w:b/>
          <w:color w:val="7F7F7F" w:themeColor="text1" w:themeTint="80"/>
          <w:sz w:val="21"/>
          <w:szCs w:val="21"/>
          <w:lang w:val="sr-Cyrl-RS"/>
        </w:rPr>
        <w:t>Табела 2.</w:t>
      </w:r>
      <w:r w:rsidR="00B40F01" w:rsidRPr="00171A80">
        <w:rPr>
          <w:rFonts w:asciiTheme="majorHAnsi" w:hAnsiTheme="majorHAnsi" w:cs="Calibri"/>
          <w:b/>
          <w:color w:val="7F7F7F" w:themeColor="text1" w:themeTint="80"/>
          <w:sz w:val="21"/>
          <w:szCs w:val="21"/>
          <w:lang w:val="sr-Cyrl-RS"/>
        </w:rPr>
        <w:t xml:space="preserve"> </w:t>
      </w:r>
      <w:r w:rsidRPr="00171A80">
        <w:rPr>
          <w:rFonts w:asciiTheme="majorHAnsi" w:hAnsiTheme="majorHAnsi" w:cs="Calibri"/>
          <w:b/>
          <w:color w:val="7F7F7F" w:themeColor="text1" w:themeTint="80"/>
          <w:sz w:val="21"/>
          <w:szCs w:val="21"/>
          <w:lang w:val="sr-Cyrl-RS"/>
        </w:rPr>
        <w:t>Спољнотрговински партнери Србије</w:t>
      </w:r>
      <w:r w:rsidR="009A61F6">
        <w:rPr>
          <w:rFonts w:asciiTheme="majorHAnsi" w:hAnsiTheme="majorHAnsi" w:cs="Calibri"/>
          <w:b/>
          <w:color w:val="7F7F7F" w:themeColor="text1" w:themeTint="80"/>
          <w:sz w:val="21"/>
          <w:szCs w:val="21"/>
          <w:lang w:val="sr-Cyrl-RS"/>
        </w:rPr>
        <w:t xml:space="preserve"> </w:t>
      </w:r>
      <w:r w:rsidRPr="00171A80">
        <w:rPr>
          <w:rFonts w:asciiTheme="majorHAnsi" w:hAnsiTheme="majorHAnsi" w:cs="Calibri"/>
          <w:b/>
          <w:color w:val="7F7F7F" w:themeColor="text1" w:themeTint="80"/>
          <w:sz w:val="21"/>
          <w:szCs w:val="21"/>
          <w:lang w:val="sr-Cyrl-RS"/>
        </w:rPr>
        <w:t>-</w:t>
      </w:r>
      <w:r w:rsidR="009A61F6">
        <w:rPr>
          <w:rFonts w:asciiTheme="majorHAnsi" w:hAnsiTheme="majorHAnsi" w:cs="Calibri"/>
          <w:b/>
          <w:color w:val="7F7F7F" w:themeColor="text1" w:themeTint="80"/>
          <w:sz w:val="21"/>
          <w:szCs w:val="21"/>
          <w:lang w:val="sr-Cyrl-RS"/>
        </w:rPr>
        <w:t xml:space="preserve"> </w:t>
      </w:r>
      <w:r w:rsidRPr="00171A80">
        <w:rPr>
          <w:rFonts w:asciiTheme="majorHAnsi" w:hAnsiTheme="majorHAnsi" w:cs="Calibri"/>
          <w:b/>
          <w:color w:val="7F7F7F" w:themeColor="text1" w:themeTint="80"/>
          <w:sz w:val="21"/>
          <w:szCs w:val="21"/>
          <w:lang w:val="sr-Cyrl-RS"/>
        </w:rPr>
        <w:t>основни економски индикатори</w:t>
      </w:r>
    </w:p>
    <w:tbl>
      <w:tblPr>
        <w:tblStyle w:val="LightShading-Accent33"/>
        <w:tblW w:w="0" w:type="auto"/>
        <w:tblLook w:val="04A0" w:firstRow="1" w:lastRow="0" w:firstColumn="1" w:lastColumn="0" w:noHBand="0" w:noVBand="1"/>
      </w:tblPr>
      <w:tblGrid>
        <w:gridCol w:w="3517"/>
        <w:gridCol w:w="2200"/>
        <w:gridCol w:w="885"/>
        <w:gridCol w:w="791"/>
        <w:gridCol w:w="791"/>
        <w:gridCol w:w="791"/>
      </w:tblGrid>
      <w:tr w:rsidR="001826C9" w:rsidRPr="00171A80" w:rsidTr="001826C9">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717" w:type="dxa"/>
            <w:gridSpan w:val="2"/>
            <w:noWrap/>
            <w:hideMark/>
          </w:tcPr>
          <w:p w:rsidR="001826C9" w:rsidRPr="00171A80" w:rsidRDefault="001826C9" w:rsidP="001826C9">
            <w:pPr>
              <w:spacing w:after="0"/>
              <w:ind w:firstLine="0"/>
              <w:rPr>
                <w:rFonts w:asciiTheme="majorHAnsi" w:hAnsiTheme="majorHAnsi" w:cs="Calibri"/>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 </w:t>
            </w:r>
          </w:p>
        </w:tc>
        <w:tc>
          <w:tcPr>
            <w:tcW w:w="885" w:type="dxa"/>
            <w:hideMark/>
          </w:tcPr>
          <w:p w:rsidR="001826C9" w:rsidRPr="00171A80" w:rsidRDefault="001826C9" w:rsidP="001826C9">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2013</w:t>
            </w:r>
          </w:p>
        </w:tc>
        <w:tc>
          <w:tcPr>
            <w:tcW w:w="791" w:type="dxa"/>
            <w:hideMark/>
          </w:tcPr>
          <w:p w:rsidR="001826C9" w:rsidRPr="00171A80" w:rsidRDefault="001826C9" w:rsidP="001826C9">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2014</w:t>
            </w:r>
          </w:p>
        </w:tc>
        <w:tc>
          <w:tcPr>
            <w:tcW w:w="791" w:type="dxa"/>
            <w:hideMark/>
          </w:tcPr>
          <w:p w:rsidR="001826C9" w:rsidRPr="00171A80" w:rsidRDefault="001826C9" w:rsidP="001826C9">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2015</w:t>
            </w:r>
          </w:p>
        </w:tc>
        <w:tc>
          <w:tcPr>
            <w:tcW w:w="791" w:type="dxa"/>
            <w:hideMark/>
          </w:tcPr>
          <w:p w:rsidR="001826C9" w:rsidRPr="00171A80" w:rsidRDefault="001826C9" w:rsidP="001826C9">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2016</w:t>
            </w:r>
          </w:p>
        </w:tc>
      </w:tr>
      <w:tr w:rsidR="001826C9" w:rsidRPr="00171A80" w:rsidTr="00BB584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517" w:type="dxa"/>
            <w:vMerge w:val="restart"/>
            <w:noWrap/>
            <w:vAlign w:val="center"/>
            <w:hideMark/>
          </w:tcPr>
          <w:p w:rsidR="001826C9" w:rsidRPr="00171A80" w:rsidRDefault="001826C9" w:rsidP="001826C9">
            <w:pPr>
              <w:spacing w:after="0"/>
              <w:ind w:firstLine="0"/>
              <w:jc w:val="left"/>
              <w:rPr>
                <w:rFonts w:asciiTheme="majorHAnsi" w:hAnsiTheme="majorHAnsi" w:cs="Calibri"/>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Реални раст БДП, у %</w:t>
            </w:r>
          </w:p>
        </w:tc>
        <w:tc>
          <w:tcPr>
            <w:tcW w:w="2200" w:type="dxa"/>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Италија</w:t>
            </w:r>
          </w:p>
        </w:tc>
        <w:tc>
          <w:tcPr>
            <w:tcW w:w="885" w:type="dxa"/>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-1,9</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-0,4</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0,6</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1,1</w:t>
            </w:r>
          </w:p>
        </w:tc>
      </w:tr>
      <w:tr w:rsidR="001826C9" w:rsidRPr="00171A80" w:rsidTr="001826C9">
        <w:trPr>
          <w:trHeight w:val="269"/>
        </w:trPr>
        <w:tc>
          <w:tcPr>
            <w:cnfStyle w:val="001000000000" w:firstRow="0" w:lastRow="0" w:firstColumn="1" w:lastColumn="0" w:oddVBand="0" w:evenVBand="0" w:oddHBand="0" w:evenHBand="0" w:firstRowFirstColumn="0" w:firstRowLastColumn="0" w:lastRowFirstColumn="0" w:lastRowLastColumn="0"/>
            <w:tcW w:w="3517" w:type="dxa"/>
            <w:vMerge/>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Немачка</w:t>
            </w:r>
          </w:p>
        </w:tc>
        <w:tc>
          <w:tcPr>
            <w:tcW w:w="885" w:type="dxa"/>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0,4</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1,3</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1,1</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1,8</w:t>
            </w:r>
          </w:p>
        </w:tc>
      </w:tr>
      <w:tr w:rsidR="001826C9" w:rsidRPr="00171A80" w:rsidTr="001826C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Евро зона</w:t>
            </w:r>
          </w:p>
        </w:tc>
        <w:tc>
          <w:tcPr>
            <w:tcW w:w="885" w:type="dxa"/>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-0,5</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0,8</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1,1</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1,7</w:t>
            </w:r>
          </w:p>
        </w:tc>
      </w:tr>
      <w:tr w:rsidR="001826C9" w:rsidRPr="00171A80" w:rsidTr="00964A1C">
        <w:trPr>
          <w:trHeight w:val="269"/>
        </w:trPr>
        <w:tc>
          <w:tcPr>
            <w:cnfStyle w:val="001000000000" w:firstRow="0" w:lastRow="0" w:firstColumn="1" w:lastColumn="0" w:oddVBand="0" w:evenVBand="0" w:oddHBand="0" w:evenHBand="0" w:firstRowFirstColumn="0" w:firstRowLastColumn="0" w:lastRowFirstColumn="0" w:lastRowLastColumn="0"/>
            <w:tcW w:w="3517" w:type="dxa"/>
            <w:vMerge/>
            <w:tcBorders>
              <w:bottom w:val="double" w:sz="4" w:space="0" w:color="9BBB59" w:themeColor="accent3"/>
            </w:tcBorders>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tcBorders>
              <w:bottom w:val="double" w:sz="4" w:space="0" w:color="9BBB59" w:themeColor="accent3"/>
            </w:tcBorders>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Русија</w:t>
            </w:r>
          </w:p>
        </w:tc>
        <w:tc>
          <w:tcPr>
            <w:tcW w:w="885" w:type="dxa"/>
            <w:tcBorders>
              <w:bottom w:val="double" w:sz="4" w:space="0" w:color="9BBB59" w:themeColor="accent3"/>
            </w:tcBorders>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1,3</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0,3</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0,3</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1,2</w:t>
            </w:r>
          </w:p>
        </w:tc>
      </w:tr>
      <w:tr w:rsidR="001826C9" w:rsidRPr="00171A80" w:rsidTr="00BB58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val="restart"/>
            <w:tcBorders>
              <w:top w:val="double" w:sz="4" w:space="0" w:color="9BBB59" w:themeColor="accent3"/>
            </w:tcBorders>
            <w:noWrap/>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Инфлација, у %</w:t>
            </w:r>
          </w:p>
        </w:tc>
        <w:tc>
          <w:tcPr>
            <w:tcW w:w="2200" w:type="dxa"/>
            <w:tcBorders>
              <w:top w:val="double" w:sz="4" w:space="0" w:color="9BBB59" w:themeColor="accent3"/>
            </w:tcBorders>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 xml:space="preserve">Италија </w:t>
            </w:r>
          </w:p>
        </w:tc>
        <w:tc>
          <w:tcPr>
            <w:tcW w:w="885" w:type="dxa"/>
            <w:tcBorders>
              <w:top w:val="double" w:sz="4" w:space="0" w:color="9BBB59" w:themeColor="accent3"/>
            </w:tcBorders>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1,3</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0,5</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0,5</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2,0</w:t>
            </w:r>
          </w:p>
        </w:tc>
      </w:tr>
      <w:tr w:rsidR="001826C9" w:rsidRPr="00171A80" w:rsidTr="00BB5842">
        <w:trPr>
          <w:trHeight w:val="269"/>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Немачка</w:t>
            </w:r>
          </w:p>
        </w:tc>
        <w:tc>
          <w:tcPr>
            <w:tcW w:w="885" w:type="dxa"/>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1,6</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0,9</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1,2</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1,6</w:t>
            </w:r>
          </w:p>
        </w:tc>
      </w:tr>
      <w:tr w:rsidR="001826C9" w:rsidRPr="00171A80" w:rsidTr="00BB58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Евро зона</w:t>
            </w:r>
          </w:p>
        </w:tc>
        <w:tc>
          <w:tcPr>
            <w:tcW w:w="885" w:type="dxa"/>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1,4</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0,5</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0,8</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1,5</w:t>
            </w:r>
          </w:p>
        </w:tc>
      </w:tr>
      <w:tr w:rsidR="001826C9" w:rsidRPr="00171A80" w:rsidTr="00BB5842">
        <w:trPr>
          <w:trHeight w:val="269"/>
        </w:trPr>
        <w:tc>
          <w:tcPr>
            <w:cnfStyle w:val="001000000000" w:firstRow="0" w:lastRow="0" w:firstColumn="1" w:lastColumn="0" w:oddVBand="0" w:evenVBand="0" w:oddHBand="0" w:evenHBand="0" w:firstRowFirstColumn="0" w:firstRowLastColumn="0" w:lastRowFirstColumn="0" w:lastRowLastColumn="0"/>
            <w:tcW w:w="3517" w:type="dxa"/>
            <w:vMerge/>
            <w:tcBorders>
              <w:bottom w:val="double" w:sz="4" w:space="0" w:color="9BBB59" w:themeColor="accent3"/>
            </w:tcBorders>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tcBorders>
              <w:bottom w:val="double" w:sz="4" w:space="0" w:color="9BBB59" w:themeColor="accent3"/>
            </w:tcBorders>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Русија</w:t>
            </w:r>
          </w:p>
        </w:tc>
        <w:tc>
          <w:tcPr>
            <w:tcW w:w="885" w:type="dxa"/>
            <w:tcBorders>
              <w:bottom w:val="double" w:sz="4" w:space="0" w:color="9BBB59" w:themeColor="accent3"/>
            </w:tcBorders>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6,8</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7,5</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7,0</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6,0</w:t>
            </w:r>
          </w:p>
        </w:tc>
      </w:tr>
      <w:tr w:rsidR="001826C9" w:rsidRPr="00171A80" w:rsidTr="00BB58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val="restart"/>
            <w:tcBorders>
              <w:top w:val="double" w:sz="4" w:space="0" w:color="9BBB59" w:themeColor="accent3"/>
            </w:tcBorders>
            <w:noWrap/>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Салдо текућег рачуна (% БДП)</w:t>
            </w:r>
          </w:p>
        </w:tc>
        <w:tc>
          <w:tcPr>
            <w:tcW w:w="2200" w:type="dxa"/>
            <w:tcBorders>
              <w:top w:val="double" w:sz="4" w:space="0" w:color="9BBB59" w:themeColor="accent3"/>
            </w:tcBorders>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 xml:space="preserve">Италија </w:t>
            </w:r>
          </w:p>
        </w:tc>
        <w:tc>
          <w:tcPr>
            <w:tcW w:w="885" w:type="dxa"/>
            <w:tcBorders>
              <w:top w:val="double" w:sz="4" w:space="0" w:color="9BBB59" w:themeColor="accent3"/>
            </w:tcBorders>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1,0</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1,5</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1,5</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1,8</w:t>
            </w:r>
          </w:p>
        </w:tc>
      </w:tr>
      <w:tr w:rsidR="001826C9" w:rsidRPr="00171A80" w:rsidTr="00BB5842">
        <w:trPr>
          <w:trHeight w:val="269"/>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Немачка</w:t>
            </w:r>
          </w:p>
        </w:tc>
        <w:tc>
          <w:tcPr>
            <w:tcW w:w="885" w:type="dxa"/>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6,9</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7,1</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7,1</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6,7</w:t>
            </w:r>
          </w:p>
        </w:tc>
      </w:tr>
      <w:tr w:rsidR="001826C9" w:rsidRPr="00171A80" w:rsidTr="00BB58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Евро зона</w:t>
            </w:r>
          </w:p>
        </w:tc>
        <w:tc>
          <w:tcPr>
            <w:tcW w:w="885" w:type="dxa"/>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2,4</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2,5</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2,6</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2,5</w:t>
            </w:r>
          </w:p>
        </w:tc>
      </w:tr>
      <w:tr w:rsidR="001826C9" w:rsidRPr="00171A80" w:rsidTr="00BB5842">
        <w:trPr>
          <w:trHeight w:val="269"/>
        </w:trPr>
        <w:tc>
          <w:tcPr>
            <w:cnfStyle w:val="001000000000" w:firstRow="0" w:lastRow="0" w:firstColumn="1" w:lastColumn="0" w:oddVBand="0" w:evenVBand="0" w:oddHBand="0" w:evenHBand="0" w:firstRowFirstColumn="0" w:firstRowLastColumn="0" w:lastRowFirstColumn="0" w:lastRowLastColumn="0"/>
            <w:tcW w:w="3517" w:type="dxa"/>
            <w:vMerge/>
            <w:tcBorders>
              <w:bottom w:val="double" w:sz="4" w:space="0" w:color="9BBB59" w:themeColor="accent3"/>
            </w:tcBorders>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tcBorders>
              <w:bottom w:val="double" w:sz="4" w:space="0" w:color="9BBB59" w:themeColor="accent3"/>
            </w:tcBorders>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Русија</w:t>
            </w:r>
          </w:p>
        </w:tc>
        <w:tc>
          <w:tcPr>
            <w:tcW w:w="885" w:type="dxa"/>
            <w:tcBorders>
              <w:bottom w:val="double" w:sz="4" w:space="0" w:color="9BBB59" w:themeColor="accent3"/>
            </w:tcBorders>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1,6</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3,2</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2,5</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2,1</w:t>
            </w:r>
          </w:p>
        </w:tc>
      </w:tr>
      <w:tr w:rsidR="001826C9" w:rsidRPr="00171A80" w:rsidTr="00BB58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val="restart"/>
            <w:tcBorders>
              <w:top w:val="double" w:sz="4" w:space="0" w:color="9BBB59" w:themeColor="accent3"/>
            </w:tcBorders>
            <w:noWrap/>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Консолидовани фискални биланс, у % БДП</w:t>
            </w:r>
          </w:p>
        </w:tc>
        <w:tc>
          <w:tcPr>
            <w:tcW w:w="2200" w:type="dxa"/>
            <w:tcBorders>
              <w:top w:val="double" w:sz="4" w:space="0" w:color="9BBB59" w:themeColor="accent3"/>
            </w:tcBorders>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 xml:space="preserve">Италија </w:t>
            </w:r>
          </w:p>
        </w:tc>
        <w:tc>
          <w:tcPr>
            <w:tcW w:w="885" w:type="dxa"/>
            <w:tcBorders>
              <w:top w:val="double" w:sz="4" w:space="0" w:color="9BBB59" w:themeColor="accent3"/>
            </w:tcBorders>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-2,8</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-3,0</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-2,7</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-2,2</w:t>
            </w:r>
          </w:p>
        </w:tc>
      </w:tr>
      <w:tr w:rsidR="001826C9" w:rsidRPr="00171A80" w:rsidTr="00BB5842">
        <w:trPr>
          <w:trHeight w:val="269"/>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Немачка</w:t>
            </w:r>
          </w:p>
        </w:tc>
        <w:tc>
          <w:tcPr>
            <w:tcW w:w="885" w:type="dxa"/>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0,1</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0,2</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0,0</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0,2</w:t>
            </w:r>
          </w:p>
        </w:tc>
      </w:tr>
      <w:tr w:rsidR="001826C9" w:rsidRPr="00171A80" w:rsidTr="00BB58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Евро зона</w:t>
            </w:r>
          </w:p>
        </w:tc>
        <w:tc>
          <w:tcPr>
            <w:tcW w:w="885" w:type="dxa"/>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-2,9</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-2,6</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-2,4</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-2,1</w:t>
            </w:r>
          </w:p>
        </w:tc>
      </w:tr>
      <w:tr w:rsidR="001826C9" w:rsidRPr="00171A80" w:rsidTr="00BB5842">
        <w:trPr>
          <w:trHeight w:val="269"/>
        </w:trPr>
        <w:tc>
          <w:tcPr>
            <w:cnfStyle w:val="001000000000" w:firstRow="0" w:lastRow="0" w:firstColumn="1" w:lastColumn="0" w:oddVBand="0" w:evenVBand="0" w:oddHBand="0" w:evenHBand="0" w:firstRowFirstColumn="0" w:firstRowLastColumn="0" w:lastRowFirstColumn="0" w:lastRowLastColumn="0"/>
            <w:tcW w:w="3517" w:type="dxa"/>
            <w:vMerge/>
            <w:tcBorders>
              <w:bottom w:val="double" w:sz="4" w:space="0" w:color="9BBB59" w:themeColor="accent3"/>
            </w:tcBorders>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tcBorders>
              <w:bottom w:val="double" w:sz="4" w:space="0" w:color="9BBB59" w:themeColor="accent3"/>
            </w:tcBorders>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Русија</w:t>
            </w:r>
          </w:p>
        </w:tc>
        <w:tc>
          <w:tcPr>
            <w:tcW w:w="885" w:type="dxa"/>
            <w:tcBorders>
              <w:bottom w:val="double" w:sz="4" w:space="0" w:color="9BBB59" w:themeColor="accent3"/>
            </w:tcBorders>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0,2</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0,6</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0,2</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0,1</w:t>
            </w:r>
          </w:p>
        </w:tc>
      </w:tr>
      <w:tr w:rsidR="001826C9" w:rsidRPr="00171A80" w:rsidTr="00BB58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val="restart"/>
            <w:tcBorders>
              <w:top w:val="double" w:sz="4" w:space="0" w:color="9BBB59" w:themeColor="accent3"/>
            </w:tcBorders>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Бруто дуг државе, у % БДП</w:t>
            </w:r>
          </w:p>
        </w:tc>
        <w:tc>
          <w:tcPr>
            <w:tcW w:w="2200" w:type="dxa"/>
            <w:tcBorders>
              <w:top w:val="double" w:sz="4" w:space="0" w:color="9BBB59" w:themeColor="accent3"/>
            </w:tcBorders>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 xml:space="preserve">Италија </w:t>
            </w:r>
          </w:p>
        </w:tc>
        <w:tc>
          <w:tcPr>
            <w:tcW w:w="885" w:type="dxa"/>
            <w:tcBorders>
              <w:top w:val="double" w:sz="4" w:space="0" w:color="9BBB59" w:themeColor="accent3"/>
            </w:tcBorders>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127,9</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132,2</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133,8</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132,7</w:t>
            </w:r>
          </w:p>
        </w:tc>
      </w:tr>
      <w:tr w:rsidR="001826C9" w:rsidRPr="00171A80" w:rsidTr="00BB5842">
        <w:trPr>
          <w:trHeight w:val="269"/>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Немачка</w:t>
            </w:r>
          </w:p>
        </w:tc>
        <w:tc>
          <w:tcPr>
            <w:tcW w:w="885" w:type="dxa"/>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76,9</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74,5</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72,4</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69,6</w:t>
            </w:r>
          </w:p>
        </w:tc>
      </w:tr>
      <w:tr w:rsidR="001826C9" w:rsidRPr="00171A80" w:rsidTr="00BB58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Евро зона</w:t>
            </w:r>
          </w:p>
        </w:tc>
        <w:tc>
          <w:tcPr>
            <w:tcW w:w="885" w:type="dxa"/>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93,1</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94,5</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94,8</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93,8</w:t>
            </w:r>
          </w:p>
        </w:tc>
      </w:tr>
      <w:tr w:rsidR="001826C9" w:rsidRPr="00171A80" w:rsidTr="00BB5842">
        <w:trPr>
          <w:trHeight w:val="269"/>
        </w:trPr>
        <w:tc>
          <w:tcPr>
            <w:cnfStyle w:val="001000000000" w:firstRow="0" w:lastRow="0" w:firstColumn="1" w:lastColumn="0" w:oddVBand="0" w:evenVBand="0" w:oddHBand="0" w:evenHBand="0" w:firstRowFirstColumn="0" w:firstRowLastColumn="0" w:lastRowFirstColumn="0" w:lastRowLastColumn="0"/>
            <w:tcW w:w="3517" w:type="dxa"/>
            <w:vMerge/>
            <w:tcBorders>
              <w:bottom w:val="double" w:sz="4" w:space="0" w:color="9BBB59" w:themeColor="accent3"/>
            </w:tcBorders>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p>
        </w:tc>
        <w:tc>
          <w:tcPr>
            <w:tcW w:w="2200" w:type="dxa"/>
            <w:tcBorders>
              <w:bottom w:val="double" w:sz="4" w:space="0" w:color="9BBB59" w:themeColor="accent3"/>
            </w:tcBorders>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Русија</w:t>
            </w:r>
          </w:p>
        </w:tc>
        <w:tc>
          <w:tcPr>
            <w:tcW w:w="885" w:type="dxa"/>
            <w:tcBorders>
              <w:bottom w:val="double" w:sz="4" w:space="0" w:color="9BBB59" w:themeColor="accent3"/>
            </w:tcBorders>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13,9</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15,9</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16,8</w:t>
            </w:r>
          </w:p>
        </w:tc>
        <w:tc>
          <w:tcPr>
            <w:tcW w:w="791" w:type="dxa"/>
            <w:tcBorders>
              <w:bottom w:val="double" w:sz="4" w:space="0" w:color="9BBB59" w:themeColor="accent3"/>
            </w:tcBorders>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17,0</w:t>
            </w:r>
          </w:p>
        </w:tc>
      </w:tr>
      <w:tr w:rsidR="001826C9" w:rsidRPr="00171A80" w:rsidTr="00BB58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val="restart"/>
            <w:tcBorders>
              <w:top w:val="double" w:sz="4" w:space="0" w:color="9BBB59" w:themeColor="accent3"/>
            </w:tcBorders>
            <w:vAlign w:val="center"/>
            <w:hideMark/>
          </w:tcPr>
          <w:p w:rsidR="001826C9" w:rsidRPr="00171A80" w:rsidRDefault="001826C9" w:rsidP="001826C9">
            <w:pPr>
              <w:spacing w:after="0"/>
              <w:ind w:firstLine="0"/>
              <w:jc w:val="left"/>
              <w:rPr>
                <w:rFonts w:asciiTheme="majorHAnsi" w:hAnsiTheme="majorHAnsi" w:cs="Calibri"/>
                <w:bCs/>
                <w:color w:val="7F7F7F" w:themeColor="text1" w:themeTint="80"/>
                <w:sz w:val="21"/>
                <w:szCs w:val="21"/>
                <w:lang w:val="sr-Cyrl-RS"/>
              </w:rPr>
            </w:pPr>
            <w:r w:rsidRPr="00171A80">
              <w:rPr>
                <w:rFonts w:asciiTheme="majorHAnsi" w:hAnsiTheme="majorHAnsi" w:cs="Calibri"/>
                <w:bCs/>
                <w:color w:val="7F7F7F" w:themeColor="text1" w:themeTint="80"/>
                <w:sz w:val="21"/>
                <w:szCs w:val="21"/>
                <w:lang w:val="sr-Cyrl-RS"/>
              </w:rPr>
              <w:t>Стопа незапослености, у %</w:t>
            </w:r>
          </w:p>
        </w:tc>
        <w:tc>
          <w:tcPr>
            <w:tcW w:w="2200" w:type="dxa"/>
            <w:tcBorders>
              <w:top w:val="double" w:sz="4" w:space="0" w:color="9BBB59" w:themeColor="accent3"/>
            </w:tcBorders>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 xml:space="preserve">Италија </w:t>
            </w:r>
          </w:p>
        </w:tc>
        <w:tc>
          <w:tcPr>
            <w:tcW w:w="885" w:type="dxa"/>
            <w:tcBorders>
              <w:top w:val="double" w:sz="4" w:space="0" w:color="9BBB59" w:themeColor="accent3"/>
            </w:tcBorders>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12,2</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12,6</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12,6</w:t>
            </w:r>
          </w:p>
        </w:tc>
        <w:tc>
          <w:tcPr>
            <w:tcW w:w="791" w:type="dxa"/>
            <w:tcBorders>
              <w:top w:val="double" w:sz="4" w:space="0" w:color="9BBB59" w:themeColor="accent3"/>
            </w:tcBorders>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12,4</w:t>
            </w:r>
          </w:p>
        </w:tc>
      </w:tr>
      <w:tr w:rsidR="001826C9" w:rsidRPr="00171A80" w:rsidTr="001826C9">
        <w:trPr>
          <w:trHeight w:val="269"/>
        </w:trPr>
        <w:tc>
          <w:tcPr>
            <w:cnfStyle w:val="001000000000" w:firstRow="0" w:lastRow="0" w:firstColumn="1" w:lastColumn="0" w:oddVBand="0" w:evenVBand="0" w:oddHBand="0" w:evenHBand="0" w:firstRowFirstColumn="0" w:firstRowLastColumn="0" w:lastRowFirstColumn="0" w:lastRowLastColumn="0"/>
            <w:tcW w:w="3517" w:type="dxa"/>
            <w:vMerge/>
            <w:hideMark/>
          </w:tcPr>
          <w:p w:rsidR="001826C9" w:rsidRPr="00171A80" w:rsidRDefault="001826C9" w:rsidP="001826C9">
            <w:pPr>
              <w:spacing w:after="0"/>
              <w:ind w:firstLine="0"/>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Немачка</w:t>
            </w:r>
          </w:p>
        </w:tc>
        <w:tc>
          <w:tcPr>
            <w:tcW w:w="885" w:type="dxa"/>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5,3</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5,1</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5,1</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4,8</w:t>
            </w:r>
          </w:p>
        </w:tc>
      </w:tr>
      <w:tr w:rsidR="001826C9" w:rsidRPr="00171A80" w:rsidTr="001826C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17" w:type="dxa"/>
            <w:vMerge/>
            <w:hideMark/>
          </w:tcPr>
          <w:p w:rsidR="001826C9" w:rsidRPr="00171A80" w:rsidRDefault="001826C9" w:rsidP="001826C9">
            <w:pPr>
              <w:spacing w:after="0"/>
              <w:ind w:firstLine="0"/>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Евро зона</w:t>
            </w:r>
          </w:p>
        </w:tc>
        <w:tc>
          <w:tcPr>
            <w:tcW w:w="885" w:type="dxa"/>
            <w:noWrap/>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11,9</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11,6</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11,3</w:t>
            </w:r>
          </w:p>
        </w:tc>
        <w:tc>
          <w:tcPr>
            <w:tcW w:w="791" w:type="dxa"/>
            <w:hideMark/>
          </w:tcPr>
          <w:p w:rsidR="001826C9" w:rsidRPr="00171A80" w:rsidRDefault="001826C9" w:rsidP="00B13EA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10,8</w:t>
            </w:r>
          </w:p>
        </w:tc>
      </w:tr>
      <w:tr w:rsidR="001826C9" w:rsidRPr="00171A80" w:rsidTr="001826C9">
        <w:trPr>
          <w:trHeight w:val="269"/>
        </w:trPr>
        <w:tc>
          <w:tcPr>
            <w:cnfStyle w:val="001000000000" w:firstRow="0" w:lastRow="0" w:firstColumn="1" w:lastColumn="0" w:oddVBand="0" w:evenVBand="0" w:oddHBand="0" w:evenHBand="0" w:firstRowFirstColumn="0" w:firstRowLastColumn="0" w:lastRowFirstColumn="0" w:lastRowLastColumn="0"/>
            <w:tcW w:w="3517" w:type="dxa"/>
            <w:vMerge/>
            <w:hideMark/>
          </w:tcPr>
          <w:p w:rsidR="001826C9" w:rsidRPr="00171A80" w:rsidRDefault="001826C9" w:rsidP="001826C9">
            <w:pPr>
              <w:spacing w:after="0"/>
              <w:ind w:firstLine="0"/>
              <w:rPr>
                <w:rFonts w:asciiTheme="majorHAnsi" w:hAnsiTheme="majorHAnsi" w:cs="Calibri"/>
                <w:bCs/>
                <w:color w:val="7F7F7F" w:themeColor="text1" w:themeTint="80"/>
                <w:sz w:val="21"/>
                <w:szCs w:val="21"/>
                <w:lang w:val="sr-Cyrl-RS"/>
              </w:rPr>
            </w:pPr>
          </w:p>
        </w:tc>
        <w:tc>
          <w:tcPr>
            <w:tcW w:w="2200" w:type="dxa"/>
            <w:noWrap/>
            <w:hideMark/>
          </w:tcPr>
          <w:p w:rsidR="001826C9" w:rsidRPr="00171A80" w:rsidRDefault="001826C9" w:rsidP="001826C9">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Русија</w:t>
            </w:r>
          </w:p>
        </w:tc>
        <w:tc>
          <w:tcPr>
            <w:tcW w:w="885" w:type="dxa"/>
            <w:noWrap/>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5,5</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5,4</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5,6</w:t>
            </w:r>
          </w:p>
        </w:tc>
        <w:tc>
          <w:tcPr>
            <w:tcW w:w="791" w:type="dxa"/>
            <w:hideMark/>
          </w:tcPr>
          <w:p w:rsidR="001826C9" w:rsidRPr="00171A80" w:rsidRDefault="001826C9" w:rsidP="00B13EA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7F7F7F" w:themeColor="text1" w:themeTint="80"/>
                <w:sz w:val="21"/>
                <w:szCs w:val="21"/>
                <w:lang w:val="sr-Cyrl-RS"/>
              </w:rPr>
            </w:pPr>
            <w:r w:rsidRPr="00171A80">
              <w:rPr>
                <w:rFonts w:asciiTheme="majorHAnsi" w:hAnsiTheme="majorHAnsi" w:cs="Calibri"/>
                <w:color w:val="7F7F7F" w:themeColor="text1" w:themeTint="80"/>
                <w:sz w:val="21"/>
                <w:szCs w:val="21"/>
                <w:lang w:val="sr-Cyrl-RS"/>
              </w:rPr>
              <w:t>5,7</w:t>
            </w:r>
          </w:p>
        </w:tc>
      </w:tr>
    </w:tbl>
    <w:p w:rsidR="001826C9" w:rsidRPr="00155924" w:rsidRDefault="00201246" w:rsidP="00BA299D">
      <w:pPr>
        <w:ind w:firstLine="0"/>
        <w:jc w:val="left"/>
        <w:rPr>
          <w:rFonts w:asciiTheme="majorHAnsi" w:hAnsiTheme="majorHAnsi" w:cs="Calibri"/>
          <w:color w:val="7F7F7F" w:themeColor="text1" w:themeTint="80"/>
          <w:sz w:val="18"/>
          <w:szCs w:val="18"/>
          <w:lang w:val="sr-Cyrl-RS"/>
        </w:rPr>
      </w:pPr>
      <w:r w:rsidRPr="00155924">
        <w:rPr>
          <w:rFonts w:asciiTheme="majorHAnsi" w:hAnsiTheme="majorHAnsi" w:cs="Times New Roman"/>
          <w:b/>
          <w:bCs w:val="0"/>
          <w:color w:val="7F7F7F" w:themeColor="text1" w:themeTint="80"/>
          <w:sz w:val="18"/>
          <w:szCs w:val="18"/>
          <w:lang w:val="sr-Cyrl-RS"/>
        </w:rPr>
        <w:t>Извор:</w:t>
      </w:r>
      <w:r w:rsidRPr="00155924">
        <w:rPr>
          <w:rFonts w:asciiTheme="majorHAnsi" w:hAnsiTheme="majorHAnsi" w:cs="Times New Roman"/>
          <w:bCs w:val="0"/>
          <w:color w:val="7F7F7F" w:themeColor="text1" w:themeTint="80"/>
          <w:sz w:val="18"/>
          <w:szCs w:val="18"/>
          <w:lang w:val="sr-Cyrl-RS"/>
        </w:rPr>
        <w:t xml:space="preserve"> Европска комисија, Autumn Forecast, новембар 2014. године</w:t>
      </w:r>
    </w:p>
    <w:p w:rsidR="00DE4DFC" w:rsidRPr="00DE4DFC" w:rsidRDefault="00DE4DFC" w:rsidP="009A61F6">
      <w:pPr>
        <w:rPr>
          <w:rFonts w:asciiTheme="majorHAnsi" w:hAnsiTheme="majorHAnsi" w:cs="Calibri"/>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t xml:space="preserve">Дезинфлаторни тренд у земљама ЕУ се наставља и током 2014. године услед ниских цена енергената и хране и претходне апрецијације евра. Са постепеним опоравком економске активности и растом плата, инфлација би требало да се убрза у наредном периоду, услед ишчезавања ефекта ниских цена енергената и хране и благог раста увозних цена. Према пројекцијама ЕК, у 2014. години предвиђена инфлација износи 0,5%, у 2015. години 0,8%, а у 2016. години 1,5%. </w:t>
      </w:r>
    </w:p>
    <w:p w:rsidR="00B679BC" w:rsidRDefault="00DE4DFC" w:rsidP="00DE4DFC">
      <w:pPr>
        <w:spacing w:after="0"/>
        <w:rPr>
          <w:rFonts w:asciiTheme="majorHAnsi" w:hAnsiTheme="majorHAnsi" w:cs="Calibri"/>
          <w:color w:val="7F7F7F" w:themeColor="text1" w:themeTint="80"/>
          <w:sz w:val="21"/>
          <w:szCs w:val="21"/>
          <w:lang w:val="sr-Cyrl-RS"/>
        </w:rPr>
      </w:pPr>
      <w:r w:rsidRPr="00DE4DFC">
        <w:rPr>
          <w:rFonts w:asciiTheme="majorHAnsi" w:hAnsiTheme="majorHAnsi" w:cs="Calibri"/>
          <w:color w:val="7F7F7F" w:themeColor="text1" w:themeTint="80"/>
          <w:sz w:val="21"/>
          <w:szCs w:val="21"/>
          <w:lang w:val="sr-Cyrl-RS"/>
        </w:rPr>
        <w:t xml:space="preserve">Ризици остварења наведених пројекција глобалног привредног опоравка су уско повезани са геополитичким тензијама у Украјини и на Блиском истоку. Такође, изостанак спровођења структурних, фискалних и институционалних реформи може увећати економске разлике унутар ЕУ и угрозити економски раст. Ризици везани за развијене економије се односе на ниску инфлацију и опасност од стагнације, док су земље у развоју суочене са могућношћу да </w:t>
      </w:r>
      <w:r w:rsidRPr="00DE4DFC">
        <w:rPr>
          <w:rFonts w:asciiTheme="majorHAnsi" w:hAnsiTheme="majorHAnsi" w:cs="Calibri"/>
          <w:color w:val="7F7F7F" w:themeColor="text1" w:themeTint="80"/>
          <w:sz w:val="21"/>
          <w:szCs w:val="21"/>
          <w:lang w:val="sr-Cyrl-RS"/>
        </w:rPr>
        <w:lastRenderedPageBreak/>
        <w:t>се у условима погоршаних екстерних финансијских услова велики део страног капитала одлије и на тај начин узрокује нестабилност на домаћим финансијским тржиштима</w:t>
      </w:r>
      <w:r w:rsidR="00FF08B1" w:rsidRPr="00FF08B1">
        <w:rPr>
          <w:rFonts w:asciiTheme="majorHAnsi" w:hAnsiTheme="majorHAnsi" w:cs="Calibri"/>
          <w:color w:val="7F7F7F" w:themeColor="text1" w:themeTint="80"/>
          <w:sz w:val="21"/>
          <w:szCs w:val="21"/>
          <w:lang w:val="sr-Cyrl-RS"/>
        </w:rPr>
        <w:t>.</w:t>
      </w:r>
    </w:p>
    <w:p w:rsidR="000B1F0F" w:rsidRPr="00171A80" w:rsidRDefault="000B1F0F" w:rsidP="00DE4DFC">
      <w:pPr>
        <w:spacing w:after="0"/>
        <w:rPr>
          <w:rFonts w:asciiTheme="majorHAnsi" w:hAnsiTheme="majorHAnsi" w:cs="Calibri"/>
          <w:color w:val="7F7F7F" w:themeColor="text1" w:themeTint="80"/>
          <w:sz w:val="21"/>
          <w:szCs w:val="21"/>
          <w:lang w:val="sr-Cyrl-RS"/>
        </w:rPr>
      </w:pPr>
    </w:p>
    <w:p w:rsidR="006A1B3A" w:rsidRDefault="00B37C5D" w:rsidP="00B679BC">
      <w:pPr>
        <w:pStyle w:val="Heading3"/>
        <w:numPr>
          <w:ilvl w:val="1"/>
          <w:numId w:val="2"/>
        </w:numPr>
        <w:spacing w:before="0" w:after="0"/>
        <w:ind w:left="357" w:hanging="357"/>
        <w:rPr>
          <w:rFonts w:asciiTheme="majorHAnsi" w:hAnsiTheme="majorHAnsi"/>
          <w:b w:val="0"/>
          <w:lang w:val="sr-Cyrl-RS"/>
        </w:rPr>
      </w:pPr>
      <w:bookmarkStart w:id="19" w:name="_Toc407617158"/>
      <w:bookmarkEnd w:id="14"/>
      <w:bookmarkEnd w:id="15"/>
      <w:bookmarkEnd w:id="17"/>
      <w:bookmarkEnd w:id="18"/>
      <w:r w:rsidRPr="00171A80">
        <w:rPr>
          <w:rFonts w:asciiTheme="majorHAnsi" w:hAnsiTheme="majorHAnsi"/>
          <w:b w:val="0"/>
          <w:lang w:val="sr-Cyrl-RS"/>
        </w:rPr>
        <w:t xml:space="preserve">Текућа макроекономска кретања и изгледи </w:t>
      </w:r>
      <w:r w:rsidR="009A4B9E" w:rsidRPr="00171A80">
        <w:rPr>
          <w:rFonts w:asciiTheme="majorHAnsi" w:hAnsiTheme="majorHAnsi"/>
          <w:b w:val="0"/>
          <w:lang w:val="sr-Cyrl-RS"/>
        </w:rPr>
        <w:t>за</w:t>
      </w:r>
      <w:r w:rsidRPr="00171A80">
        <w:rPr>
          <w:rFonts w:asciiTheme="majorHAnsi" w:hAnsiTheme="majorHAnsi"/>
          <w:b w:val="0"/>
          <w:lang w:val="sr-Cyrl-RS"/>
        </w:rPr>
        <w:t xml:space="preserve"> 201</w:t>
      </w:r>
      <w:r w:rsidR="00C37371" w:rsidRPr="00171A80">
        <w:rPr>
          <w:rFonts w:asciiTheme="majorHAnsi" w:hAnsiTheme="majorHAnsi"/>
          <w:b w:val="0"/>
          <w:lang w:val="sr-Cyrl-RS"/>
        </w:rPr>
        <w:t>4</w:t>
      </w:r>
      <w:r w:rsidRPr="00171A80">
        <w:rPr>
          <w:rFonts w:asciiTheme="majorHAnsi" w:hAnsiTheme="majorHAnsi"/>
          <w:b w:val="0"/>
          <w:lang w:val="sr-Cyrl-RS"/>
        </w:rPr>
        <w:t>. годин</w:t>
      </w:r>
      <w:r w:rsidR="009A4B9E" w:rsidRPr="00171A80">
        <w:rPr>
          <w:rFonts w:asciiTheme="majorHAnsi" w:hAnsiTheme="majorHAnsi"/>
          <w:b w:val="0"/>
          <w:lang w:val="sr-Cyrl-RS"/>
        </w:rPr>
        <w:t>у</w:t>
      </w:r>
      <w:bookmarkEnd w:id="19"/>
    </w:p>
    <w:p w:rsidR="006D67D3" w:rsidRPr="006D67D3" w:rsidRDefault="006D67D3" w:rsidP="006D67D3">
      <w:pPr>
        <w:spacing w:after="0"/>
        <w:rPr>
          <w:lang w:val="sr-Cyrl-RS"/>
        </w:rPr>
      </w:pPr>
    </w:p>
    <w:p w:rsidR="00DE4DFC" w:rsidRPr="00DE4DFC" w:rsidRDefault="00DE4DFC" w:rsidP="00DE4DFC">
      <w:pPr>
        <w:rPr>
          <w:rFonts w:asciiTheme="majorHAnsi" w:hAnsiTheme="majorHAnsi" w:cs="Times New Roman"/>
          <w:noProof/>
          <w:color w:val="7F7F7F" w:themeColor="text1" w:themeTint="80"/>
          <w:sz w:val="21"/>
          <w:szCs w:val="21"/>
          <w:lang w:val="sr-Cyrl-RS" w:bidi="en-US"/>
        </w:rPr>
      </w:pPr>
      <w:r w:rsidRPr="00DE4DFC">
        <w:rPr>
          <w:rFonts w:asciiTheme="majorHAnsi" w:hAnsiTheme="majorHAnsi" w:cs="Times New Roman"/>
          <w:noProof/>
          <w:color w:val="7F7F7F" w:themeColor="text1" w:themeTint="80"/>
          <w:sz w:val="21"/>
          <w:szCs w:val="21"/>
          <w:lang w:val="sr-Cyrl-RS" w:bidi="en-US"/>
        </w:rPr>
        <w:t>Макроекономска кретања у 2013. години првенствено обележавају раст привредне активности и раст извоза, уз значајно смањење спољнотрговинског дефицита и дефицита текућег рачуна, као и ниска инфлација којој је значајно допринело спровођење мера фискалне консолидације. Фискална консолидација започета је крајем 2012. године, првенствено мерама на приходној страни, у виду повећања пореских стопа, а мањим делом на расходној страни, путем ограничавања раста плата у јавном сектору и пензија. Према процени Републичког завода за статистику (у даљем тексту: РЗС), реални сектор је у 2013. години, након рецесије у 2012. години, забележио међугодишњи раст БДП од 2,6% у условима спровођења мера фискалне консолидације, уз међугодишњи раст физичког обима индустријске производње од 5,5% и пољопривредне производње од 22,1%.</w:t>
      </w:r>
    </w:p>
    <w:p w:rsidR="00DE4DFC" w:rsidRPr="00DE4DFC" w:rsidRDefault="00DE4DFC" w:rsidP="00DE4DFC">
      <w:pPr>
        <w:rPr>
          <w:rFonts w:asciiTheme="majorHAnsi" w:hAnsiTheme="majorHAnsi" w:cs="Times New Roman"/>
          <w:noProof/>
          <w:color w:val="7F7F7F" w:themeColor="text1" w:themeTint="80"/>
          <w:sz w:val="21"/>
          <w:szCs w:val="21"/>
          <w:lang w:val="sr-Cyrl-RS" w:bidi="en-US"/>
        </w:rPr>
      </w:pPr>
      <w:r w:rsidRPr="00DE4DFC">
        <w:rPr>
          <w:rFonts w:asciiTheme="majorHAnsi" w:hAnsiTheme="majorHAnsi" w:cs="Times New Roman"/>
          <w:noProof/>
          <w:color w:val="7F7F7F" w:themeColor="text1" w:themeTint="80"/>
          <w:sz w:val="21"/>
          <w:szCs w:val="21"/>
          <w:lang w:val="sr-Cyrl-RS" w:bidi="en-US"/>
        </w:rPr>
        <w:t>У 2013. години извоз робе изражен у еврима повећан је за 25,8%, а увоз робе за 5,1%, уз смањење спољнотрговинског дефицита за једну четвртину. Дефицит текућег рачуна је смањен за две петине, чему је, поред пораста извоза, допринела и фискална консолидација. Порасту извоза највише је допринео извоз друмских возила, електричних машина и апарата, поврћа и воћа, житарица и обојених метала (нешто изнад једне трећине укупног извоза). Порасту увоза допринео је пораст увоза друмских возила, нафте и деривата нафте, гаса, електричних машина и апарата и медицинских и фармацеутских производа, на које се односила једна трећина укупног увоза у 2013. години. На тржишту рада у 2013. години смањен је укупан број формално запослених лица за 0,7%, уз повећање броја активно незапослених лица за 1,7%, док су укупне просечне нето зараде реално смањене за 1,5%. Стопа незапослености, према Анкети о радној снази (у даљем тексту: АРС) у 2013. години, износила је 22,1%, а стопа запослености 37,7%.</w:t>
      </w:r>
    </w:p>
    <w:p w:rsidR="00DE4DFC" w:rsidRPr="00DE4DFC" w:rsidRDefault="00DE4DFC" w:rsidP="00DE4DFC">
      <w:pPr>
        <w:rPr>
          <w:rFonts w:asciiTheme="majorHAnsi" w:hAnsiTheme="majorHAnsi" w:cs="Times New Roman"/>
          <w:noProof/>
          <w:color w:val="7F7F7F" w:themeColor="text1" w:themeTint="80"/>
          <w:sz w:val="21"/>
          <w:szCs w:val="21"/>
          <w:lang w:val="sr-Cyrl-RS" w:bidi="en-US"/>
        </w:rPr>
      </w:pPr>
      <w:r w:rsidRPr="00DE4DFC">
        <w:rPr>
          <w:rFonts w:asciiTheme="majorHAnsi" w:hAnsiTheme="majorHAnsi" w:cs="Times New Roman"/>
          <w:noProof/>
          <w:color w:val="7F7F7F" w:themeColor="text1" w:themeTint="80"/>
          <w:sz w:val="21"/>
          <w:szCs w:val="21"/>
          <w:lang w:val="sr-Cyrl-RS" w:bidi="en-US"/>
        </w:rPr>
        <w:t xml:space="preserve">Међугодишњи раст потрошачких цена у децембру 2013. године износио је 2,2%, што је испод доње границе дозвољеног одступања од циљане инфлације и резултат је, пре свега, ниске агрегатне тражње, пада цена хране и релативно стабилног курса динара. </w:t>
      </w:r>
    </w:p>
    <w:p w:rsidR="00DE4DFC" w:rsidRPr="00DE4DFC" w:rsidRDefault="00DE4DFC" w:rsidP="00DE4DFC">
      <w:pPr>
        <w:rPr>
          <w:rFonts w:asciiTheme="majorHAnsi" w:hAnsiTheme="majorHAnsi" w:cs="Times New Roman"/>
          <w:noProof/>
          <w:color w:val="7F7F7F" w:themeColor="text1" w:themeTint="80"/>
          <w:sz w:val="21"/>
          <w:szCs w:val="21"/>
          <w:lang w:val="sr-Cyrl-RS" w:bidi="en-US"/>
        </w:rPr>
      </w:pPr>
      <w:r w:rsidRPr="00DE4DFC">
        <w:rPr>
          <w:rFonts w:asciiTheme="majorHAnsi" w:hAnsiTheme="majorHAnsi" w:cs="Times New Roman"/>
          <w:noProof/>
          <w:color w:val="7F7F7F" w:themeColor="text1" w:themeTint="80"/>
          <w:sz w:val="21"/>
          <w:szCs w:val="21"/>
          <w:lang w:val="sr-Cyrl-RS" w:bidi="en-US"/>
        </w:rPr>
        <w:t>Пад привредне активности и ниска инфлација су доминантна економска обележја у првих десет месеци 2014. године. Неповољне временске прилике су проузроковале велике поплаве, што је знатно погоршало услове у којима се одвијала привредна активност. Поплаве су највеће штете нанеле индустрији, посебно секторима рударство и производња електричне енергије. То је, уз успоравање раста у земљама које су главни спољнотрговински партнери Републике Србије, довело до продубљивања пада привредне активности у другом и трећем кварталу. Извоз успорава раст, а у трећем кварталу је забележен његов међугодишњи пад. Настављен је тренд успоравања међугодишње инфлације, уз ублажавање реалног пада зарада. На тржишту рада настављено је смањивање формалне запослености, а регистрован је и благи пад броја активно незапослених лица, уз повећање броја пензионера. Монетарна политика опрезно је ублажавана због присутних интерних и екстерних неизвесности. Ради ублажавања депрецијацијских притисака, као и прекомерних краткорочних осцилација девизног курса, НБС је интервенисала повећаном продајом девиза на међубанкарском девизном тржишту. У домену фискалне политике од почетка 2014. године примењују се мере фискалне консолидације усвојене током 2013. године.</w:t>
      </w:r>
    </w:p>
    <w:p w:rsidR="00FA5E9A" w:rsidRPr="00171A80" w:rsidRDefault="00DE4DFC" w:rsidP="00DE4DFC">
      <w:pPr>
        <w:rPr>
          <w:rFonts w:asciiTheme="majorHAnsi" w:hAnsiTheme="majorHAnsi" w:cs="Times New Roman"/>
          <w:noProof/>
          <w:color w:val="FF0000"/>
          <w:sz w:val="21"/>
          <w:szCs w:val="21"/>
          <w:lang w:val="sr-Cyrl-RS" w:bidi="en-US"/>
        </w:rPr>
      </w:pPr>
      <w:r w:rsidRPr="00DE4DFC">
        <w:rPr>
          <w:rFonts w:asciiTheme="majorHAnsi" w:hAnsiTheme="majorHAnsi" w:cs="Times New Roman"/>
          <w:noProof/>
          <w:color w:val="7F7F7F" w:themeColor="text1" w:themeTint="80"/>
          <w:sz w:val="21"/>
          <w:szCs w:val="21"/>
          <w:lang w:val="sr-Cyrl-RS" w:bidi="en-US"/>
        </w:rPr>
        <w:t xml:space="preserve">Смањивање БДП у 2014. години (-0,2% у првом кварталу, -1,3% у другом кварталу и пад од 3,6% у трећем кварталу, на међугодишњем нивоу) последица је пада индустријске производње и наставка негативних трендова у сектору грађевинарства, као директне последице неповољних временских прилика и великих поплава. Последице поплава су се највише одразиле у трећем кварталу када је забележено највеће смањење бруто додате вредности у секторима рударства, прерађивачке индустрије и енергетике. У овом периоду, посматрано са расходне стране, све компоненте БДП су забележиле пад, при чему су највећи утицај на пад БДП имали нето извоз и инвестиције. Очекује се да ће неповољна привредна кретања бити заустављена у последњем кварталу ове године. Процењује се да ће БДП у 2014. години износити 3.884 млрд динара, што је повећање од 0,2% у односу на претходну годину. </w:t>
      </w:r>
      <w:r w:rsidRPr="00DE4DFC">
        <w:rPr>
          <w:rFonts w:asciiTheme="majorHAnsi" w:hAnsiTheme="majorHAnsi" w:cs="Times New Roman"/>
          <w:noProof/>
          <w:color w:val="7F7F7F" w:themeColor="text1" w:themeTint="80"/>
          <w:sz w:val="21"/>
          <w:szCs w:val="21"/>
          <w:lang w:val="sr-Cyrl-RS" w:bidi="en-US"/>
        </w:rPr>
        <w:lastRenderedPageBreak/>
        <w:t>Са производне стране, негативан допринос БДП очекује се од пада активности у грађевинарству и у услужном сектору, осим у секторима саобраћаја, информисања и комуникација, који</w:t>
      </w:r>
      <w:r>
        <w:rPr>
          <w:rFonts w:asciiTheme="majorHAnsi" w:hAnsiTheme="majorHAnsi" w:cs="Times New Roman"/>
          <w:noProof/>
          <w:color w:val="7F7F7F" w:themeColor="text1" w:themeTint="80"/>
          <w:sz w:val="21"/>
          <w:szCs w:val="21"/>
          <w:lang w:val="sr-Cyrl-RS" w:bidi="en-US"/>
        </w:rPr>
        <w:t xml:space="preserve"> ће забележити раст обима услу</w:t>
      </w:r>
      <w:r w:rsidR="00FD6682" w:rsidRPr="00FD6682">
        <w:rPr>
          <w:rFonts w:asciiTheme="majorHAnsi" w:hAnsiTheme="majorHAnsi" w:cs="Times New Roman"/>
          <w:noProof/>
          <w:color w:val="7F7F7F" w:themeColor="text1" w:themeTint="80"/>
          <w:sz w:val="21"/>
          <w:szCs w:val="21"/>
          <w:lang w:val="sr-Cyrl-RS" w:bidi="en-US"/>
        </w:rPr>
        <w:t>га</w:t>
      </w:r>
      <w:r w:rsidR="00FA5E9A" w:rsidRPr="00171A80">
        <w:rPr>
          <w:rFonts w:asciiTheme="majorHAnsi" w:hAnsiTheme="majorHAnsi" w:cs="Times New Roman"/>
          <w:noProof/>
          <w:color w:val="7F7F7F" w:themeColor="text1" w:themeTint="80"/>
          <w:sz w:val="21"/>
          <w:szCs w:val="21"/>
          <w:lang w:val="sr-Cyrl-RS" w:bidi="en-US"/>
        </w:rPr>
        <w:t>.</w:t>
      </w:r>
    </w:p>
    <w:p w:rsidR="00FA5E9A" w:rsidRPr="00171A80" w:rsidRDefault="00FA5E9A" w:rsidP="00C07453">
      <w:pPr>
        <w:ind w:firstLine="0"/>
        <w:rPr>
          <w:rFonts w:asciiTheme="majorHAnsi" w:hAnsiTheme="majorHAnsi" w:cs="Times New Roman"/>
          <w:b/>
          <w:noProof/>
          <w:color w:val="7F7F7F" w:themeColor="text1" w:themeTint="80"/>
          <w:sz w:val="21"/>
          <w:szCs w:val="21"/>
          <w:lang w:val="sr-Cyrl-RS" w:bidi="en-US"/>
        </w:rPr>
      </w:pPr>
      <w:r w:rsidRPr="00171A80">
        <w:rPr>
          <w:rFonts w:asciiTheme="majorHAnsi" w:hAnsiTheme="majorHAnsi" w:cs="Times New Roman"/>
          <w:b/>
          <w:noProof/>
          <w:color w:val="7F7F7F" w:themeColor="text1" w:themeTint="80"/>
          <w:sz w:val="21"/>
          <w:szCs w:val="21"/>
          <w:lang w:val="sr-Cyrl-RS" w:bidi="en-US"/>
        </w:rPr>
        <w:t>Табела 3. Основни индикатори текућих економских кретања</w:t>
      </w:r>
    </w:p>
    <w:tbl>
      <w:tblPr>
        <w:tblStyle w:val="LightShading-Accent32"/>
        <w:tblpPr w:leftFromText="142" w:rightFromText="142" w:vertAnchor="text" w:horzAnchor="margin" w:tblpXSpec="center" w:tblpY="1"/>
        <w:tblW w:w="5000" w:type="pct"/>
        <w:tblLayout w:type="fixed"/>
        <w:tblLook w:val="0420" w:firstRow="1" w:lastRow="0" w:firstColumn="0" w:lastColumn="0" w:noHBand="0" w:noVBand="1"/>
      </w:tblPr>
      <w:tblGrid>
        <w:gridCol w:w="2713"/>
        <w:gridCol w:w="2623"/>
        <w:gridCol w:w="1648"/>
        <w:gridCol w:w="2042"/>
      </w:tblGrid>
      <w:tr w:rsidR="00FA5E9A" w:rsidRPr="00171A80" w:rsidTr="0097114B">
        <w:trPr>
          <w:cnfStyle w:val="100000000000" w:firstRow="1" w:lastRow="0" w:firstColumn="0" w:lastColumn="0" w:oddVBand="0" w:evenVBand="0" w:oddHBand="0" w:evenHBand="0" w:firstRowFirstColumn="0" w:firstRowLastColumn="0" w:lastRowFirstColumn="0" w:lastRowLastColumn="0"/>
          <w:trHeight w:val="28"/>
          <w:tblHeader/>
        </w:trPr>
        <w:tc>
          <w:tcPr>
            <w:tcW w:w="2956" w:type="pct"/>
            <w:gridSpan w:val="2"/>
            <w:hideMark/>
          </w:tcPr>
          <w:p w:rsidR="00FA5E9A" w:rsidRPr="00171A80" w:rsidRDefault="00FA5E9A" w:rsidP="00DE4DFC">
            <w:pPr>
              <w:spacing w:after="0"/>
              <w:ind w:firstLine="0"/>
              <w:jc w:val="center"/>
              <w:rPr>
                <w:rFonts w:asciiTheme="majorHAnsi" w:hAnsiTheme="majorHAnsi" w:cs="Times New Roman"/>
                <w:bCs/>
                <w:noProof/>
                <w:color w:val="7F7F7F" w:themeColor="text1" w:themeTint="80"/>
                <w:sz w:val="21"/>
                <w:szCs w:val="21"/>
                <w:lang w:val="sr-Cyrl-RS" w:bidi="en-US"/>
              </w:rPr>
            </w:pPr>
          </w:p>
        </w:tc>
        <w:tc>
          <w:tcPr>
            <w:tcW w:w="913" w:type="pct"/>
          </w:tcPr>
          <w:p w:rsidR="00FA5E9A" w:rsidRPr="007C2055" w:rsidRDefault="00FA5E9A" w:rsidP="00C7543D">
            <w:pPr>
              <w:spacing w:after="0"/>
              <w:ind w:firstLine="0"/>
              <w:jc w:val="right"/>
              <w:rPr>
                <w:rFonts w:asciiTheme="majorHAnsi" w:hAnsiTheme="majorHAnsi" w:cs="Times New Roman"/>
                <w:bCs/>
                <w:noProof/>
                <w:color w:val="7F7F7F" w:themeColor="text1" w:themeTint="80"/>
                <w:sz w:val="21"/>
                <w:szCs w:val="21"/>
                <w:lang w:val="sr-Cyrl-RS" w:bidi="en-US"/>
              </w:rPr>
            </w:pPr>
            <w:r w:rsidRPr="007C2055">
              <w:rPr>
                <w:rFonts w:asciiTheme="majorHAnsi" w:hAnsiTheme="majorHAnsi" w:cs="Times New Roman"/>
                <w:bCs/>
                <w:noProof/>
                <w:color w:val="7F7F7F" w:themeColor="text1" w:themeTint="80"/>
                <w:sz w:val="21"/>
                <w:szCs w:val="21"/>
                <w:lang w:val="sr-Cyrl-RS" w:bidi="en-US"/>
              </w:rPr>
              <w:t>2013</w:t>
            </w:r>
          </w:p>
        </w:tc>
        <w:tc>
          <w:tcPr>
            <w:tcW w:w="1131" w:type="pct"/>
            <w:hideMark/>
          </w:tcPr>
          <w:p w:rsidR="00FA5E9A" w:rsidRPr="007C2055" w:rsidRDefault="00FA5E9A" w:rsidP="00C7543D">
            <w:pPr>
              <w:spacing w:after="0"/>
              <w:ind w:firstLine="0"/>
              <w:jc w:val="right"/>
              <w:rPr>
                <w:rFonts w:asciiTheme="majorHAnsi" w:hAnsiTheme="majorHAnsi" w:cs="Times New Roman"/>
                <w:bCs/>
                <w:noProof/>
                <w:color w:val="7F7F7F" w:themeColor="text1" w:themeTint="80"/>
                <w:sz w:val="21"/>
                <w:szCs w:val="21"/>
                <w:lang w:val="sr-Cyrl-RS" w:bidi="en-US"/>
              </w:rPr>
            </w:pPr>
            <w:r w:rsidRPr="007C2055">
              <w:rPr>
                <w:rFonts w:asciiTheme="majorHAnsi" w:hAnsiTheme="majorHAnsi" w:cs="Times New Roman"/>
                <w:bCs/>
                <w:noProof/>
                <w:color w:val="7F7F7F" w:themeColor="text1" w:themeTint="80"/>
                <w:sz w:val="21"/>
                <w:szCs w:val="21"/>
                <w:lang w:val="sr-Cyrl-RS" w:bidi="en-US"/>
              </w:rPr>
              <w:t>I-X 2014</w:t>
            </w:r>
          </w:p>
        </w:tc>
      </w:tr>
      <w:tr w:rsidR="00FA5E9A" w:rsidRPr="00171A80" w:rsidTr="00FA5E9A">
        <w:trPr>
          <w:cnfStyle w:val="000000100000" w:firstRow="0" w:lastRow="0" w:firstColumn="0" w:lastColumn="0" w:oddVBand="0" w:evenVBand="0" w:oddHBand="1" w:evenHBand="0" w:firstRowFirstColumn="0" w:firstRowLastColumn="0" w:lastRowFirstColumn="0" w:lastRowLastColumn="0"/>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Индустријска производња, физички обим</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5,5</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-6,3</w:t>
            </w:r>
          </w:p>
        </w:tc>
      </w:tr>
      <w:tr w:rsidR="00FA5E9A" w:rsidRPr="00171A80" w:rsidTr="00FA5E9A">
        <w:trPr>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Реални промет у трговини на мало</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-5,6</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2,6</w:t>
            </w:r>
          </w:p>
        </w:tc>
      </w:tr>
      <w:tr w:rsidR="00FA5E9A" w:rsidRPr="00171A80" w:rsidTr="00FA5E9A">
        <w:trPr>
          <w:cnfStyle w:val="000000100000" w:firstRow="0" w:lastRow="0" w:firstColumn="0" w:lastColumn="0" w:oddVBand="0" w:evenVBand="0" w:oddHBand="1" w:evenHBand="0" w:firstRowFirstColumn="0" w:firstRowLastColumn="0" w:lastRowFirstColumn="0" w:lastRowLastColumn="0"/>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Извоз робе изражен у еврима</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25,8</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2,0</w:t>
            </w:r>
          </w:p>
        </w:tc>
      </w:tr>
      <w:tr w:rsidR="00FA5E9A" w:rsidRPr="00171A80" w:rsidTr="00FA5E9A">
        <w:trPr>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Увоз робе изражен у еврима, ц.и.ф.</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5,1</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1.3</w:t>
            </w:r>
          </w:p>
        </w:tc>
      </w:tr>
      <w:tr w:rsidR="00FA5E9A" w:rsidRPr="00171A80" w:rsidTr="00FA5E9A">
        <w:trPr>
          <w:cnfStyle w:val="000000100000" w:firstRow="0" w:lastRow="0" w:firstColumn="0" w:lastColumn="0" w:oddVBand="0" w:evenVBand="0" w:oddHBand="1" w:evenHBand="0" w:firstRowFirstColumn="0" w:firstRowLastColumn="0" w:lastRowFirstColumn="0" w:lastRowLastColumn="0"/>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Потрошачке цене, просек периода</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7,8</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2,1</w:t>
            </w:r>
            <w:r w:rsidR="00D957E9" w:rsidRPr="00171A80">
              <w:rPr>
                <w:rFonts w:asciiTheme="majorHAnsi" w:hAnsiTheme="majorHAnsi" w:cs="Times New Roman"/>
                <w:noProof/>
                <w:color w:val="7F7F7F" w:themeColor="text1" w:themeTint="80"/>
                <w:sz w:val="21"/>
                <w:szCs w:val="21"/>
                <w:lang w:val="sr-Cyrl-RS" w:bidi="en-US"/>
              </w:rPr>
              <w:t>**</w:t>
            </w:r>
          </w:p>
        </w:tc>
      </w:tr>
      <w:tr w:rsidR="00FA5E9A" w:rsidRPr="00171A80" w:rsidTr="00FA5E9A">
        <w:trPr>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Просечан број запослених</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-0,7</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-1,6</w:t>
            </w:r>
          </w:p>
        </w:tc>
      </w:tr>
      <w:tr w:rsidR="00FA5E9A" w:rsidRPr="00171A80" w:rsidTr="00FA5E9A">
        <w:trPr>
          <w:cnfStyle w:val="000000100000" w:firstRow="0" w:lastRow="0" w:firstColumn="0" w:lastColumn="0" w:oddVBand="0" w:evenVBand="0" w:oddHBand="1" w:evenHBand="0" w:firstRowFirstColumn="0" w:firstRowLastColumn="0" w:lastRowFirstColumn="0" w:lastRowLastColumn="0"/>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Активно незапослена лица, просек периода</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1,7</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-0,5</w:t>
            </w:r>
          </w:p>
        </w:tc>
      </w:tr>
      <w:tr w:rsidR="00FA5E9A" w:rsidRPr="00171A80" w:rsidTr="00FA5E9A">
        <w:trPr>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Реална просечна нето зарада, укупно</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-1,5</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-0,3</w:t>
            </w:r>
          </w:p>
        </w:tc>
      </w:tr>
      <w:tr w:rsidR="00FA5E9A" w:rsidRPr="00171A80" w:rsidTr="00FA5E9A">
        <w:trPr>
          <w:cnfStyle w:val="000000100000" w:firstRow="0" w:lastRow="0" w:firstColumn="0" w:lastColumn="0" w:oddVBand="0" w:evenVBand="0" w:oddHBand="1" w:evenHBand="0" w:firstRowFirstColumn="0" w:firstRowLastColumn="0" w:lastRowFirstColumn="0" w:lastRowLastColumn="0"/>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Реална просечна нето зарада, јавни сектор</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-2,5</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0,0</w:t>
            </w:r>
          </w:p>
        </w:tc>
      </w:tr>
      <w:tr w:rsidR="00FA5E9A" w:rsidRPr="00171A80" w:rsidTr="00FA5E9A">
        <w:trPr>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Просечне пензије, реално</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-3,4</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-0,4</w:t>
            </w:r>
          </w:p>
        </w:tc>
      </w:tr>
      <w:tr w:rsidR="00FA5E9A" w:rsidRPr="00171A80" w:rsidTr="00FA5E9A">
        <w:trPr>
          <w:cnfStyle w:val="000000100000" w:firstRow="0" w:lastRow="0" w:firstColumn="0" w:lastColumn="0" w:oddVBand="0" w:evenVBand="0" w:oddHBand="1" w:evenHBand="0" w:firstRowFirstColumn="0" w:firstRowLastColumn="0" w:lastRowFirstColumn="0" w:lastRowLastColumn="0"/>
          <w:trHeight w:val="28"/>
        </w:trPr>
        <w:tc>
          <w:tcPr>
            <w:tcW w:w="1503" w:type="pct"/>
            <w:hideMark/>
          </w:tcPr>
          <w:p w:rsidR="00FA5E9A" w:rsidRPr="00171A80" w:rsidRDefault="00FA5E9A" w:rsidP="00FA5E9A">
            <w:pPr>
              <w:spacing w:after="0"/>
              <w:ind w:firstLine="0"/>
              <w:rPr>
                <w:rFonts w:asciiTheme="majorHAnsi" w:hAnsiTheme="majorHAnsi" w:cs="Times New Roman"/>
                <w:b/>
                <w:noProof/>
                <w:color w:val="7F7F7F" w:themeColor="text1" w:themeTint="80"/>
                <w:sz w:val="21"/>
                <w:szCs w:val="21"/>
                <w:lang w:val="sr-Cyrl-RS" w:bidi="en-US"/>
              </w:rPr>
            </w:pPr>
          </w:p>
        </w:tc>
        <w:tc>
          <w:tcPr>
            <w:tcW w:w="3497" w:type="pct"/>
            <w:gridSpan w:val="3"/>
          </w:tcPr>
          <w:p w:rsidR="00FA5E9A" w:rsidRPr="00171A80" w:rsidRDefault="00FA5E9A" w:rsidP="00AD5003">
            <w:pPr>
              <w:spacing w:after="0"/>
              <w:ind w:firstLine="0"/>
              <w:jc w:val="right"/>
              <w:rPr>
                <w:rFonts w:asciiTheme="majorHAnsi" w:hAnsiTheme="majorHAnsi" w:cs="Times New Roman"/>
                <w:b/>
                <w:noProof/>
                <w:color w:val="7F7F7F" w:themeColor="text1" w:themeTint="80"/>
                <w:sz w:val="21"/>
                <w:szCs w:val="21"/>
                <w:lang w:val="sr-Cyrl-RS" w:bidi="en-US"/>
              </w:rPr>
            </w:pPr>
            <w:r w:rsidRPr="00171A80">
              <w:rPr>
                <w:rFonts w:asciiTheme="majorHAnsi" w:hAnsiTheme="majorHAnsi" w:cs="Times New Roman"/>
                <w:b/>
                <w:noProof/>
                <w:color w:val="7F7F7F" w:themeColor="text1" w:themeTint="80"/>
                <w:sz w:val="21"/>
                <w:szCs w:val="21"/>
                <w:lang w:val="sr-Cyrl-RS" w:bidi="en-US"/>
              </w:rPr>
              <w:t>У мил. евра</w:t>
            </w:r>
          </w:p>
        </w:tc>
      </w:tr>
      <w:tr w:rsidR="00FA5E9A" w:rsidRPr="00171A80" w:rsidTr="00FA5E9A">
        <w:trPr>
          <w:trHeight w:val="28"/>
        </w:trPr>
        <w:tc>
          <w:tcPr>
            <w:tcW w:w="2956" w:type="pct"/>
            <w:gridSpan w:val="2"/>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p>
        </w:tc>
        <w:tc>
          <w:tcPr>
            <w:tcW w:w="913" w:type="pct"/>
          </w:tcPr>
          <w:p w:rsidR="00FA5E9A" w:rsidRPr="00171A80" w:rsidRDefault="00FA5E9A" w:rsidP="00AD5003">
            <w:pPr>
              <w:spacing w:after="0"/>
              <w:ind w:firstLine="0"/>
              <w:jc w:val="right"/>
              <w:rPr>
                <w:rFonts w:asciiTheme="majorHAnsi" w:hAnsiTheme="majorHAnsi" w:cs="Times New Roman"/>
                <w:b/>
                <w:noProof/>
                <w:color w:val="7F7F7F" w:themeColor="text1" w:themeTint="80"/>
                <w:sz w:val="21"/>
                <w:szCs w:val="21"/>
                <w:lang w:val="sr-Cyrl-RS" w:bidi="en-US"/>
              </w:rPr>
            </w:pPr>
            <w:r w:rsidRPr="00171A80">
              <w:rPr>
                <w:rFonts w:asciiTheme="majorHAnsi" w:hAnsiTheme="majorHAnsi" w:cs="Times New Roman"/>
                <w:b/>
                <w:noProof/>
                <w:color w:val="7F7F7F" w:themeColor="text1" w:themeTint="80"/>
                <w:sz w:val="21"/>
                <w:szCs w:val="21"/>
                <w:lang w:val="sr-Cyrl-RS" w:bidi="en-US"/>
              </w:rPr>
              <w:t>2013</w:t>
            </w:r>
          </w:p>
        </w:tc>
        <w:tc>
          <w:tcPr>
            <w:tcW w:w="1131" w:type="pct"/>
            <w:hideMark/>
          </w:tcPr>
          <w:p w:rsidR="00FA5E9A" w:rsidRPr="00171A80" w:rsidRDefault="00FA5E9A" w:rsidP="00AD5003">
            <w:pPr>
              <w:spacing w:after="0"/>
              <w:ind w:firstLine="0"/>
              <w:jc w:val="right"/>
              <w:rPr>
                <w:rFonts w:asciiTheme="majorHAnsi" w:hAnsiTheme="majorHAnsi" w:cs="Times New Roman"/>
                <w:b/>
                <w:noProof/>
                <w:color w:val="7F7F7F" w:themeColor="text1" w:themeTint="80"/>
                <w:sz w:val="21"/>
                <w:szCs w:val="21"/>
                <w:lang w:val="sr-Cyrl-RS" w:bidi="en-US"/>
              </w:rPr>
            </w:pPr>
            <w:r w:rsidRPr="00171A80">
              <w:rPr>
                <w:rFonts w:asciiTheme="majorHAnsi" w:hAnsiTheme="majorHAnsi" w:cs="Times New Roman"/>
                <w:b/>
                <w:noProof/>
                <w:color w:val="7F7F7F" w:themeColor="text1" w:themeTint="80"/>
                <w:sz w:val="21"/>
                <w:szCs w:val="21"/>
                <w:lang w:val="sr-Cyrl-RS" w:bidi="en-US"/>
              </w:rPr>
              <w:t>I-X 2014</w:t>
            </w:r>
          </w:p>
        </w:tc>
      </w:tr>
      <w:tr w:rsidR="00FA5E9A" w:rsidRPr="00171A80" w:rsidTr="00FA5E9A">
        <w:trPr>
          <w:cnfStyle w:val="000000100000" w:firstRow="0" w:lastRow="0" w:firstColumn="0" w:lastColumn="0" w:oddVBand="0" w:evenVBand="0" w:oddHBand="1" w:evenHBand="0" w:firstRowFirstColumn="0" w:firstRowLastColumn="0" w:lastRowFirstColumn="0" w:lastRowLastColumn="0"/>
          <w:trHeight w:val="28"/>
        </w:trPr>
        <w:tc>
          <w:tcPr>
            <w:tcW w:w="2956" w:type="pct"/>
            <w:gridSpan w:val="2"/>
            <w:noWrap/>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Дефицит робне размене</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-4.472,3</w:t>
            </w:r>
          </w:p>
        </w:tc>
        <w:tc>
          <w:tcPr>
            <w:tcW w:w="1131" w:type="pct"/>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w:t>
            </w:r>
            <w:r w:rsidR="00E20C56" w:rsidRPr="00171A80">
              <w:rPr>
                <w:rFonts w:asciiTheme="majorHAnsi" w:hAnsiTheme="majorHAnsi" w:cs="Times New Roman"/>
                <w:noProof/>
                <w:color w:val="7F7F7F" w:themeColor="text1" w:themeTint="80"/>
                <w:sz w:val="21"/>
                <w:szCs w:val="21"/>
                <w:lang w:val="sr-Cyrl-RS" w:bidi="en-US"/>
              </w:rPr>
              <w:t>3.553,2</w:t>
            </w:r>
          </w:p>
        </w:tc>
      </w:tr>
      <w:tr w:rsidR="00FA5E9A" w:rsidRPr="00171A80" w:rsidTr="00FA5E9A">
        <w:trPr>
          <w:trHeight w:val="28"/>
        </w:trPr>
        <w:tc>
          <w:tcPr>
            <w:tcW w:w="2956" w:type="pct"/>
            <w:gridSpan w:val="2"/>
            <w:noWrap/>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Дефицит текућих трансакција*</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-2.092,0</w:t>
            </w:r>
          </w:p>
        </w:tc>
        <w:tc>
          <w:tcPr>
            <w:tcW w:w="1131" w:type="pct"/>
            <w:hideMark/>
          </w:tcPr>
          <w:p w:rsidR="00FA5E9A" w:rsidRPr="00171A80" w:rsidRDefault="00A00273" w:rsidP="00AD5003">
            <w:pPr>
              <w:spacing w:after="0"/>
              <w:ind w:firstLine="0"/>
              <w:jc w:val="right"/>
              <w:rPr>
                <w:rFonts w:asciiTheme="majorHAnsi" w:hAnsiTheme="majorHAnsi" w:cs="Times New Roman"/>
                <w:noProof/>
                <w:color w:val="7F7F7F" w:themeColor="text1" w:themeTint="80"/>
                <w:sz w:val="21"/>
                <w:szCs w:val="21"/>
                <w:lang w:val="sr-Cyrl-RS" w:bidi="en-US"/>
              </w:rPr>
            </w:pPr>
            <w:r>
              <w:rPr>
                <w:rFonts w:asciiTheme="majorHAnsi" w:hAnsiTheme="majorHAnsi" w:cs="Times New Roman"/>
                <w:noProof/>
                <w:color w:val="7F7F7F" w:themeColor="text1" w:themeTint="80"/>
                <w:sz w:val="21"/>
                <w:szCs w:val="21"/>
                <w:lang w:val="sr-Latn-RS" w:bidi="en-US"/>
              </w:rPr>
              <w:t>-1.617,6</w:t>
            </w:r>
          </w:p>
        </w:tc>
      </w:tr>
      <w:tr w:rsidR="00FA5E9A" w:rsidRPr="00171A80" w:rsidTr="00FA5E9A">
        <w:trPr>
          <w:cnfStyle w:val="000000100000" w:firstRow="0" w:lastRow="0" w:firstColumn="0" w:lastColumn="0" w:oddVBand="0" w:evenVBand="0" w:oddHBand="1" w:evenHBand="0" w:firstRowFirstColumn="0" w:firstRowLastColumn="0" w:lastRowFirstColumn="0" w:lastRowLastColumn="0"/>
          <w:trHeight w:val="28"/>
        </w:trPr>
        <w:tc>
          <w:tcPr>
            <w:tcW w:w="2956" w:type="pct"/>
            <w:gridSpan w:val="2"/>
            <w:noWrap/>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Нето прилив страних директних инвестиција*</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1.228,8</w:t>
            </w:r>
          </w:p>
        </w:tc>
        <w:tc>
          <w:tcPr>
            <w:tcW w:w="1131" w:type="pct"/>
            <w:hideMark/>
          </w:tcPr>
          <w:p w:rsidR="00FA5E9A" w:rsidRPr="00171A80" w:rsidRDefault="00A00273" w:rsidP="00AD5003">
            <w:pPr>
              <w:spacing w:after="0"/>
              <w:ind w:firstLine="0"/>
              <w:jc w:val="right"/>
              <w:rPr>
                <w:rFonts w:asciiTheme="majorHAnsi" w:hAnsiTheme="majorHAnsi" w:cs="Times New Roman"/>
                <w:noProof/>
                <w:color w:val="7F7F7F" w:themeColor="text1" w:themeTint="80"/>
                <w:sz w:val="21"/>
                <w:szCs w:val="21"/>
                <w:lang w:val="sr-Cyrl-RS" w:bidi="en-US"/>
              </w:rPr>
            </w:pPr>
            <w:r>
              <w:rPr>
                <w:rFonts w:asciiTheme="majorHAnsi" w:hAnsiTheme="majorHAnsi" w:cs="Times New Roman"/>
                <w:noProof/>
                <w:color w:val="7F7F7F" w:themeColor="text1" w:themeTint="80"/>
                <w:sz w:val="21"/>
                <w:szCs w:val="21"/>
                <w:lang w:val="sr-Latn-RS" w:bidi="en-US"/>
              </w:rPr>
              <w:t>1.156,1</w:t>
            </w:r>
          </w:p>
        </w:tc>
      </w:tr>
      <w:tr w:rsidR="00FA5E9A" w:rsidRPr="00171A80" w:rsidTr="00FA5E9A">
        <w:trPr>
          <w:trHeight w:val="28"/>
        </w:trPr>
        <w:tc>
          <w:tcPr>
            <w:tcW w:w="2956" w:type="pct"/>
            <w:gridSpan w:val="2"/>
            <w:noWrap/>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Девизне резерве НБС, крај периода</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11.188,8</w:t>
            </w:r>
          </w:p>
        </w:tc>
        <w:tc>
          <w:tcPr>
            <w:tcW w:w="1131" w:type="pct"/>
            <w:noWrap/>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10.714,2</w:t>
            </w:r>
          </w:p>
        </w:tc>
      </w:tr>
      <w:tr w:rsidR="00FA5E9A" w:rsidRPr="00171A80" w:rsidTr="00FA5E9A">
        <w:trPr>
          <w:cnfStyle w:val="000000100000" w:firstRow="0" w:lastRow="0" w:firstColumn="0" w:lastColumn="0" w:oddVBand="0" w:evenVBand="0" w:oddHBand="1" w:evenHBand="0" w:firstRowFirstColumn="0" w:firstRowLastColumn="0" w:lastRowFirstColumn="0" w:lastRowLastColumn="0"/>
          <w:trHeight w:val="28"/>
        </w:trPr>
        <w:tc>
          <w:tcPr>
            <w:tcW w:w="2956" w:type="pct"/>
            <w:gridSpan w:val="2"/>
            <w:noWrap/>
            <w:hideMark/>
          </w:tcPr>
          <w:p w:rsidR="00FA5E9A" w:rsidRPr="00171A80" w:rsidRDefault="00FA5E9A" w:rsidP="00FA5E9A">
            <w:pPr>
              <w:spacing w:after="0"/>
              <w:ind w:firstLine="0"/>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Девизна штедња, крај периода</w:t>
            </w:r>
          </w:p>
        </w:tc>
        <w:tc>
          <w:tcPr>
            <w:tcW w:w="913" w:type="pct"/>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8.418</w:t>
            </w:r>
          </w:p>
        </w:tc>
        <w:tc>
          <w:tcPr>
            <w:tcW w:w="1131" w:type="pct"/>
            <w:noWrap/>
            <w:hideMark/>
          </w:tcPr>
          <w:p w:rsidR="00FA5E9A" w:rsidRPr="00171A80" w:rsidRDefault="00FA5E9A" w:rsidP="00AD5003">
            <w:pPr>
              <w:spacing w:after="0"/>
              <w:ind w:firstLine="0"/>
              <w:jc w:val="right"/>
              <w:rPr>
                <w:rFonts w:asciiTheme="majorHAnsi" w:hAnsiTheme="majorHAnsi" w:cs="Times New Roman"/>
                <w:noProof/>
                <w:color w:val="7F7F7F" w:themeColor="text1" w:themeTint="80"/>
                <w:sz w:val="21"/>
                <w:szCs w:val="21"/>
                <w:lang w:val="sr-Cyrl-RS" w:bidi="en-US"/>
              </w:rPr>
            </w:pPr>
            <w:r w:rsidRPr="00171A80">
              <w:rPr>
                <w:rFonts w:asciiTheme="majorHAnsi" w:hAnsiTheme="majorHAnsi" w:cs="Times New Roman"/>
                <w:noProof/>
                <w:color w:val="7F7F7F" w:themeColor="text1" w:themeTint="80"/>
                <w:sz w:val="21"/>
                <w:szCs w:val="21"/>
                <w:lang w:val="sr-Cyrl-RS" w:bidi="en-US"/>
              </w:rPr>
              <w:t>8.512</w:t>
            </w:r>
          </w:p>
        </w:tc>
      </w:tr>
    </w:tbl>
    <w:p w:rsidR="00FA5E9A" w:rsidRPr="00D4015D" w:rsidRDefault="00FA5E9A" w:rsidP="00E20C56">
      <w:pPr>
        <w:spacing w:after="0"/>
        <w:ind w:firstLine="0"/>
        <w:rPr>
          <w:rFonts w:asciiTheme="majorHAnsi" w:hAnsiTheme="majorHAnsi" w:cs="Times New Roman"/>
          <w:noProof/>
          <w:color w:val="7F7F7F" w:themeColor="text1" w:themeTint="80"/>
          <w:sz w:val="18"/>
          <w:szCs w:val="18"/>
          <w:lang w:val="sr-Cyrl-RS" w:bidi="en-US"/>
        </w:rPr>
      </w:pPr>
      <w:r w:rsidRPr="00D4015D">
        <w:rPr>
          <w:rFonts w:asciiTheme="majorHAnsi" w:hAnsiTheme="majorHAnsi" w:cs="Times New Roman"/>
          <w:noProof/>
          <w:color w:val="7F7F7F" w:themeColor="text1" w:themeTint="80"/>
          <w:sz w:val="18"/>
          <w:szCs w:val="18"/>
          <w:lang w:val="sr-Cyrl-RS" w:bidi="en-US"/>
        </w:rPr>
        <w:t xml:space="preserve">* </w:t>
      </w:r>
      <w:r w:rsidR="00D4015D">
        <w:rPr>
          <w:rFonts w:asciiTheme="majorHAnsi" w:hAnsiTheme="majorHAnsi" w:cs="Times New Roman"/>
          <w:noProof/>
          <w:color w:val="7F7F7F" w:themeColor="text1" w:themeTint="80"/>
          <w:sz w:val="18"/>
          <w:szCs w:val="18"/>
          <w:lang w:val="sr-Latn-RS" w:bidi="en-US"/>
        </w:rPr>
        <w:t xml:space="preserve">  </w:t>
      </w:r>
      <w:r w:rsidRPr="00D4015D">
        <w:rPr>
          <w:rFonts w:asciiTheme="majorHAnsi" w:hAnsiTheme="majorHAnsi" w:cs="Times New Roman"/>
          <w:noProof/>
          <w:color w:val="7F7F7F" w:themeColor="text1" w:themeTint="80"/>
          <w:sz w:val="18"/>
          <w:szCs w:val="18"/>
          <w:lang w:val="sr-Cyrl-RS" w:bidi="en-US"/>
        </w:rPr>
        <w:t>Нова методологија платног биланса (BPM 6)</w:t>
      </w:r>
    </w:p>
    <w:p w:rsidR="00D957E9" w:rsidRPr="00D4015D" w:rsidRDefault="00D957E9" w:rsidP="00E20C56">
      <w:pPr>
        <w:spacing w:after="0"/>
        <w:ind w:firstLine="0"/>
        <w:rPr>
          <w:rFonts w:asciiTheme="majorHAnsi" w:hAnsiTheme="majorHAnsi" w:cs="Times New Roman"/>
          <w:noProof/>
          <w:color w:val="7F7F7F" w:themeColor="text1" w:themeTint="80"/>
          <w:sz w:val="18"/>
          <w:szCs w:val="18"/>
          <w:lang w:val="sr-Cyrl-RS" w:bidi="en-US"/>
        </w:rPr>
      </w:pPr>
      <w:r w:rsidRPr="00D4015D">
        <w:rPr>
          <w:rFonts w:asciiTheme="majorHAnsi" w:hAnsiTheme="majorHAnsi" w:cs="Times New Roman"/>
          <w:noProof/>
          <w:color w:val="7F7F7F" w:themeColor="text1" w:themeTint="80"/>
          <w:sz w:val="18"/>
          <w:szCs w:val="18"/>
          <w:lang w:val="sr-Cyrl-RS" w:bidi="en-US"/>
        </w:rPr>
        <w:t>** Податак се односи на период јануар-новембар</w:t>
      </w:r>
    </w:p>
    <w:p w:rsidR="00FA5E9A" w:rsidRPr="00D4015D" w:rsidRDefault="00FA5E9A" w:rsidP="006D67D3">
      <w:pPr>
        <w:ind w:firstLine="0"/>
        <w:rPr>
          <w:rFonts w:asciiTheme="majorHAnsi" w:hAnsiTheme="majorHAnsi" w:cs="Times New Roman"/>
          <w:noProof/>
          <w:color w:val="7F7F7F" w:themeColor="text1" w:themeTint="80"/>
          <w:sz w:val="18"/>
          <w:szCs w:val="18"/>
          <w:lang w:val="sr-Cyrl-RS" w:bidi="en-US"/>
        </w:rPr>
      </w:pPr>
      <w:r w:rsidRPr="00D4015D">
        <w:rPr>
          <w:rFonts w:asciiTheme="majorHAnsi" w:hAnsiTheme="majorHAnsi" w:cs="Times New Roman"/>
          <w:b/>
          <w:noProof/>
          <w:color w:val="7F7F7F" w:themeColor="text1" w:themeTint="80"/>
          <w:sz w:val="18"/>
          <w:szCs w:val="18"/>
          <w:lang w:val="sr-Cyrl-RS" w:bidi="en-US"/>
        </w:rPr>
        <w:t>Извор:</w:t>
      </w:r>
      <w:r w:rsidRPr="00D4015D">
        <w:rPr>
          <w:rFonts w:asciiTheme="majorHAnsi" w:hAnsiTheme="majorHAnsi" w:cs="Times New Roman"/>
          <w:noProof/>
          <w:color w:val="7F7F7F" w:themeColor="text1" w:themeTint="80"/>
          <w:sz w:val="18"/>
          <w:szCs w:val="18"/>
          <w:lang w:val="sr-Cyrl-RS" w:bidi="en-US"/>
        </w:rPr>
        <w:t xml:space="preserve"> РЗС, НБС, НСЗ, РФПИО</w:t>
      </w:r>
    </w:p>
    <w:p w:rsidR="00D66A10" w:rsidRPr="00D66A10" w:rsidRDefault="00D66A10" w:rsidP="007C2055">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Индустријска производња од маја 2014. године бележи из месеца у месец међугодишњи пад, који је највећи био у септембру, а затим је од октобра започело успоравање пада. У свим секторима се пад производње убрзавао, са тим што су рударство и енергетика сектори који су падом производње определили међугодишњи пад укупне индустријске производње од 6,3% у периоду јануар - октобар (-14,3% и -18,5%, респективно). Поред тога, пад светске тражње и сезонски фактори (колективни годишњи одмор, ремонт) условили су смањење физичког обима производње у прерађивачкој индустрији. Паду индустријске производње у том периоду допринели су: производња електричне енергије, експлоатација угља, производња деривата нафте, производња моторних возила и производња хемикалија и хемијских производа. Позитиван раст физичког обима производње остварен је у производњи рачунара и опреме, док је у производњи основних метала ублажен тренд пада после поновног покретања високе пећи у смедеревској Железари у јулу 2014. године. До краја године се не очекују значајније промене у тренду индустријске производње.</w:t>
      </w:r>
    </w:p>
    <w:p w:rsidR="00D66A10" w:rsidRPr="00D66A10" w:rsidRDefault="00D66A10" w:rsidP="007C2055">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Поплаве су се неповољно одразиле и на род пролећних култура (пшеница, малине и вишње), као и на род шљива и грожђа, који је, према прелиминарним проценама РЗС, знатно испод рода у 2013. години. Добри резултати у производњи кукуруза, шећерне репе, соје и сунцокрета ублажиће негативан утицај пада производње пролећних култура и допринеће расту бруто додате вредности пољопривреде у 2014. години од 1,4%.</w:t>
      </w:r>
    </w:p>
    <w:p w:rsidR="00D66A10" w:rsidRPr="00D66A10" w:rsidRDefault="00D66A10" w:rsidP="007C2055">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 xml:space="preserve">Промет у трговини на мало од почетка године бележи номинални и реални међугодишњи раст подстакнут успоравањем раста цена хране и сезонским фактором. У периоду јануар-октобар 2014. године забележен је раст промета за 4% у текућим и 2,6% у сталним ценама. Туристички промет, мерен бројем долазака и ноћења туриста је смањен за 0,4% и 7,3%, респективно. Вредност изведених радова у грађевинарству у првих девет месеци 2014. године смањена је за 4,1% у односу на упоредиви период 2013. године. Посматрано према врсти грађевина, вредност изведених радова у сталним ценама на зградама опала је за 9,5%, док је на осталим грађевинама смањена за 2%. Обим саобраћајних услуга повећан је у истом периоду за 22,8%, а услуга телекомуникација за 4,9%, у односу на упоредиви период 2013. године. Интензивирање активности саобраћаја и телекомуникација ублажиће негативан </w:t>
      </w:r>
      <w:r w:rsidRPr="00D66A10">
        <w:rPr>
          <w:rFonts w:asciiTheme="majorHAnsi" w:hAnsiTheme="majorHAnsi" w:cs="Times New Roman"/>
          <w:noProof/>
          <w:color w:val="7F7F7F" w:themeColor="text1" w:themeTint="80"/>
          <w:sz w:val="21"/>
          <w:szCs w:val="21"/>
          <w:lang w:val="sr-Cyrl-RS" w:bidi="en-US"/>
        </w:rPr>
        <w:lastRenderedPageBreak/>
        <w:t xml:space="preserve">утицај пада индустријске производње и успоравања раста извоза на укупну привредну активност. </w:t>
      </w:r>
    </w:p>
    <w:p w:rsidR="00D66A10" w:rsidRPr="00D66A10" w:rsidRDefault="00D66A10" w:rsidP="000B1F0F">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 xml:space="preserve">Негативни ефекти поплава одразили су се и на извоз, чији се раст од почетка године успоравао, да би у трећем тромесечју извоз био за 10,6% мањи него у истом периоду 2013. године. Расту извоза у првих десет месеци од 2% највише је допринео раст извоза житарица и производа на бази житарица, затим гвожђа и челика, нафте, нафтних деривата и сродних производа. Успоравање извоза делимично је последица високог базног ефекта. Највећи утицај на пад извоза имао је смањени извоз електричне енергије, друмских возила и обојених метала. У периоду јануар-октобар 2014. године извезено је и увезено робе у вредности од 9,3 млрд евра и 12,8 млрд евра, респективно, што је повећање за 2% и 1,3% у односу на исти период 2013. године. Робни дефицит је у истом периоду износио 3,6 млрд евра и смањен је за 0,4% у односу на првих десет месеци претходне године. Покривеност увоза извозом изражена у еврима у првих десет месеци износила је 72,3%. У овом периоду највећи спољнотрговински партнери Републике Србије биле су земље ЕУ, на које се односило 65% укупног извоза и 63,4% укупног увоза. Половина укупног извоза у том периоду била је усмерена на тржиште пет земаља: Италија, Немачка, БиХ, Руска </w:t>
      </w:r>
      <w:r w:rsidR="00F74EED">
        <w:rPr>
          <w:rFonts w:asciiTheme="majorHAnsi" w:hAnsiTheme="majorHAnsi" w:cs="Times New Roman"/>
          <w:noProof/>
          <w:color w:val="7F7F7F" w:themeColor="text1" w:themeTint="80"/>
          <w:sz w:val="21"/>
          <w:szCs w:val="21"/>
          <w:lang w:val="sr-Cyrl-RS" w:bidi="en-US"/>
        </w:rPr>
        <w:t>Ф</w:t>
      </w:r>
      <w:r w:rsidRPr="00D66A10">
        <w:rPr>
          <w:rFonts w:asciiTheme="majorHAnsi" w:hAnsiTheme="majorHAnsi" w:cs="Times New Roman"/>
          <w:noProof/>
          <w:color w:val="7F7F7F" w:themeColor="text1" w:themeTint="80"/>
          <w:sz w:val="21"/>
          <w:szCs w:val="21"/>
          <w:lang w:val="sr-Cyrl-RS" w:bidi="en-US"/>
        </w:rPr>
        <w:t xml:space="preserve">едерација и Румунија. На увоз из Немачке, Руске </w:t>
      </w:r>
      <w:r w:rsidR="00F74EED">
        <w:rPr>
          <w:rFonts w:asciiTheme="majorHAnsi" w:hAnsiTheme="majorHAnsi" w:cs="Times New Roman"/>
          <w:noProof/>
          <w:color w:val="7F7F7F" w:themeColor="text1" w:themeTint="80"/>
          <w:sz w:val="21"/>
          <w:szCs w:val="21"/>
          <w:lang w:val="sr-Cyrl-RS" w:bidi="en-US"/>
        </w:rPr>
        <w:t>Ф</w:t>
      </w:r>
      <w:r w:rsidRPr="00D66A10">
        <w:rPr>
          <w:rFonts w:asciiTheme="majorHAnsi" w:hAnsiTheme="majorHAnsi" w:cs="Times New Roman"/>
          <w:noProof/>
          <w:color w:val="7F7F7F" w:themeColor="text1" w:themeTint="80"/>
          <w:sz w:val="21"/>
          <w:szCs w:val="21"/>
          <w:lang w:val="sr-Cyrl-RS" w:bidi="en-US"/>
        </w:rPr>
        <w:t>едерације и Италије односило се више од једне трећине укупног увоза. У размени са Италијом, БиХ, Румунијом, Македонијом, Црном Гором и САД остварен је суфицит од 1,4 млрд евра. Изостанак опоравка реалног сектора до краја године одразиће се и на извоз, који ће у 2014. години забележити скроман раст од 2,1%. То ће, уз очекивани раст увоза енергената, довести до благог повећања спољне неравнотеже, а допринос нето извоза БДП ће бити неутралан.</w:t>
      </w:r>
    </w:p>
    <w:p w:rsidR="00D66A10" w:rsidRPr="00D66A10" w:rsidRDefault="00D66A10" w:rsidP="000B1F0F">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 xml:space="preserve">У периоду јануар - октобар 2014. године дефицит текућег рачуна је износио 1.617,6 мил. евра, што је за 36,1 мил. евра више, односно 2,3% више него у истом периоду 2013. године, чему је допринело смањење нето прилива од дознака за </w:t>
      </w:r>
      <w:r w:rsidRPr="00D66A10">
        <w:rPr>
          <w:rFonts w:asciiTheme="majorHAnsi" w:hAnsiTheme="majorHAnsi" w:cs="Times New Roman"/>
          <w:noProof/>
          <w:color w:val="7F7F7F" w:themeColor="text1" w:themeTint="80"/>
          <w:sz w:val="21"/>
          <w:szCs w:val="21"/>
          <w:lang w:val="sr-Latn-RS" w:bidi="en-US"/>
        </w:rPr>
        <w:t>13,1</w:t>
      </w:r>
      <w:r w:rsidRPr="00D66A10">
        <w:rPr>
          <w:rFonts w:asciiTheme="majorHAnsi" w:hAnsiTheme="majorHAnsi" w:cs="Times New Roman"/>
          <w:noProof/>
          <w:color w:val="7F7F7F" w:themeColor="text1" w:themeTint="80"/>
          <w:sz w:val="21"/>
          <w:szCs w:val="21"/>
          <w:lang w:val="sr-Cyrl-RS" w:bidi="en-US"/>
        </w:rPr>
        <w:t xml:space="preserve">%. Нето прилив страних директних инвестиција (у даљем тексту: СДИ) износио је 1.156,1 мил. евра, што је повећање за 159 мил. евра или 15,9%. Највећи прилив страних директних инвестиција у првој половини године забележен је у финансијским делатностима и осигурању (267,9 мил. евра), прерађивачкој индустрији (231,7 мил. евра) и трговини на велико и мало (108,9 мил. евра). Укупне нето стране директне инвестиције из ЕУ у истом периоду износиле су 608,3 мил. евра, што представља 85,3% од укупно остварених нето СДИ. Нето прилив портфолио инвестиција у периоду јануар - октобар од 322 мил. евра био је за 605,3 мил. евра мањи него у првих десет месеци 2013. године. На ово смањење највише је утицало смањено задуживање државе по основу дугорочних дужничких хартија од вредности у односу на исти период претходне године. По основу финансијских кредита, резиденти су се у истом периоду нето задуживали према иностранству за </w:t>
      </w:r>
      <w:r w:rsidRPr="00D66A10">
        <w:rPr>
          <w:rFonts w:asciiTheme="majorHAnsi" w:hAnsiTheme="majorHAnsi" w:cs="Times New Roman"/>
          <w:noProof/>
          <w:color w:val="7F7F7F" w:themeColor="text1" w:themeTint="80"/>
          <w:sz w:val="21"/>
          <w:szCs w:val="21"/>
          <w:lang w:val="sr-Latn-RS" w:bidi="en-US"/>
        </w:rPr>
        <w:t>487,2</w:t>
      </w:r>
      <w:r w:rsidRPr="00D66A10">
        <w:rPr>
          <w:rFonts w:asciiTheme="majorHAnsi" w:hAnsiTheme="majorHAnsi" w:cs="Times New Roman"/>
          <w:noProof/>
          <w:color w:val="7F7F7F" w:themeColor="text1" w:themeTint="80"/>
          <w:sz w:val="21"/>
          <w:szCs w:val="21"/>
          <w:lang w:val="sr-Cyrl-RS" w:bidi="en-US"/>
        </w:rPr>
        <w:t xml:space="preserve"> мил. евра. Нето задужење државе по основу финансијских кредита повећано је за 585,1 мил. евра. НБС је по основу доспелих обавеза извршила плаћања у износу од 505,9 мил. евра, од чега се највећи део (499 мил. евра) односио на плаћања према ММФ. Банке су наставиле да се раздужују према иностранству у 2014. години (602,8 мил. евра), док је прекогранично задуживање предузећа повећано за 36,4 мил. евра нето. </w:t>
      </w:r>
    </w:p>
    <w:p w:rsidR="00D66A10" w:rsidRPr="00D66A10" w:rsidRDefault="00D66A10" w:rsidP="000B1F0F">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На тржишту рада у периоду јануар - октобар 2014. године на међугодишњем нивоу смањен је просечан број формално запослених лица за 1,6%, а реалне просечне нето зараде су снижене за 0,3%. У свим секторима, у овом периоду, забележен је пад броја запослених, при чему је највеће смањење забележено у сектору грађевинарства (-6,3%) и пољопривреде (-4,5%). Истовремено, просечна нето зарада посматрано по секторима реално је повећана у грађевинарству (3%) и индустрији (0,8%), док је смањена у секторима услуга (-0,3%) и пољопривреде (-1,9%).</w:t>
      </w:r>
    </w:p>
    <w:p w:rsidR="00D66A10" w:rsidRPr="00D66A10" w:rsidRDefault="00D66A10" w:rsidP="007C2055">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 xml:space="preserve">Према подацима АРС за трећи квартал 2014. године, стопа незапослености (лица старости 15 и више година живота) смањена је са 20,3% у другом кварталу на 17,6%. Смањење стопе незапослености у овом периоду последица је утицаја сезонског фактора, као и пораста стопе неформалне запослености („рад на црно”) на 23,4%. У последњем кварталу 2014. године не очекују се значајније позитивне промене у трендовима на тржишту рада, пре свега због примене одредби измењеног Закона о раду, које се односе на </w:t>
      </w:r>
      <w:r w:rsidR="00DC10BD">
        <w:rPr>
          <w:rFonts w:asciiTheme="majorHAnsi" w:hAnsiTheme="majorHAnsi" w:cs="Times New Roman"/>
          <w:noProof/>
          <w:color w:val="7F7F7F" w:themeColor="text1" w:themeTint="80"/>
          <w:sz w:val="21"/>
          <w:szCs w:val="21"/>
          <w:lang w:val="sr-Cyrl-RS" w:bidi="en-US"/>
        </w:rPr>
        <w:t>измену периода</w:t>
      </w:r>
      <w:r w:rsidRPr="00D66A10">
        <w:rPr>
          <w:rFonts w:asciiTheme="majorHAnsi" w:hAnsiTheme="majorHAnsi" w:cs="Times New Roman"/>
          <w:noProof/>
          <w:color w:val="7F7F7F" w:themeColor="text1" w:themeTint="80"/>
          <w:sz w:val="21"/>
          <w:szCs w:val="21"/>
          <w:lang w:val="sr-Cyrl-RS" w:bidi="en-US"/>
        </w:rPr>
        <w:t xml:space="preserve"> за </w:t>
      </w:r>
      <w:r w:rsidR="00DC10BD">
        <w:rPr>
          <w:rFonts w:asciiTheme="majorHAnsi" w:hAnsiTheme="majorHAnsi" w:cs="Times New Roman"/>
          <w:noProof/>
          <w:color w:val="7F7F7F" w:themeColor="text1" w:themeTint="80"/>
          <w:sz w:val="21"/>
          <w:szCs w:val="21"/>
          <w:lang w:val="sr-Cyrl-RS" w:bidi="en-US"/>
        </w:rPr>
        <w:t xml:space="preserve">обрачун </w:t>
      </w:r>
      <w:r w:rsidRPr="00D66A10">
        <w:rPr>
          <w:rFonts w:asciiTheme="majorHAnsi" w:hAnsiTheme="majorHAnsi" w:cs="Times New Roman"/>
          <w:noProof/>
          <w:color w:val="7F7F7F" w:themeColor="text1" w:themeTint="80"/>
          <w:sz w:val="21"/>
          <w:szCs w:val="21"/>
          <w:lang w:val="sr-Cyrl-RS" w:bidi="en-US"/>
        </w:rPr>
        <w:t>минул</w:t>
      </w:r>
      <w:r w:rsidR="00DC10BD">
        <w:rPr>
          <w:rFonts w:asciiTheme="majorHAnsi" w:hAnsiTheme="majorHAnsi" w:cs="Times New Roman"/>
          <w:noProof/>
          <w:color w:val="7F7F7F" w:themeColor="text1" w:themeTint="80"/>
          <w:sz w:val="21"/>
          <w:szCs w:val="21"/>
          <w:lang w:val="sr-Cyrl-RS" w:bidi="en-US"/>
        </w:rPr>
        <w:t>ог</w:t>
      </w:r>
      <w:r w:rsidRPr="00D66A10">
        <w:rPr>
          <w:rFonts w:asciiTheme="majorHAnsi" w:hAnsiTheme="majorHAnsi" w:cs="Times New Roman"/>
          <w:noProof/>
          <w:color w:val="7F7F7F" w:themeColor="text1" w:themeTint="80"/>
          <w:sz w:val="21"/>
          <w:szCs w:val="21"/>
          <w:lang w:val="sr-Cyrl-RS" w:bidi="en-US"/>
        </w:rPr>
        <w:t xml:space="preserve"> рад</w:t>
      </w:r>
      <w:r w:rsidR="00DC10BD">
        <w:rPr>
          <w:rFonts w:asciiTheme="majorHAnsi" w:hAnsiTheme="majorHAnsi" w:cs="Times New Roman"/>
          <w:noProof/>
          <w:color w:val="7F7F7F" w:themeColor="text1" w:themeTint="80"/>
          <w:sz w:val="21"/>
          <w:szCs w:val="21"/>
          <w:lang w:val="sr-Cyrl-RS" w:bidi="en-US"/>
        </w:rPr>
        <w:t>а</w:t>
      </w:r>
      <w:r w:rsidRPr="00D66A10">
        <w:rPr>
          <w:rFonts w:asciiTheme="majorHAnsi" w:hAnsiTheme="majorHAnsi" w:cs="Times New Roman"/>
          <w:noProof/>
          <w:color w:val="7F7F7F" w:themeColor="text1" w:themeTint="80"/>
          <w:sz w:val="21"/>
          <w:szCs w:val="21"/>
          <w:lang w:val="sr-Cyrl-RS" w:bidi="en-US"/>
        </w:rPr>
        <w:t xml:space="preserve"> и смањења плата и пензија, као најважнијих мера фискалне консолидације. </w:t>
      </w:r>
      <w:r w:rsidRPr="00D66A10">
        <w:rPr>
          <w:rFonts w:asciiTheme="majorHAnsi" w:hAnsiTheme="majorHAnsi" w:cs="Times New Roman"/>
          <w:noProof/>
          <w:color w:val="7F7F7F" w:themeColor="text1" w:themeTint="80"/>
          <w:sz w:val="21"/>
          <w:szCs w:val="21"/>
          <w:lang w:val="sr-Cyrl-RS" w:bidi="en-US"/>
        </w:rPr>
        <w:lastRenderedPageBreak/>
        <w:t xml:space="preserve">Примена тих мера утицаће на смањење расположивог дохотка и, последично, приватне потрошње што ће бити ограничавајући фактор значајнијем опоравку домаће тражње. </w:t>
      </w:r>
    </w:p>
    <w:p w:rsidR="00D66A10" w:rsidRPr="00D66A10" w:rsidRDefault="00D66A10" w:rsidP="000B1F0F">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У новембру међугодишња инфлација је износила 2,4% и „приближила” се доњој граници дозвољеног одступања од циља (2,5%). Истовремено, у односу на претходни месец забележена је нулта инфлација. Раст потрошачких цена у новембру у односу на децембар 2013. године је износио 2,2% и опредељен је растом цена непрерађене хране (6,7%), које су допринеле са више од једне трећине укупној инфлацији. Највећи месечни раст потрошачких цена у протеклом делу године забележен је у јануару (1,4%), као последица пораста регулисаних цена (пре свега цена дувана), услед усклађивања акциза, сезонског раста цена свежег поврћа и повећања ниже стопе ПДВ. У марту, јулу и августу је забележена блага дефлација, под утицајем сезонског пада цена поврћа. Ниска агрегатна тражња и изостанак знатног повећања регулисаних цена до краја године допринеће кретању међугодишње инфлације у том периоду око доње границе циља, тако да ће просечан раст цена у 2014. години износити око 2,2%.</w:t>
      </w:r>
    </w:p>
    <w:p w:rsidR="00D66A10" w:rsidRPr="00D66A10" w:rsidRDefault="00D66A10" w:rsidP="000B1F0F">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НБС у новембру 2014. године је снизила референтну каматну стопу за 0,5 п.п. на ниво од 8%. На такву одлуку превасходно су утицали ниски инфлаторни притисци. Монетарна кретања у октобру 2014. године на међугодишњем нивоу карактерише пре свега, раст кредитне активности банака привреди и становништву, први пут после марта 2013. године, повећање девизних резерви НБС и депрецијација девизног курса.</w:t>
      </w:r>
    </w:p>
    <w:p w:rsidR="00D66A10" w:rsidRPr="00D66A10" w:rsidRDefault="00D66A10" w:rsidP="000B1F0F">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Програм субвенционисаних кредита привреди утицао је на оживљавање укупне кредитне активности, која је у октобру 2014. године на међугодишњем нивоу забележила раст (1,1%). Кредитирање привреде уз субвенцију државе одобрава се за одржавање ликвидности, финансирање трајних обртних средстава и за рефинансирање постојећих кредита привреде. Кредитну активност банака привреди, у октобру 2014. године, на међугодишњем нивоу карактерише успоравање пада на 2,2% и номинални раст кредита становништву (6,5%), уз пораст депозита банака од 6%. У октобру су банке, као највећи појединачни инвеститори у државне хартије од вредности, повећале своја пласирана средства по том основу за око 100 млрд динара, уз смањење пласмана у хартије од вредности НБС за 80,7 млрд динара.</w:t>
      </w:r>
    </w:p>
    <w:p w:rsidR="00D66A10" w:rsidRPr="00D66A10" w:rsidRDefault="00D66A10" w:rsidP="000B1F0F">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Према последњим расположивим подацима учешће проблематичних кредита у укупним кредитима у септембру 2014. године повећано је на међугодишњем нивоу за 2 п.п. и износило је 23%. Истовремено, учешће проблематичних кредита датих физичким лицима је повећано за 0,9 п.п. на 10,2%, док је учешће проблематичних кредита привредним друштвима повећано за 3,7 п.п. на 29,8%.</w:t>
      </w:r>
    </w:p>
    <w:p w:rsidR="00D66A10" w:rsidRPr="00D66A10" w:rsidRDefault="00D66A10" w:rsidP="000B1F0F">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Кретање девизног курса од почетка године карактерише присуство депрецијацијских притисака. На таква кретања утицала су дешавања на међународним финансијским тржиштима у овом периоду, као и сезонски условљена повећана тражња домаћих предузећа за девизама, пре свега увозника енергената. Динар је од почетка године до краја новембра номинално и реално депрецирао за 4,9% и 2,8%, респективно. На депрецијацијске притиске у овом периоду додатно је утицало раздуживање банака у иностранству, смањен девизни прилив по основу инвестиција, исплата дивиденди предузећа и банака у већински страном власништву, укључујући погоршање спољнотрговинског дефицита у другој половини године. НБС је ради ублажавања прекомерних краткорочних осцилација у овом периоду интервенисала на међубанкарском девизном тржишту нето продајом 1.245 мил. евра.</w:t>
      </w:r>
    </w:p>
    <w:p w:rsidR="00D66A10" w:rsidRPr="00D66A10" w:rsidRDefault="00D66A10" w:rsidP="000B1F0F">
      <w:pPr>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 xml:space="preserve">Девизне резерве НБС на крају октобра 2014. године на међугодишњем нивоу повећане су за 415,9 мил. евра и износиле су 10,7 млрд динара. Повећање девизних резерви у овом периоду највећим делом је резултат девизног прилива по основу коришћења кредита од Уједињених Арапских Емирата у августу у износу од 748,3 мил. евра. Ниво девизних резерви НБС довољан је за покривеност новчане масе М1 од 313% и за покривеност више од седам месеци увоза робе и услуга. Девизна штедња становништва на крају октобра 2014. године износила је 8,5 млрд евра, док је динарска штедња износила 39,7 млрд динара. На међугодишњем нивоу девизна штедња је повећана за 1,2%, а динарска штедња за 63,4%. И поред значајно виших стопа раста динарске штедње у односу на раст девизне штедње, у </w:t>
      </w:r>
      <w:r w:rsidRPr="00D66A10">
        <w:rPr>
          <w:rFonts w:asciiTheme="majorHAnsi" w:hAnsiTheme="majorHAnsi" w:cs="Times New Roman"/>
          <w:noProof/>
          <w:color w:val="7F7F7F" w:themeColor="text1" w:themeTint="80"/>
          <w:sz w:val="21"/>
          <w:szCs w:val="21"/>
          <w:lang w:val="sr-Cyrl-RS" w:bidi="en-US"/>
        </w:rPr>
        <w:lastRenderedPageBreak/>
        <w:t>структури укупне штедње становништва и даље је доминантно учешће штедње у страној валути (око 96%).</w:t>
      </w:r>
    </w:p>
    <w:p w:rsidR="00EB3261" w:rsidRDefault="00D66A10" w:rsidP="00D66A10">
      <w:pPr>
        <w:spacing w:after="0"/>
        <w:rPr>
          <w:rFonts w:asciiTheme="majorHAnsi" w:hAnsiTheme="majorHAnsi" w:cs="Times New Roman"/>
          <w:noProof/>
          <w:color w:val="7F7F7F" w:themeColor="text1" w:themeTint="80"/>
          <w:sz w:val="21"/>
          <w:szCs w:val="21"/>
          <w:lang w:val="sr-Cyrl-RS" w:bidi="en-US"/>
        </w:rPr>
      </w:pPr>
      <w:r w:rsidRPr="00D66A10">
        <w:rPr>
          <w:rFonts w:asciiTheme="majorHAnsi" w:hAnsiTheme="majorHAnsi" w:cs="Times New Roman"/>
          <w:noProof/>
          <w:color w:val="7F7F7F" w:themeColor="text1" w:themeTint="80"/>
          <w:sz w:val="21"/>
          <w:szCs w:val="21"/>
          <w:lang w:val="sr-Cyrl-RS" w:bidi="en-US"/>
        </w:rPr>
        <w:t xml:space="preserve"> Према подацима НБС укупан спољни дуг на крају октобра 2014. године износио је 26.375 мил. евра, што је у поређењу са крајем 2013. године повећање за 611 мил. евра. Спољни дуг јавног сектора је повећан за 711,5 мил. евра и износио је 13.877,5 мил. евра, док је спољни дуг приватног сектора смањен за 266,6 мил. евра и износио је 12.331,3 мил. евра. И поред повећања спољног дуга, индикатор екстерне солвентности спољни дуг према извозу робе и услуга благо је побољшан у овом периоду, тако што је смањен са 184,5% у 2013. години на 182,5% у трећем кварталу 2014. године, уз истовремено погоршање индикатора рацио спољни дуг/бруто домаћи производ са 75,3% на 78,9%.</w:t>
      </w:r>
    </w:p>
    <w:p w:rsidR="00B679BC" w:rsidRPr="00171A80" w:rsidRDefault="00B679BC" w:rsidP="00B679BC">
      <w:pPr>
        <w:spacing w:after="0"/>
        <w:rPr>
          <w:rFonts w:asciiTheme="majorHAnsi" w:hAnsiTheme="majorHAnsi" w:cs="Calibri"/>
          <w:color w:val="7F7F7F" w:themeColor="text1" w:themeTint="80"/>
          <w:sz w:val="21"/>
          <w:szCs w:val="21"/>
          <w:lang w:val="sr-Cyrl-RS"/>
        </w:rPr>
      </w:pPr>
    </w:p>
    <w:p w:rsidR="009B300B" w:rsidRPr="00171A80" w:rsidRDefault="00003F06" w:rsidP="00B679BC">
      <w:pPr>
        <w:pStyle w:val="Heading3"/>
        <w:numPr>
          <w:ilvl w:val="1"/>
          <w:numId w:val="2"/>
        </w:numPr>
        <w:spacing w:before="0" w:after="0"/>
        <w:ind w:left="357" w:hanging="357"/>
        <w:rPr>
          <w:rFonts w:asciiTheme="majorHAnsi" w:eastAsia="Calibri" w:hAnsiTheme="majorHAnsi"/>
          <w:b w:val="0"/>
          <w:lang w:val="sr-Cyrl-RS"/>
        </w:rPr>
      </w:pPr>
      <w:bookmarkStart w:id="20" w:name="_Toc337117117"/>
      <w:bookmarkStart w:id="21" w:name="_Toc407617159"/>
      <w:r w:rsidRPr="00171A80">
        <w:rPr>
          <w:rFonts w:asciiTheme="majorHAnsi" w:hAnsiTheme="majorHAnsi"/>
          <w:b w:val="0"/>
          <w:lang w:val="sr-Cyrl-RS"/>
        </w:rPr>
        <w:t>Пројекција</w:t>
      </w:r>
      <w:r w:rsidRPr="00171A80">
        <w:rPr>
          <w:rFonts w:asciiTheme="majorHAnsi" w:eastAsia="Calibri" w:hAnsiTheme="majorHAnsi"/>
          <w:b w:val="0"/>
          <w:lang w:val="sr-Cyrl-RS"/>
        </w:rPr>
        <w:t xml:space="preserve"> </w:t>
      </w:r>
      <w:r w:rsidRPr="00171A80">
        <w:rPr>
          <w:rFonts w:asciiTheme="majorHAnsi" w:hAnsiTheme="majorHAnsi"/>
          <w:b w:val="0"/>
          <w:lang w:val="sr-Cyrl-RS"/>
        </w:rPr>
        <w:t>макроекономских</w:t>
      </w:r>
      <w:r w:rsidRPr="00171A80">
        <w:rPr>
          <w:rFonts w:asciiTheme="majorHAnsi" w:eastAsia="Calibri" w:hAnsiTheme="majorHAnsi"/>
          <w:b w:val="0"/>
          <w:lang w:val="sr-Cyrl-RS"/>
        </w:rPr>
        <w:t xml:space="preserve"> индикатора </w:t>
      </w:r>
      <w:r w:rsidR="0043003F" w:rsidRPr="00171A80">
        <w:rPr>
          <w:rFonts w:asciiTheme="majorHAnsi" w:eastAsia="Calibri" w:hAnsiTheme="majorHAnsi"/>
          <w:b w:val="0"/>
          <w:lang w:val="sr-Cyrl-RS"/>
        </w:rPr>
        <w:t>за период 201</w:t>
      </w:r>
      <w:r w:rsidR="00C37371" w:rsidRPr="00171A80">
        <w:rPr>
          <w:rFonts w:asciiTheme="majorHAnsi" w:eastAsia="Calibri" w:hAnsiTheme="majorHAnsi"/>
          <w:b w:val="0"/>
          <w:lang w:val="sr-Cyrl-RS"/>
        </w:rPr>
        <w:t>5</w:t>
      </w:r>
      <w:r w:rsidR="00785847" w:rsidRPr="00171A80">
        <w:rPr>
          <w:rFonts w:asciiTheme="majorHAnsi" w:eastAsia="Calibri" w:hAnsiTheme="majorHAnsi"/>
          <w:b w:val="0"/>
          <w:lang w:val="sr-Cyrl-RS"/>
        </w:rPr>
        <w:t xml:space="preserve"> </w:t>
      </w:r>
      <w:r w:rsidR="00C16468" w:rsidRPr="00171A80">
        <w:rPr>
          <w:rFonts w:asciiTheme="majorHAnsi" w:eastAsia="Calibri" w:hAnsiTheme="majorHAnsi"/>
          <w:b w:val="0"/>
          <w:lang w:val="sr-Cyrl-RS"/>
        </w:rPr>
        <w:t>–</w:t>
      </w:r>
      <w:r w:rsidR="0043003F" w:rsidRPr="00171A80">
        <w:rPr>
          <w:rFonts w:asciiTheme="majorHAnsi" w:eastAsia="Calibri" w:hAnsiTheme="majorHAnsi"/>
          <w:b w:val="0"/>
          <w:lang w:val="sr-Cyrl-RS"/>
        </w:rPr>
        <w:t xml:space="preserve"> 201</w:t>
      </w:r>
      <w:r w:rsidR="00C37371" w:rsidRPr="00171A80">
        <w:rPr>
          <w:rFonts w:asciiTheme="majorHAnsi" w:eastAsia="Calibri" w:hAnsiTheme="majorHAnsi"/>
          <w:b w:val="0"/>
          <w:lang w:val="sr-Cyrl-RS"/>
        </w:rPr>
        <w:t>7</w:t>
      </w:r>
      <w:r w:rsidR="00C16468" w:rsidRPr="00171A80">
        <w:rPr>
          <w:rFonts w:asciiTheme="majorHAnsi" w:eastAsia="Calibri" w:hAnsiTheme="majorHAnsi"/>
          <w:b w:val="0"/>
          <w:lang w:val="sr-Cyrl-RS"/>
        </w:rPr>
        <w:t>.</w:t>
      </w:r>
      <w:r w:rsidR="0043003F" w:rsidRPr="00171A80">
        <w:rPr>
          <w:rFonts w:asciiTheme="majorHAnsi" w:eastAsia="Calibri" w:hAnsiTheme="majorHAnsi"/>
          <w:b w:val="0"/>
          <w:lang w:val="sr-Cyrl-RS"/>
        </w:rPr>
        <w:t xml:space="preserve"> г</w:t>
      </w:r>
      <w:r w:rsidRPr="00171A80">
        <w:rPr>
          <w:rFonts w:asciiTheme="majorHAnsi" w:eastAsia="Calibri" w:hAnsiTheme="majorHAnsi"/>
          <w:b w:val="0"/>
          <w:lang w:val="sr-Cyrl-RS"/>
        </w:rPr>
        <w:t>одине</w:t>
      </w:r>
      <w:bookmarkEnd w:id="20"/>
      <w:bookmarkEnd w:id="21"/>
    </w:p>
    <w:p w:rsidR="002F53D7" w:rsidRPr="00171A80" w:rsidRDefault="002F53D7" w:rsidP="006D67D3">
      <w:pPr>
        <w:pStyle w:val="IFS2012naslov3"/>
        <w:rPr>
          <w:rFonts w:eastAsia="Calibri"/>
        </w:rPr>
      </w:pPr>
    </w:p>
    <w:p w:rsidR="005C23D0" w:rsidRPr="00171A80" w:rsidRDefault="005C23D0" w:rsidP="005C23D0">
      <w:pPr>
        <w:rPr>
          <w:rFonts w:asciiTheme="majorHAnsi" w:eastAsia="Calibri" w:hAnsiTheme="majorHAnsi" w:cs="Calibri"/>
          <w:color w:val="7F7F7F"/>
          <w:sz w:val="21"/>
          <w:szCs w:val="21"/>
          <w:lang w:val="sr-Cyrl-RS"/>
        </w:rPr>
      </w:pPr>
      <w:r w:rsidRPr="005C23D0">
        <w:rPr>
          <w:rFonts w:asciiTheme="majorHAnsi" w:eastAsia="Calibri" w:hAnsiTheme="majorHAnsi" w:cs="Times New Roman"/>
          <w:bCs w:val="0"/>
          <w:noProof/>
          <w:color w:val="7F7F7F" w:themeColor="text1" w:themeTint="80"/>
          <w:sz w:val="21"/>
          <w:szCs w:val="22"/>
          <w:lang w:val="en-US"/>
        </w:rPr>
        <mc:AlternateContent>
          <mc:Choice Requires="wps">
            <w:drawing>
              <wp:anchor distT="45720" distB="45720" distL="114300" distR="114300" simplePos="0" relativeHeight="251664384" behindDoc="0" locked="0" layoutInCell="1" allowOverlap="1" wp14:anchorId="185FB81A" wp14:editId="2B266A7B">
                <wp:simplePos x="0" y="0"/>
                <wp:positionH relativeFrom="margin">
                  <wp:align>right</wp:align>
                </wp:positionH>
                <wp:positionV relativeFrom="paragraph">
                  <wp:posOffset>687070</wp:posOffset>
                </wp:positionV>
                <wp:extent cx="5657850" cy="723900"/>
                <wp:effectExtent l="0" t="0" r="19050"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23900"/>
                        </a:xfrm>
                        <a:prstGeom prst="rect">
                          <a:avLst/>
                        </a:prstGeom>
                        <a:solidFill>
                          <a:srgbClr val="9BBB59">
                            <a:lumMod val="20000"/>
                            <a:lumOff val="80000"/>
                          </a:srgbClr>
                        </a:solidFill>
                        <a:ln w="9525">
                          <a:solidFill>
                            <a:srgbClr val="000000"/>
                          </a:solidFill>
                          <a:miter lim="800000"/>
                          <a:headEnd/>
                          <a:tailEnd/>
                        </a:ln>
                      </wps:spPr>
                      <wps:txbx>
                        <w:txbxContent>
                          <w:p w:rsidR="00F74EED" w:rsidRPr="001E7902" w:rsidRDefault="00F74EED" w:rsidP="005C23D0">
                            <w:pPr>
                              <w:pStyle w:val="IFS2012tekst"/>
                              <w:ind w:firstLine="0"/>
                              <w:rPr>
                                <w:b/>
                                <w:i/>
                                <w:color w:val="808080" w:themeColor="background1" w:themeShade="80"/>
                                <w:lang w:val="sr-Cyrl-RS"/>
                              </w:rPr>
                            </w:pPr>
                            <w:r w:rsidRPr="00C71513">
                              <w:rPr>
                                <w:b/>
                                <w:bCs/>
                                <w:i/>
                                <w:color w:val="808080" w:themeColor="background1" w:themeShade="80"/>
                                <w:lang w:val="sr-Cyrl-RS"/>
                              </w:rPr>
                              <w:t>Имајући у виду да је Влада започела интензивне преговоре о новом аранжману са ММФ, макроекономски и фискални оквир представљен у овом документу је усаглашен са представницима ове међународне институц</w:t>
                            </w:r>
                            <w:r>
                              <w:rPr>
                                <w:b/>
                                <w:bCs/>
                                <w:i/>
                                <w:color w:val="808080" w:themeColor="background1" w:themeShade="80"/>
                                <w:lang w:val="sr-Cyrl-RS"/>
                              </w:rPr>
                              <w:t>ије током новембра 2014. године</w:t>
                            </w:r>
                            <w:r w:rsidRPr="001E7902">
                              <w:rPr>
                                <w:b/>
                                <w:i/>
                                <w:color w:val="808080" w:themeColor="background1" w:themeShade="80"/>
                                <w:lang w:val="sr-Cyrl-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FB81A" id="_x0000_t202" coordsize="21600,21600" o:spt="202" path="m,l,21600r21600,l21600,xe">
                <v:stroke joinstyle="miter"/>
                <v:path gradientshapeok="t" o:connecttype="rect"/>
              </v:shapetype>
              <v:shape id="Text Box 12" o:spid="_x0000_s1033" type="#_x0000_t202" style="position:absolute;left:0;text-align:left;margin-left:394.3pt;margin-top:54.1pt;width:445.5pt;height:57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" fillcolor="#ebf1de">
                <v:textbox>
                  <w:txbxContent>
                    <w:p w:rsidR="00F74EED" w:rsidRPr="001E7902" w:rsidRDefault="00F74EED" w:rsidP="005C23D0">
                      <w:pPr>
                        <w:pStyle w:val="IFS2012tekst"/>
                        <w:ind w:firstLine="0"/>
                        <w:rPr>
                          <w:b/>
                          <w:i/>
                          <w:color w:val="808080" w:themeColor="background1" w:themeShade="80"/>
                          <w:lang w:val="sr-Cyrl-RS"/>
                        </w:rPr>
                      </w:pPr>
                      <w:r w:rsidRPr="00C71513">
                        <w:rPr>
                          <w:b/>
                          <w:bCs/>
                          <w:i/>
                          <w:color w:val="808080" w:themeColor="background1" w:themeShade="80"/>
                          <w:lang w:val="sr-Cyrl-RS"/>
                        </w:rPr>
                        <w:t>Имајући у виду да је Влада започела интензивне преговоре о новом аранжману са ММФ, макроекономски и фискални оквир представљен у овом документу је усаглашен са представницима ове међународне институц</w:t>
                      </w:r>
                      <w:r>
                        <w:rPr>
                          <w:b/>
                          <w:bCs/>
                          <w:i/>
                          <w:color w:val="808080" w:themeColor="background1" w:themeShade="80"/>
                          <w:lang w:val="sr-Cyrl-RS"/>
                        </w:rPr>
                        <w:t>ије током новембра 2014. године</w:t>
                      </w:r>
                      <w:r w:rsidRPr="001E7902">
                        <w:rPr>
                          <w:b/>
                          <w:i/>
                          <w:color w:val="808080" w:themeColor="background1" w:themeShade="80"/>
                          <w:lang w:val="sr-Cyrl-RS"/>
                        </w:rPr>
                        <w:t>.</w:t>
                      </w:r>
                    </w:p>
                  </w:txbxContent>
                </v:textbox>
                <w10:wrap type="square" anchorx="margin"/>
              </v:shape>
            </w:pict>
          </mc:Fallback>
        </mc:AlternateContent>
      </w:r>
      <w:r w:rsidR="00F824EA" w:rsidRPr="00F824EA">
        <w:t xml:space="preserve"> </w:t>
      </w:r>
      <w:r w:rsidR="00C71513" w:rsidRPr="00C71513">
        <w:rPr>
          <w:rFonts w:asciiTheme="majorHAnsi" w:eastAsia="Calibri" w:hAnsiTheme="majorHAnsi" w:cs="Times New Roman"/>
          <w:noProof/>
          <w:color w:val="7F7F7F" w:themeColor="text1" w:themeTint="80"/>
          <w:sz w:val="21"/>
          <w:szCs w:val="22"/>
          <w:lang w:val="sr-Cyrl-RS"/>
        </w:rPr>
        <w:t>На основу текућих економских кретања и изгледа у Србији и међународном окружењу, имајући у виду планиране економске политике и започете разговоре са мисијом ММФ о новом аранжману, пројектовани су основни макроекономски агрегати и индикатори за Републику Србију у периоду 2015 - 2017. године</w:t>
      </w:r>
      <w:r w:rsidR="00575A02" w:rsidRPr="00171A80">
        <w:rPr>
          <w:rFonts w:asciiTheme="majorHAnsi" w:eastAsia="Calibri" w:hAnsiTheme="majorHAnsi" w:cs="Calibri"/>
          <w:color w:val="7F7F7F"/>
          <w:sz w:val="21"/>
          <w:szCs w:val="21"/>
          <w:lang w:val="sr-Cyrl-RS"/>
        </w:rPr>
        <w:t>.</w:t>
      </w:r>
    </w:p>
    <w:p w:rsidR="00C71513" w:rsidRPr="00C71513" w:rsidRDefault="00C71513" w:rsidP="00C71513">
      <w:pPr>
        <w:rPr>
          <w:rFonts w:asciiTheme="majorHAnsi" w:eastAsia="Calibri" w:hAnsiTheme="majorHAnsi" w:cs="Calibri"/>
          <w:color w:val="7F7F7F"/>
          <w:sz w:val="21"/>
          <w:szCs w:val="21"/>
          <w:lang w:val="sr-Cyrl-RS"/>
        </w:rPr>
      </w:pPr>
      <w:r w:rsidRPr="00C71513">
        <w:rPr>
          <w:rFonts w:asciiTheme="majorHAnsi" w:eastAsia="Calibri" w:hAnsiTheme="majorHAnsi" w:cs="Calibri"/>
          <w:color w:val="7F7F7F"/>
          <w:sz w:val="21"/>
          <w:szCs w:val="21"/>
          <w:lang w:val="sr-Cyrl-RS"/>
        </w:rPr>
        <w:t>Кориговане су на ниже пројекције БДП и повезаних индикатора за период 2015 - 2017. године, пре свега, због спорог и неизвесног опоравка земаља евро зоне и последично успоравања раста домаћег извоза, али и због оштрих мера фискалне политике које ће деловати на смањивање домаће тражње, пре свега личне потрошње становништва и државне потрошње.</w:t>
      </w:r>
    </w:p>
    <w:p w:rsidR="00C71513" w:rsidRPr="00C71513" w:rsidRDefault="00C71513" w:rsidP="00C71513">
      <w:pPr>
        <w:rPr>
          <w:rFonts w:asciiTheme="majorHAnsi" w:eastAsia="Calibri" w:hAnsiTheme="majorHAnsi" w:cs="Calibri"/>
          <w:color w:val="7F7F7F"/>
          <w:sz w:val="21"/>
          <w:szCs w:val="21"/>
          <w:lang w:val="sr-Cyrl-RS"/>
        </w:rPr>
      </w:pPr>
      <w:r w:rsidRPr="00C71513">
        <w:rPr>
          <w:rFonts w:asciiTheme="majorHAnsi" w:eastAsia="Calibri" w:hAnsiTheme="majorHAnsi" w:cs="Calibri"/>
          <w:color w:val="7F7F7F"/>
          <w:sz w:val="21"/>
          <w:szCs w:val="21"/>
          <w:lang w:val="sr-Cyrl-RS"/>
        </w:rPr>
        <w:t xml:space="preserve">Макроекономске пројекције за период од 2015. до 2017. године указују на умерену путању опоравка. Пројектована кумулативна стопа раста реалног БДП за наредне три године од 3% заснована је на расту извоза и опоравку инвестиционе активности. Убрзање раста извоза и инвестиција су носећи развојни фактори који ће, уз реструктурирање привреде, омогућити стварање здраве основе за убрзање раста, смањивање унутрашње и спољне макроекономске неравнотеже, као и стварање простора за повећање животног стандарда на реалним основама. </w:t>
      </w:r>
    </w:p>
    <w:p w:rsidR="00C71513" w:rsidRPr="00C71513" w:rsidRDefault="00C71513" w:rsidP="00C71513">
      <w:pPr>
        <w:rPr>
          <w:rFonts w:asciiTheme="majorHAnsi" w:eastAsia="Calibri" w:hAnsiTheme="majorHAnsi" w:cs="Calibri"/>
          <w:color w:val="7F7F7F"/>
          <w:sz w:val="21"/>
          <w:szCs w:val="21"/>
          <w:lang w:val="sr-Cyrl-RS"/>
        </w:rPr>
      </w:pPr>
      <w:r w:rsidRPr="00C71513">
        <w:rPr>
          <w:rFonts w:asciiTheme="majorHAnsi" w:eastAsia="Calibri" w:hAnsiTheme="majorHAnsi" w:cs="Calibri"/>
          <w:color w:val="7F7F7F"/>
          <w:sz w:val="21"/>
          <w:szCs w:val="21"/>
          <w:lang w:val="sr-Cyrl-RS"/>
        </w:rPr>
        <w:t>Конзервативном средњорочном макроекономском пројекцијом предвиђен је просечан реални раст БДП од 1% који ће бити заснован на расту инвестиција и извоза робе и услуга по просечној годишњој реалној стопи од 5,2% и 4,9%, респективно, уз просечни годишњи пад личне (-0,2%) и државне потрошње (-5,7%). Спровођење оштрих мера фискалне консолидације током 2015. године утицаће на смањење личне и државне потрошње и по том основу домаће тражње. Убрзање раста БДП у 2016. и 2017. години на 1,5% и 2,0%, респективно, засновано је, пре свега, на расту инвестиционе потрошње али и постепеном опоравку стандарда становништва на реалним основама. Мере фискалне политике и побољшање пословног и инвестиционог окружења омогућиће стварање основе за стабилан и одржив раст у наредним годинама.</w:t>
      </w:r>
    </w:p>
    <w:p w:rsidR="00C71513" w:rsidRPr="00C71513" w:rsidRDefault="00C71513" w:rsidP="00C71513">
      <w:pPr>
        <w:rPr>
          <w:rFonts w:asciiTheme="majorHAnsi" w:eastAsia="Calibri" w:hAnsiTheme="majorHAnsi" w:cs="Calibri"/>
          <w:color w:val="7F7F7F"/>
          <w:sz w:val="21"/>
          <w:szCs w:val="21"/>
          <w:lang w:val="sr-Cyrl-RS"/>
        </w:rPr>
      </w:pPr>
      <w:r w:rsidRPr="00C71513">
        <w:rPr>
          <w:rFonts w:asciiTheme="majorHAnsi" w:eastAsia="Calibri" w:hAnsiTheme="majorHAnsi" w:cs="Calibri"/>
          <w:color w:val="7F7F7F"/>
          <w:sz w:val="21"/>
          <w:szCs w:val="21"/>
          <w:lang w:val="sr-Cyrl-RS"/>
        </w:rPr>
        <w:t xml:space="preserve">Нови модел развоја земље подразумева смањивање нерационалне потрошње, бирократије и непотребних трошкова јавног сектора и истовремено повећање инвестиционе потрошње како би се подстакао привредни раст и запошљавање, уз социјалну заштиту најугроженијих слојева друштва. Средњорочна макроекономска пројекција предвиђа да се на крају 2017. године обезбеди повећање удела инвестиција на око 20% БДП, смањење удела државне потрошње у БДП на 14,6% и повећање удела извоза робе и услуга у БДП на преко 45%. Неопходан је нето прилив страних инвестиција од око 1,3 млрд евра просечно годишње, уз промену структуре улагања ка сектору размењивих добара. Финансирање платног биланса подразумева истовремено смањивање удела дефицита робе и услуга и дефицита текућих трансакција (са донацијама) у БДП на 7,6% и 4,3%, респективно, на крају 2017. године, како би </w:t>
      </w:r>
      <w:r w:rsidRPr="00C71513">
        <w:rPr>
          <w:rFonts w:asciiTheme="majorHAnsi" w:eastAsia="Calibri" w:hAnsiTheme="majorHAnsi" w:cs="Calibri"/>
          <w:color w:val="7F7F7F"/>
          <w:sz w:val="21"/>
          <w:szCs w:val="21"/>
          <w:lang w:val="sr-Cyrl-RS"/>
        </w:rPr>
        <w:lastRenderedPageBreak/>
        <w:t>се обезбедило смањивање апсорпционог јаза, одрживост спољног дуга, екстерна ликвидност и солвентност.</w:t>
      </w:r>
    </w:p>
    <w:p w:rsidR="00C71513" w:rsidRPr="00171A80" w:rsidRDefault="00C71513" w:rsidP="00241CB2">
      <w:pPr>
        <w:rPr>
          <w:rFonts w:asciiTheme="majorHAnsi" w:eastAsia="Calibri" w:hAnsiTheme="majorHAnsi" w:cs="Calibri"/>
          <w:color w:val="7F7F7F"/>
          <w:sz w:val="21"/>
          <w:szCs w:val="21"/>
          <w:lang w:val="sr-Cyrl-RS"/>
        </w:rPr>
      </w:pPr>
      <w:r w:rsidRPr="00C71513">
        <w:rPr>
          <w:rFonts w:asciiTheme="majorHAnsi" w:eastAsia="Calibri" w:hAnsiTheme="majorHAnsi" w:cs="Calibri"/>
          <w:color w:val="7F7F7F"/>
          <w:sz w:val="21"/>
          <w:szCs w:val="21"/>
          <w:lang w:val="sr-Cyrl-RS"/>
        </w:rPr>
        <w:t>Узрок рецесионих тенденција током 2015. године је спровођење оштрих мера фискалне консолидације, које ће у кратком року утицати на смањење личне и државне потрошње и по том основу домаће тражње. Убрзање раста БДП у 2016. и 2017. години на 1,5% и 2,0%, респективно, засновано је, пре свега, на расту инвестиционе потрошње али и постепеном опоравку стандарда становништва на реалним основама. Спровођење мера фискалне политике и побољшање пословног и инвестиционог окружења омогућиће стварање основе за стабилан и одржив раст у наредним годинама</w:t>
      </w:r>
      <w:r w:rsidR="00C02068" w:rsidRPr="00171A80">
        <w:rPr>
          <w:rFonts w:asciiTheme="majorHAnsi" w:eastAsia="Calibri" w:hAnsiTheme="majorHAnsi" w:cs="Calibri"/>
          <w:color w:val="7F7F7F"/>
          <w:sz w:val="21"/>
          <w:szCs w:val="21"/>
          <w:lang w:val="sr-Cyrl-RS"/>
        </w:rPr>
        <w:t>.</w:t>
      </w:r>
    </w:p>
    <w:p w:rsidR="001A2DAC" w:rsidRPr="000817F4" w:rsidRDefault="001A2DAC" w:rsidP="006D67D3">
      <w:pPr>
        <w:ind w:firstLine="0"/>
        <w:jc w:val="left"/>
        <w:rPr>
          <w:rFonts w:asciiTheme="majorHAnsi" w:eastAsia="Calibri" w:hAnsiTheme="majorHAnsi" w:cs="Calibri"/>
          <w:color w:val="7F7F7F"/>
          <w:sz w:val="21"/>
          <w:szCs w:val="21"/>
          <w:lang w:val="sr-Cyrl-RS"/>
        </w:rPr>
      </w:pPr>
      <w:r w:rsidRPr="00171A80">
        <w:rPr>
          <w:rFonts w:asciiTheme="majorHAnsi" w:eastAsia="Calibri" w:hAnsiTheme="majorHAnsi" w:cs="Calibri"/>
          <w:b/>
          <w:color w:val="7F7F7F"/>
          <w:sz w:val="21"/>
          <w:szCs w:val="21"/>
          <w:lang w:val="sr-Cyrl-RS"/>
        </w:rPr>
        <w:t>Табела</w:t>
      </w:r>
      <w:r w:rsidRPr="00171A80">
        <w:rPr>
          <w:rFonts w:asciiTheme="majorHAnsi" w:eastAsia="Calibri" w:hAnsiTheme="majorHAnsi"/>
          <w:b/>
          <w:color w:val="7F7F7F"/>
          <w:sz w:val="21"/>
          <w:szCs w:val="21"/>
          <w:lang w:val="sr-Cyrl-RS"/>
        </w:rPr>
        <w:t xml:space="preserve"> </w:t>
      </w:r>
      <w:r w:rsidR="00E64DB0" w:rsidRPr="00171A80">
        <w:rPr>
          <w:rFonts w:asciiTheme="majorHAnsi" w:eastAsia="Calibri" w:hAnsiTheme="majorHAnsi"/>
          <w:b/>
          <w:color w:val="7F7F7F"/>
          <w:sz w:val="21"/>
          <w:szCs w:val="21"/>
          <w:lang w:val="sr-Cyrl-RS"/>
        </w:rPr>
        <w:t>4</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Пројекција</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основних</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макроекономских</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показатеља</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Републике</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Србије</w:t>
      </w:r>
    </w:p>
    <w:tbl>
      <w:tblPr>
        <w:tblStyle w:val="LightShading-Accent33"/>
        <w:tblW w:w="9423" w:type="dxa"/>
        <w:tblLook w:val="04A0" w:firstRow="1" w:lastRow="0" w:firstColumn="1" w:lastColumn="0" w:noHBand="0" w:noVBand="1"/>
      </w:tblPr>
      <w:tblGrid>
        <w:gridCol w:w="3876"/>
        <w:gridCol w:w="1849"/>
        <w:gridCol w:w="1849"/>
        <w:gridCol w:w="1849"/>
      </w:tblGrid>
      <w:tr w:rsidR="00875047" w:rsidRPr="00171A80" w:rsidTr="00477454">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876" w:type="dxa"/>
            <w:vMerge w:val="restart"/>
            <w:noWrap/>
            <w:hideMark/>
          </w:tcPr>
          <w:p w:rsidR="00875047" w:rsidRPr="00171A80" w:rsidRDefault="00875047" w:rsidP="00875047">
            <w:pPr>
              <w:spacing w:after="0"/>
              <w:ind w:firstLine="0"/>
              <w:jc w:val="left"/>
              <w:rPr>
                <w:rFonts w:asciiTheme="majorHAnsi" w:eastAsia="Calibri" w:hAnsiTheme="majorHAnsi" w:cs="Calibri"/>
                <w:b w:val="0"/>
                <w:color w:val="7F7F7F"/>
                <w:sz w:val="21"/>
                <w:szCs w:val="21"/>
                <w:lang w:val="sr-Cyrl-RS"/>
              </w:rPr>
            </w:pPr>
            <w:r w:rsidRPr="00171A80">
              <w:rPr>
                <w:rFonts w:asciiTheme="majorHAnsi" w:eastAsia="Calibri" w:hAnsiTheme="majorHAnsi" w:cs="Calibri"/>
                <w:b w:val="0"/>
                <w:color w:val="7F7F7F"/>
                <w:sz w:val="21"/>
                <w:szCs w:val="21"/>
                <w:lang w:val="sr-Cyrl-RS"/>
              </w:rPr>
              <w:t> </w:t>
            </w:r>
          </w:p>
        </w:tc>
        <w:tc>
          <w:tcPr>
            <w:tcW w:w="5547" w:type="dxa"/>
            <w:gridSpan w:val="3"/>
            <w:hideMark/>
          </w:tcPr>
          <w:p w:rsidR="00875047" w:rsidRPr="00171A80" w:rsidRDefault="00875047" w:rsidP="00875047">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Calibri"/>
                <w:b w:val="0"/>
                <w:color w:val="7F7F7F"/>
                <w:sz w:val="21"/>
                <w:szCs w:val="21"/>
                <w:lang w:val="sr-Cyrl-RS"/>
              </w:rPr>
            </w:pPr>
            <w:r w:rsidRPr="00171A80">
              <w:rPr>
                <w:rFonts w:asciiTheme="majorHAnsi" w:eastAsia="Calibri" w:hAnsiTheme="majorHAnsi" w:cs="Calibri"/>
                <w:b w:val="0"/>
                <w:color w:val="7F7F7F"/>
                <w:sz w:val="21"/>
                <w:szCs w:val="21"/>
                <w:lang w:val="sr-Cyrl-RS"/>
              </w:rPr>
              <w:t>Пројекција</w:t>
            </w:r>
          </w:p>
        </w:tc>
      </w:tr>
      <w:tr w:rsidR="00477454" w:rsidRPr="00171A80" w:rsidTr="00477454">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876" w:type="dxa"/>
            <w:vMerge/>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p>
        </w:tc>
        <w:tc>
          <w:tcPr>
            <w:tcW w:w="1849" w:type="dxa"/>
            <w:noWrap/>
            <w:hideMark/>
          </w:tcPr>
          <w:p w:rsidR="00875047" w:rsidRPr="00171A80" w:rsidRDefault="00875047" w:rsidP="0087504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2015</w:t>
            </w:r>
          </w:p>
        </w:tc>
        <w:tc>
          <w:tcPr>
            <w:tcW w:w="1849" w:type="dxa"/>
            <w:noWrap/>
            <w:hideMark/>
          </w:tcPr>
          <w:p w:rsidR="00875047" w:rsidRPr="00171A80" w:rsidRDefault="00875047" w:rsidP="0087504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2016</w:t>
            </w:r>
          </w:p>
        </w:tc>
        <w:tc>
          <w:tcPr>
            <w:tcW w:w="1849" w:type="dxa"/>
            <w:noWrap/>
            <w:hideMark/>
          </w:tcPr>
          <w:p w:rsidR="00875047" w:rsidRPr="00171A80" w:rsidRDefault="00875047" w:rsidP="0087504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2017</w:t>
            </w:r>
          </w:p>
        </w:tc>
      </w:tr>
      <w:tr w:rsidR="00875047" w:rsidRPr="00171A80" w:rsidTr="00477454">
        <w:trPr>
          <w:trHeight w:val="202"/>
        </w:trPr>
        <w:tc>
          <w:tcPr>
            <w:cnfStyle w:val="001000000000" w:firstRow="0" w:lastRow="0" w:firstColumn="1" w:lastColumn="0" w:oddVBand="0" w:evenVBand="0" w:oddHBand="0" w:evenHBand="0" w:firstRowFirstColumn="0" w:firstRowLastColumn="0" w:lastRowFirstColumn="0" w:lastRowLastColumn="0"/>
            <w:tcW w:w="3876" w:type="dxa"/>
            <w:noWrap/>
            <w:hideMark/>
          </w:tcPr>
          <w:p w:rsidR="00875047" w:rsidRPr="00171A80" w:rsidRDefault="00875047" w:rsidP="00875047">
            <w:pPr>
              <w:spacing w:after="0"/>
              <w:ind w:firstLine="0"/>
              <w:jc w:val="left"/>
              <w:rPr>
                <w:rFonts w:asciiTheme="majorHAnsi" w:eastAsia="Calibri" w:hAnsiTheme="majorHAnsi" w:cs="Calibri"/>
                <w:b w:val="0"/>
                <w:color w:val="7F7F7F"/>
                <w:sz w:val="21"/>
                <w:szCs w:val="21"/>
                <w:lang w:val="sr-Cyrl-RS"/>
              </w:rPr>
            </w:pPr>
            <w:r w:rsidRPr="00171A80">
              <w:rPr>
                <w:rFonts w:asciiTheme="majorHAnsi" w:eastAsia="Calibri" w:hAnsiTheme="majorHAnsi" w:cs="Calibri"/>
                <w:b w:val="0"/>
                <w:bCs/>
                <w:color w:val="7F7F7F"/>
                <w:sz w:val="21"/>
                <w:szCs w:val="21"/>
                <w:lang w:val="sr-Cyrl-RS"/>
              </w:rPr>
              <w:t>БДП, мил. динара (текуће цене)</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3</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970</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469</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195</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258</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454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608</w:t>
            </w:r>
          </w:p>
        </w:tc>
      </w:tr>
      <w:tr w:rsidR="00875047" w:rsidRPr="00171A80" w:rsidTr="00477454">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876" w:type="dxa"/>
            <w:noWrap/>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r w:rsidRPr="00171A80">
              <w:rPr>
                <w:rFonts w:asciiTheme="majorHAnsi" w:eastAsia="Calibri" w:hAnsiTheme="majorHAnsi" w:cs="Calibri"/>
                <w:b w:val="0"/>
                <w:bCs/>
                <w:color w:val="7F7F7F"/>
                <w:sz w:val="21"/>
                <w:szCs w:val="21"/>
                <w:lang w:val="sr-Cyrl-RS"/>
              </w:rPr>
              <w:t>Реални раст БДП</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-0</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5</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1</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5</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2</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0</w:t>
            </w:r>
          </w:p>
        </w:tc>
      </w:tr>
      <w:tr w:rsidR="00875047" w:rsidRPr="00171A80" w:rsidTr="00477454">
        <w:trPr>
          <w:trHeight w:val="202"/>
        </w:trPr>
        <w:tc>
          <w:tcPr>
            <w:cnfStyle w:val="001000000000" w:firstRow="0" w:lastRow="0" w:firstColumn="1" w:lastColumn="0" w:oddVBand="0" w:evenVBand="0" w:oddHBand="0" w:evenHBand="0" w:firstRowFirstColumn="0" w:firstRowLastColumn="0" w:lastRowFirstColumn="0" w:lastRowLastColumn="0"/>
            <w:tcW w:w="9423" w:type="dxa"/>
            <w:gridSpan w:val="4"/>
            <w:noWrap/>
            <w:hideMark/>
          </w:tcPr>
          <w:p w:rsidR="00875047" w:rsidRPr="00171A80" w:rsidRDefault="00875047" w:rsidP="00875047">
            <w:pPr>
              <w:spacing w:after="0"/>
              <w:ind w:firstLine="0"/>
              <w:jc w:val="left"/>
              <w:rPr>
                <w:rFonts w:asciiTheme="majorHAnsi" w:eastAsia="Calibri" w:hAnsiTheme="majorHAnsi" w:cs="Calibri"/>
                <w:bCs/>
                <w:i/>
                <w:iCs/>
                <w:color w:val="7F7F7F"/>
                <w:sz w:val="21"/>
                <w:szCs w:val="21"/>
                <w:lang w:val="sr-Cyrl-RS"/>
              </w:rPr>
            </w:pPr>
            <w:r w:rsidRPr="00171A80">
              <w:rPr>
                <w:rFonts w:asciiTheme="majorHAnsi" w:eastAsia="Calibri" w:hAnsiTheme="majorHAnsi" w:cs="Calibri"/>
                <w:i/>
                <w:iCs/>
                <w:color w:val="7F7F7F"/>
                <w:sz w:val="21"/>
                <w:szCs w:val="21"/>
                <w:lang w:val="sr-Cyrl-RS"/>
              </w:rPr>
              <w:t>Реални раст појединих компоненти БДП, %</w:t>
            </w:r>
          </w:p>
        </w:tc>
      </w:tr>
      <w:tr w:rsidR="00875047" w:rsidRPr="00171A80" w:rsidTr="00477454">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876" w:type="dxa"/>
            <w:noWrap/>
            <w:hideMark/>
          </w:tcPr>
          <w:p w:rsidR="00875047" w:rsidRPr="00171A80" w:rsidRDefault="00875047" w:rsidP="00875047">
            <w:pPr>
              <w:spacing w:after="0"/>
              <w:ind w:firstLine="0"/>
              <w:jc w:val="left"/>
              <w:rPr>
                <w:rFonts w:asciiTheme="majorHAnsi" w:eastAsia="Calibri" w:hAnsiTheme="majorHAnsi" w:cs="Calibri"/>
                <w:b w:val="0"/>
                <w:color w:val="7F7F7F"/>
                <w:sz w:val="21"/>
                <w:szCs w:val="21"/>
                <w:lang w:val="sr-Cyrl-RS"/>
              </w:rPr>
            </w:pPr>
            <w:r w:rsidRPr="00171A80">
              <w:rPr>
                <w:rFonts w:asciiTheme="majorHAnsi" w:eastAsia="Calibri" w:hAnsiTheme="majorHAnsi" w:cs="Calibri"/>
                <w:b w:val="0"/>
                <w:bCs/>
                <w:color w:val="7F7F7F"/>
                <w:sz w:val="21"/>
                <w:szCs w:val="21"/>
                <w:lang w:val="sr-Cyrl-RS"/>
              </w:rPr>
              <w:t>Лична потрошња</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-3</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0</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1</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0</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1</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5</w:t>
            </w:r>
          </w:p>
        </w:tc>
      </w:tr>
      <w:tr w:rsidR="00875047" w:rsidRPr="00171A80" w:rsidTr="00477454">
        <w:trPr>
          <w:trHeight w:val="202"/>
        </w:trPr>
        <w:tc>
          <w:tcPr>
            <w:cnfStyle w:val="001000000000" w:firstRow="0" w:lastRow="0" w:firstColumn="1" w:lastColumn="0" w:oddVBand="0" w:evenVBand="0" w:oddHBand="0" w:evenHBand="0" w:firstRowFirstColumn="0" w:firstRowLastColumn="0" w:lastRowFirstColumn="0" w:lastRowLastColumn="0"/>
            <w:tcW w:w="3876" w:type="dxa"/>
            <w:noWrap/>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r w:rsidRPr="00171A80">
              <w:rPr>
                <w:rFonts w:asciiTheme="majorHAnsi" w:eastAsia="Calibri" w:hAnsiTheme="majorHAnsi" w:cs="Calibri"/>
                <w:b w:val="0"/>
                <w:bCs/>
                <w:color w:val="7F7F7F"/>
                <w:sz w:val="21"/>
                <w:szCs w:val="21"/>
                <w:lang w:val="sr-Cyrl-RS"/>
              </w:rPr>
              <w:t>Државна потрошња</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-7</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4</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-5</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8</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0</w:t>
            </w:r>
          </w:p>
        </w:tc>
      </w:tr>
      <w:tr w:rsidR="00875047" w:rsidRPr="00171A80" w:rsidTr="00477454">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876" w:type="dxa"/>
            <w:noWrap/>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r w:rsidRPr="00171A80">
              <w:rPr>
                <w:rFonts w:asciiTheme="majorHAnsi" w:eastAsia="Calibri" w:hAnsiTheme="majorHAnsi" w:cs="Calibri"/>
                <w:b w:val="0"/>
                <w:bCs/>
                <w:color w:val="7F7F7F"/>
                <w:sz w:val="21"/>
                <w:szCs w:val="21"/>
                <w:lang w:val="sr-Cyrl-RS"/>
              </w:rPr>
              <w:t>Инвестиције</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7</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5</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5</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5</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5</w:t>
            </w:r>
          </w:p>
        </w:tc>
      </w:tr>
      <w:tr w:rsidR="00875047" w:rsidRPr="00171A80" w:rsidTr="00477454">
        <w:trPr>
          <w:trHeight w:val="202"/>
        </w:trPr>
        <w:tc>
          <w:tcPr>
            <w:cnfStyle w:val="001000000000" w:firstRow="0" w:lastRow="0" w:firstColumn="1" w:lastColumn="0" w:oddVBand="0" w:evenVBand="0" w:oddHBand="0" w:evenHBand="0" w:firstRowFirstColumn="0" w:firstRowLastColumn="0" w:lastRowFirstColumn="0" w:lastRowLastColumn="0"/>
            <w:tcW w:w="3876" w:type="dxa"/>
            <w:noWrap/>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r w:rsidRPr="00171A80">
              <w:rPr>
                <w:rFonts w:asciiTheme="majorHAnsi" w:eastAsia="Calibri" w:hAnsiTheme="majorHAnsi" w:cs="Calibri"/>
                <w:b w:val="0"/>
                <w:bCs/>
                <w:color w:val="7F7F7F"/>
                <w:sz w:val="21"/>
                <w:szCs w:val="21"/>
                <w:lang w:val="sr-Cyrl-RS"/>
              </w:rPr>
              <w:t>Извоз робе и услуга</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3</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1</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5</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0</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6</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6</w:t>
            </w:r>
          </w:p>
        </w:tc>
      </w:tr>
      <w:tr w:rsidR="00477454" w:rsidRPr="00171A80" w:rsidTr="00477454">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876" w:type="dxa"/>
            <w:tcBorders>
              <w:bottom w:val="double" w:sz="4" w:space="0" w:color="9BBB59" w:themeColor="accent3"/>
            </w:tcBorders>
            <w:noWrap/>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r w:rsidRPr="00171A80">
              <w:rPr>
                <w:rFonts w:asciiTheme="majorHAnsi" w:eastAsia="Calibri" w:hAnsiTheme="majorHAnsi" w:cs="Calibri"/>
                <w:b w:val="0"/>
                <w:bCs/>
                <w:color w:val="7F7F7F"/>
                <w:sz w:val="21"/>
                <w:szCs w:val="21"/>
                <w:lang w:val="sr-Cyrl-RS"/>
              </w:rPr>
              <w:t>Увоз робе и услуга</w:t>
            </w:r>
          </w:p>
        </w:tc>
        <w:tc>
          <w:tcPr>
            <w:tcW w:w="1849" w:type="dxa"/>
            <w:tcBorders>
              <w:bottom w:val="double" w:sz="4" w:space="0" w:color="9BBB59" w:themeColor="accent3"/>
            </w:tcBorders>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-1</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5</w:t>
            </w:r>
          </w:p>
        </w:tc>
        <w:tc>
          <w:tcPr>
            <w:tcW w:w="1849" w:type="dxa"/>
            <w:tcBorders>
              <w:bottom w:val="double" w:sz="4" w:space="0" w:color="9BBB59" w:themeColor="accent3"/>
            </w:tcBorders>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2</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9</w:t>
            </w:r>
          </w:p>
        </w:tc>
        <w:tc>
          <w:tcPr>
            <w:tcW w:w="1849" w:type="dxa"/>
            <w:tcBorders>
              <w:bottom w:val="double" w:sz="4" w:space="0" w:color="9BBB59" w:themeColor="accent3"/>
            </w:tcBorders>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6</w:t>
            </w:r>
          </w:p>
        </w:tc>
      </w:tr>
      <w:tr w:rsidR="00875047" w:rsidRPr="00171A80" w:rsidTr="00E54D27">
        <w:trPr>
          <w:trHeight w:val="245"/>
        </w:trPr>
        <w:tc>
          <w:tcPr>
            <w:cnfStyle w:val="001000000000" w:firstRow="0" w:lastRow="0" w:firstColumn="1" w:lastColumn="0" w:oddVBand="0" w:evenVBand="0" w:oddHBand="0" w:evenHBand="0" w:firstRowFirstColumn="0" w:firstRowLastColumn="0" w:lastRowFirstColumn="0" w:lastRowLastColumn="0"/>
            <w:tcW w:w="3876" w:type="dxa"/>
            <w:tcBorders>
              <w:top w:val="double" w:sz="4" w:space="0" w:color="9BBB59" w:themeColor="accent3"/>
            </w:tcBorders>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r w:rsidRPr="00171A80">
              <w:rPr>
                <w:rFonts w:asciiTheme="majorHAnsi" w:eastAsia="Calibri" w:hAnsiTheme="majorHAnsi" w:cs="Calibri"/>
                <w:b w:val="0"/>
                <w:bCs/>
                <w:color w:val="7F7F7F"/>
                <w:sz w:val="21"/>
                <w:szCs w:val="21"/>
                <w:lang w:val="sr-Cyrl-RS"/>
              </w:rPr>
              <w:t>Салдо робе и услуга, у ЕУР, % БДП</w:t>
            </w:r>
          </w:p>
        </w:tc>
        <w:tc>
          <w:tcPr>
            <w:tcW w:w="1849" w:type="dxa"/>
            <w:tcBorders>
              <w:top w:val="double" w:sz="4" w:space="0" w:color="9BBB59" w:themeColor="accent3"/>
            </w:tcBorders>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-9</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4</w:t>
            </w:r>
          </w:p>
        </w:tc>
        <w:tc>
          <w:tcPr>
            <w:tcW w:w="1849" w:type="dxa"/>
            <w:tcBorders>
              <w:top w:val="double" w:sz="4" w:space="0" w:color="9BBB59" w:themeColor="accent3"/>
            </w:tcBorders>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-8</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5</w:t>
            </w:r>
          </w:p>
        </w:tc>
        <w:tc>
          <w:tcPr>
            <w:tcW w:w="1849" w:type="dxa"/>
            <w:tcBorders>
              <w:top w:val="double" w:sz="4" w:space="0" w:color="9BBB59" w:themeColor="accent3"/>
            </w:tcBorders>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-7</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6</w:t>
            </w:r>
          </w:p>
        </w:tc>
      </w:tr>
      <w:tr w:rsidR="00875047" w:rsidRPr="00171A80" w:rsidTr="00477454">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876" w:type="dxa"/>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r w:rsidRPr="00171A80">
              <w:rPr>
                <w:rFonts w:asciiTheme="majorHAnsi" w:eastAsia="Calibri" w:hAnsiTheme="majorHAnsi" w:cs="Calibri"/>
                <w:b w:val="0"/>
                <w:bCs/>
                <w:color w:val="7F7F7F"/>
                <w:sz w:val="21"/>
                <w:szCs w:val="21"/>
                <w:lang w:val="sr-Cyrl-RS"/>
              </w:rPr>
              <w:t>Салдо текућег рачуна, у % БДП</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7</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5</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3</w:t>
            </w:r>
          </w:p>
        </w:tc>
      </w:tr>
      <w:tr w:rsidR="00875047" w:rsidRPr="00171A80" w:rsidTr="00477454">
        <w:trPr>
          <w:trHeight w:val="202"/>
        </w:trPr>
        <w:tc>
          <w:tcPr>
            <w:cnfStyle w:val="001000000000" w:firstRow="0" w:lastRow="0" w:firstColumn="1" w:lastColumn="0" w:oddVBand="0" w:evenVBand="0" w:oddHBand="0" w:evenHBand="0" w:firstRowFirstColumn="0" w:firstRowLastColumn="0" w:lastRowFirstColumn="0" w:lastRowLastColumn="0"/>
            <w:tcW w:w="3876" w:type="dxa"/>
            <w:noWrap/>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r w:rsidRPr="00171A80">
              <w:rPr>
                <w:rFonts w:asciiTheme="majorHAnsi" w:eastAsia="Calibri" w:hAnsiTheme="majorHAnsi" w:cs="Calibri"/>
                <w:b w:val="0"/>
                <w:bCs/>
                <w:color w:val="7F7F7F"/>
                <w:sz w:val="21"/>
                <w:szCs w:val="21"/>
                <w:lang w:val="sr-Cyrl-RS"/>
              </w:rPr>
              <w:t>Инфлација, просек периода, у %</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2</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7</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1</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4</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1</w:t>
            </w:r>
          </w:p>
        </w:tc>
      </w:tr>
      <w:tr w:rsidR="00875047" w:rsidRPr="00171A80" w:rsidTr="00477454">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876" w:type="dxa"/>
            <w:noWrap/>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r w:rsidRPr="00171A80">
              <w:rPr>
                <w:rFonts w:asciiTheme="majorHAnsi" w:eastAsia="Calibri" w:hAnsiTheme="majorHAnsi" w:cs="Calibri"/>
                <w:b w:val="0"/>
                <w:bCs/>
                <w:color w:val="7F7F7F"/>
                <w:sz w:val="21"/>
                <w:szCs w:val="21"/>
                <w:lang w:val="sr-Cyrl-RS"/>
              </w:rPr>
              <w:t>Инвестициони рацио, % БДП</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18</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5</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19</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3</w:t>
            </w:r>
          </w:p>
        </w:tc>
        <w:tc>
          <w:tcPr>
            <w:tcW w:w="1849" w:type="dxa"/>
            <w:noWrap/>
            <w:hideMark/>
          </w:tcPr>
          <w:p w:rsidR="00875047" w:rsidRPr="00171A80" w:rsidRDefault="00875047" w:rsidP="00CC1F1A">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19</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8</w:t>
            </w:r>
          </w:p>
        </w:tc>
      </w:tr>
      <w:tr w:rsidR="00875047" w:rsidRPr="00171A80" w:rsidTr="00477454">
        <w:trPr>
          <w:trHeight w:val="214"/>
        </w:trPr>
        <w:tc>
          <w:tcPr>
            <w:cnfStyle w:val="001000000000" w:firstRow="0" w:lastRow="0" w:firstColumn="1" w:lastColumn="0" w:oddVBand="0" w:evenVBand="0" w:oddHBand="0" w:evenHBand="0" w:firstRowFirstColumn="0" w:firstRowLastColumn="0" w:lastRowFirstColumn="0" w:lastRowLastColumn="0"/>
            <w:tcW w:w="3876" w:type="dxa"/>
            <w:noWrap/>
            <w:hideMark/>
          </w:tcPr>
          <w:p w:rsidR="00875047" w:rsidRPr="00171A80" w:rsidRDefault="00875047" w:rsidP="00875047">
            <w:pPr>
              <w:spacing w:after="0"/>
              <w:ind w:firstLine="0"/>
              <w:jc w:val="left"/>
              <w:rPr>
                <w:rFonts w:asciiTheme="majorHAnsi" w:eastAsia="Calibri" w:hAnsiTheme="majorHAnsi" w:cs="Calibri"/>
                <w:b w:val="0"/>
                <w:bCs/>
                <w:color w:val="7F7F7F"/>
                <w:sz w:val="21"/>
                <w:szCs w:val="21"/>
                <w:lang w:val="sr-Cyrl-RS"/>
              </w:rPr>
            </w:pPr>
            <w:r w:rsidRPr="00171A80">
              <w:rPr>
                <w:rFonts w:asciiTheme="majorHAnsi" w:eastAsia="Calibri" w:hAnsiTheme="majorHAnsi" w:cs="Calibri"/>
                <w:b w:val="0"/>
                <w:bCs/>
                <w:color w:val="7F7F7F"/>
                <w:sz w:val="21"/>
                <w:szCs w:val="21"/>
                <w:lang w:val="sr-Cyrl-RS"/>
              </w:rPr>
              <w:t>Стопа незапослености, 15+</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21</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3</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20</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9</w:t>
            </w:r>
          </w:p>
        </w:tc>
        <w:tc>
          <w:tcPr>
            <w:tcW w:w="1849" w:type="dxa"/>
            <w:noWrap/>
            <w:hideMark/>
          </w:tcPr>
          <w:p w:rsidR="00875047" w:rsidRPr="00171A80" w:rsidRDefault="00875047" w:rsidP="00CC1F1A">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7F7F7F"/>
                <w:sz w:val="21"/>
                <w:szCs w:val="21"/>
                <w:lang w:val="sr-Cyrl-RS"/>
              </w:rPr>
            </w:pPr>
            <w:r w:rsidRPr="00171A80">
              <w:rPr>
                <w:rFonts w:asciiTheme="majorHAnsi" w:eastAsia="Calibri" w:hAnsiTheme="majorHAnsi" w:cs="Calibri"/>
                <w:color w:val="7F7F7F"/>
                <w:sz w:val="21"/>
                <w:szCs w:val="21"/>
                <w:lang w:val="sr-Cyrl-RS"/>
              </w:rPr>
              <w:t>19</w:t>
            </w:r>
            <w:r w:rsidR="00CC1F1A" w:rsidRPr="00171A80">
              <w:rPr>
                <w:rFonts w:asciiTheme="majorHAnsi" w:eastAsia="Calibri" w:hAnsiTheme="majorHAnsi" w:cs="Calibri"/>
                <w:color w:val="7F7F7F"/>
                <w:sz w:val="21"/>
                <w:szCs w:val="21"/>
                <w:lang w:val="sr-Cyrl-RS"/>
              </w:rPr>
              <w:t>,</w:t>
            </w:r>
            <w:r w:rsidRPr="00171A80">
              <w:rPr>
                <w:rFonts w:asciiTheme="majorHAnsi" w:eastAsia="Calibri" w:hAnsiTheme="majorHAnsi" w:cs="Calibri"/>
                <w:color w:val="7F7F7F"/>
                <w:sz w:val="21"/>
                <w:szCs w:val="21"/>
                <w:lang w:val="sr-Cyrl-RS"/>
              </w:rPr>
              <w:t>8</w:t>
            </w:r>
          </w:p>
        </w:tc>
      </w:tr>
    </w:tbl>
    <w:p w:rsidR="002C4357" w:rsidRPr="006D67D3" w:rsidRDefault="001A2DAC" w:rsidP="001A2DAC">
      <w:pPr>
        <w:ind w:firstLine="0"/>
        <w:rPr>
          <w:rFonts w:asciiTheme="majorHAnsi" w:eastAsia="Calibri" w:hAnsiTheme="majorHAnsi"/>
          <w:color w:val="7F7F7F"/>
          <w:sz w:val="18"/>
          <w:szCs w:val="18"/>
          <w:lang w:val="sr-Cyrl-RS"/>
        </w:rPr>
      </w:pPr>
      <w:r w:rsidRPr="00D4015D">
        <w:rPr>
          <w:rFonts w:asciiTheme="majorHAnsi" w:eastAsia="Calibri" w:hAnsiTheme="majorHAnsi" w:cs="Calibri"/>
          <w:b/>
          <w:color w:val="7F7F7F"/>
          <w:sz w:val="18"/>
          <w:szCs w:val="18"/>
          <w:lang w:val="sr-Cyrl-RS"/>
        </w:rPr>
        <w:t>Извор</w:t>
      </w:r>
      <w:r w:rsidRPr="00D4015D">
        <w:rPr>
          <w:rFonts w:asciiTheme="majorHAnsi" w:eastAsia="Calibri" w:hAnsiTheme="majorHAnsi"/>
          <w:b/>
          <w:color w:val="7F7F7F"/>
          <w:sz w:val="18"/>
          <w:szCs w:val="18"/>
          <w:lang w:val="sr-Cyrl-RS"/>
        </w:rPr>
        <w:t>:</w:t>
      </w:r>
      <w:r w:rsidRPr="00171A80">
        <w:rPr>
          <w:rFonts w:asciiTheme="majorHAnsi" w:eastAsia="Calibri" w:hAnsiTheme="majorHAnsi"/>
          <w:color w:val="7F7F7F"/>
          <w:sz w:val="18"/>
          <w:szCs w:val="18"/>
          <w:lang w:val="sr-Cyrl-RS"/>
        </w:rPr>
        <w:t xml:space="preserve"> </w:t>
      </w:r>
      <w:r w:rsidRPr="00171A80">
        <w:rPr>
          <w:rFonts w:asciiTheme="majorHAnsi" w:eastAsia="Calibri" w:hAnsiTheme="majorHAnsi" w:cs="Calibri"/>
          <w:color w:val="7F7F7F"/>
          <w:sz w:val="18"/>
          <w:szCs w:val="18"/>
          <w:lang w:val="sr-Cyrl-RS"/>
        </w:rPr>
        <w:t>МФИН</w:t>
      </w:r>
    </w:p>
    <w:p w:rsidR="001A2DAC" w:rsidRPr="00171A80" w:rsidRDefault="001A2DAC" w:rsidP="001A2DAC">
      <w:pPr>
        <w:ind w:firstLine="0"/>
        <w:rPr>
          <w:rFonts w:asciiTheme="majorHAnsi" w:eastAsia="Calibri" w:hAnsiTheme="majorHAnsi" w:cs="Times New Roman"/>
          <w:b/>
          <w:i/>
          <w:color w:val="4F6228" w:themeColor="accent3" w:themeShade="80"/>
          <w:szCs w:val="21"/>
          <w:lang w:val="sr-Cyrl-RS"/>
        </w:rPr>
      </w:pPr>
      <w:r w:rsidRPr="00171A80">
        <w:rPr>
          <w:rFonts w:asciiTheme="majorHAnsi" w:eastAsia="Calibri" w:hAnsiTheme="majorHAnsi" w:cs="Calibri"/>
          <w:b/>
          <w:i/>
          <w:color w:val="4F6228" w:themeColor="accent3" w:themeShade="80"/>
          <w:szCs w:val="21"/>
          <w:lang w:val="sr-Cyrl-RS"/>
        </w:rPr>
        <w:t>Реални</w:t>
      </w:r>
      <w:r w:rsidRPr="00171A80">
        <w:rPr>
          <w:rFonts w:asciiTheme="majorHAnsi" w:eastAsia="Calibri" w:hAnsiTheme="majorHAnsi" w:cs="Times New Roman"/>
          <w:b/>
          <w:i/>
          <w:color w:val="4F6228" w:themeColor="accent3" w:themeShade="80"/>
          <w:szCs w:val="21"/>
          <w:lang w:val="sr-Cyrl-RS"/>
        </w:rPr>
        <w:t xml:space="preserve"> </w:t>
      </w:r>
      <w:r w:rsidRPr="00171A80">
        <w:rPr>
          <w:rFonts w:asciiTheme="majorHAnsi" w:eastAsia="Calibri" w:hAnsiTheme="majorHAnsi" w:cs="Calibri"/>
          <w:b/>
          <w:i/>
          <w:color w:val="4F6228" w:themeColor="accent3" w:themeShade="80"/>
          <w:szCs w:val="21"/>
          <w:lang w:val="sr-Cyrl-RS"/>
        </w:rPr>
        <w:t>сектор</w:t>
      </w:r>
    </w:p>
    <w:p w:rsidR="00E72541" w:rsidRPr="00E72541" w:rsidRDefault="00E72541" w:rsidP="00E72541">
      <w:pPr>
        <w:ind w:firstLine="708"/>
        <w:rPr>
          <w:rFonts w:asciiTheme="majorHAnsi" w:eastAsia="Calibri" w:hAnsiTheme="majorHAnsi" w:cs="Calibri"/>
          <w:color w:val="7F7F7F"/>
          <w:sz w:val="21"/>
          <w:szCs w:val="21"/>
          <w:lang w:val="sr-Cyrl-RS"/>
        </w:rPr>
      </w:pPr>
      <w:r w:rsidRPr="00E72541">
        <w:rPr>
          <w:rFonts w:asciiTheme="majorHAnsi" w:eastAsia="Calibri" w:hAnsiTheme="majorHAnsi" w:cs="Calibri"/>
          <w:color w:val="7F7F7F"/>
          <w:sz w:val="21"/>
          <w:szCs w:val="21"/>
          <w:lang w:val="sr-Cyrl-RS"/>
        </w:rPr>
        <w:t>Средњорочни изгледи за реални сектор омогућавају анализу цикличне позиције привреде и сагледавање очекиваних извора реалног раста БДП у смислу промена фактора производње и агрегатне тражње.</w:t>
      </w:r>
    </w:p>
    <w:p w:rsidR="00E72541" w:rsidRPr="00E72541" w:rsidRDefault="00E72541" w:rsidP="00E72541">
      <w:pPr>
        <w:ind w:firstLine="708"/>
        <w:rPr>
          <w:rFonts w:asciiTheme="majorHAnsi" w:eastAsia="Calibri" w:hAnsiTheme="majorHAnsi" w:cs="Calibri"/>
          <w:color w:val="7F7F7F"/>
          <w:sz w:val="21"/>
          <w:szCs w:val="21"/>
          <w:lang w:val="sr-Cyrl-RS"/>
        </w:rPr>
      </w:pPr>
      <w:r w:rsidRPr="00E72541">
        <w:rPr>
          <w:rFonts w:asciiTheme="majorHAnsi" w:eastAsia="Calibri" w:hAnsiTheme="majorHAnsi" w:cs="Calibri"/>
          <w:color w:val="7F7F7F"/>
          <w:sz w:val="21"/>
          <w:szCs w:val="21"/>
          <w:lang w:val="sr-Cyrl-RS"/>
        </w:rPr>
        <w:t>У 2014. години очекује се пад привредне активности. Неповољна привредна кретања у 2014. години узрокована су, пре свега смањењем активности у секторима рударство и енергетика. Осим тога, са производне стране, негативан допринос БДП очекује се од пада активности у грађевинарству и у услужном сектору, осим у секторима саобраћаја, информисања и комуникација који ће забележити раст обима услуга. Упркос разорним поплавама очекује се благи раст пољопривредне производње у 2014. години од 1,4%. Посматрано са расходне стране, све компоненте домаће тражње ће забележити пад, док ће допринос нето извоза бити неутралан. Пад приватне и државне потрошње последица је смањења расположивог дохотка становништва, као и спровођење фискалних мера консолидације (забрана запошљавања у јавном сектору, тзв. „солидарни порез”, ограничени раст плата и пензија - индексација у априлу 2014. године од 0,5%).</w:t>
      </w:r>
    </w:p>
    <w:p w:rsidR="00E72541" w:rsidRPr="00E72541" w:rsidRDefault="00E72541" w:rsidP="00E72541">
      <w:pPr>
        <w:ind w:firstLine="708"/>
        <w:rPr>
          <w:rFonts w:asciiTheme="majorHAnsi" w:eastAsia="Calibri" w:hAnsiTheme="majorHAnsi" w:cs="Calibri"/>
          <w:color w:val="7F7F7F"/>
          <w:sz w:val="21"/>
          <w:szCs w:val="21"/>
          <w:lang w:val="sr-Cyrl-RS"/>
        </w:rPr>
      </w:pPr>
      <w:r w:rsidRPr="00E72541">
        <w:rPr>
          <w:rFonts w:asciiTheme="majorHAnsi" w:eastAsia="Calibri" w:hAnsiTheme="majorHAnsi" w:cs="Calibri"/>
          <w:color w:val="7F7F7F"/>
          <w:sz w:val="21"/>
          <w:szCs w:val="21"/>
          <w:lang w:val="sr-Cyrl-RS"/>
        </w:rPr>
        <w:t xml:space="preserve">Економска кретања и изгледи Републике Србије у 2015. години у великој мери ће зависити од кретања и изгледа у међународном економском окружењу, пре свега, у чланицама евро зоне, које су главни партнери Републике Србије у робној размени и инвестицијама. Мере фискалне консолидације ће краткорочно утицати на благи пад привредне активности у 2015. години. Основне мере фискалне консолидације у наредне три године су смањење масе зарада у јавном сектору и пензија и унапређење и корпоративизација највећих јавних предузећа. Осим тога, прилагођавање на расходној страни ће се обезбедити кроз смањење субвенција и расхода за робе и услуге, као и кроз ефикаснији рад локалних самоуправа. На приходној страни приоритет ће бити борба против сиве економије и пореске евазије. </w:t>
      </w:r>
    </w:p>
    <w:p w:rsidR="00E72541" w:rsidRPr="00E72541" w:rsidRDefault="00E72541" w:rsidP="00E72541">
      <w:pPr>
        <w:ind w:firstLine="708"/>
        <w:rPr>
          <w:rFonts w:asciiTheme="majorHAnsi" w:eastAsia="Calibri" w:hAnsiTheme="majorHAnsi" w:cs="Calibri"/>
          <w:color w:val="7F7F7F"/>
          <w:sz w:val="21"/>
          <w:szCs w:val="21"/>
          <w:lang w:val="sr-Cyrl-RS"/>
        </w:rPr>
      </w:pPr>
      <w:r w:rsidRPr="00E72541">
        <w:rPr>
          <w:rFonts w:asciiTheme="majorHAnsi" w:eastAsia="Calibri" w:hAnsiTheme="majorHAnsi" w:cs="Calibri"/>
          <w:color w:val="7F7F7F"/>
          <w:sz w:val="21"/>
          <w:szCs w:val="21"/>
          <w:lang w:val="sr-Cyrl-RS"/>
        </w:rPr>
        <w:t xml:space="preserve">Смањење плата и пензија ће имати краткорочно негативан ефекат на кретање БДП. Међутим, ефекти ових мера на стандард становништва биће делимично ублажени имајући у </w:t>
      </w:r>
      <w:r w:rsidRPr="00E72541">
        <w:rPr>
          <w:rFonts w:asciiTheme="majorHAnsi" w:eastAsia="Calibri" w:hAnsiTheme="majorHAnsi" w:cs="Calibri"/>
          <w:color w:val="7F7F7F"/>
          <w:sz w:val="21"/>
          <w:szCs w:val="21"/>
          <w:lang w:val="sr-Cyrl-RS"/>
        </w:rPr>
        <w:lastRenderedPageBreak/>
        <w:t xml:space="preserve">виду да се смањење примања неће односити на најниже зараде и пензије. Према прелиминарним проценама, очекује се пад БДП од 0,5% у следећој години, уз конзервативне претпоставке о кретању на међународном тржишту и умереном опоравку инвестиционе активности у земљи. Током 2015. године очекује се завршетак процеса реструктурирања предузећа, што ће се у кратком року негативно одразити на кретање БДП. Међутим, успешна приватизација ових предузећа, уз привлачење СДИ неутралисаће ове краткорочно негативне ефекте и обезбедити основу за одрживи раст у наредним годинама. </w:t>
      </w:r>
    </w:p>
    <w:p w:rsidR="00B509CE" w:rsidRPr="00171A80" w:rsidRDefault="00E72541" w:rsidP="00E72541">
      <w:pPr>
        <w:ind w:firstLine="708"/>
        <w:rPr>
          <w:rFonts w:asciiTheme="majorHAnsi" w:eastAsia="Calibri" w:hAnsiTheme="majorHAnsi" w:cs="Calibri"/>
          <w:color w:val="7F7F7F"/>
          <w:sz w:val="21"/>
          <w:szCs w:val="21"/>
          <w:lang w:val="sr-Cyrl-RS" w:bidi="en-US"/>
        </w:rPr>
      </w:pPr>
      <w:r w:rsidRPr="00E72541">
        <w:rPr>
          <w:rFonts w:asciiTheme="majorHAnsi" w:eastAsia="Calibri" w:hAnsiTheme="majorHAnsi" w:cs="Calibri"/>
          <w:color w:val="7F7F7F"/>
          <w:sz w:val="21"/>
          <w:szCs w:val="21"/>
          <w:lang w:val="sr-Cyrl-RS"/>
        </w:rPr>
        <w:t>Након 2015. године очекује се убрзање раста привредне активности по основу системског унапређења привредног амбијента. Циљ је да се суштинским реформама успостави пословно окружење које ће омогућити пораст страних и домаћих инвестиција, убрзање реструктурирања привреде, стварање услова за ново запошљавање и повећање продуктивности и конкурентности привреде. Умерено убрзање раста БДП у 2016. и 2017. години на 1,5% и 2,0%, респективно, засновано је на расту инвестиционе потрошње, пре свега приватног сектора, али и на опоравку приватне потрошње. Спровођење мера фискалне политике и побољшање пословног и инвестиционог окружења омогућиће стварање основе за стабилан и одржив привредни раст у наредним годинама, као и раст животног стандарда становништва</w:t>
      </w:r>
      <w:r w:rsidR="00BE438F" w:rsidRPr="00BE438F">
        <w:rPr>
          <w:rFonts w:asciiTheme="majorHAnsi" w:eastAsia="Calibri" w:hAnsiTheme="majorHAnsi" w:cs="Calibri"/>
          <w:color w:val="7F7F7F"/>
          <w:sz w:val="21"/>
          <w:szCs w:val="21"/>
          <w:lang w:val="sr-Cyrl-RS"/>
        </w:rPr>
        <w:t>.</w:t>
      </w:r>
    </w:p>
    <w:p w:rsidR="001A2DAC" w:rsidRPr="00171A80" w:rsidRDefault="001A2DAC" w:rsidP="0097114B">
      <w:pPr>
        <w:ind w:firstLine="0"/>
        <w:jc w:val="center"/>
        <w:rPr>
          <w:rFonts w:asciiTheme="majorHAnsi" w:eastAsia="Calibri" w:hAnsiTheme="majorHAnsi"/>
          <w:b/>
          <w:color w:val="7F7F7F"/>
          <w:sz w:val="21"/>
          <w:szCs w:val="21"/>
          <w:lang w:val="sr-Cyrl-RS" w:bidi="en-US"/>
        </w:rPr>
      </w:pPr>
      <w:r w:rsidRPr="00171A80">
        <w:rPr>
          <w:rFonts w:asciiTheme="majorHAnsi" w:eastAsia="Calibri" w:hAnsiTheme="majorHAnsi" w:cs="Calibri"/>
          <w:b/>
          <w:color w:val="7F7F7F"/>
          <w:sz w:val="21"/>
          <w:szCs w:val="21"/>
          <w:lang w:val="sr-Cyrl-RS" w:bidi="en-US"/>
        </w:rPr>
        <w:t>Графикон</w:t>
      </w:r>
      <w:r w:rsidRPr="00171A80">
        <w:rPr>
          <w:rFonts w:asciiTheme="majorHAnsi" w:eastAsia="Calibri" w:hAnsiTheme="majorHAnsi"/>
          <w:b/>
          <w:color w:val="7F7F7F"/>
          <w:sz w:val="21"/>
          <w:szCs w:val="21"/>
          <w:lang w:val="sr-Cyrl-RS" w:bidi="en-US"/>
        </w:rPr>
        <w:t xml:space="preserve"> 1. </w:t>
      </w:r>
      <w:r w:rsidRPr="00171A80">
        <w:rPr>
          <w:rFonts w:asciiTheme="majorHAnsi" w:eastAsia="Calibri" w:hAnsiTheme="majorHAnsi" w:cs="Calibri"/>
          <w:b/>
          <w:color w:val="7F7F7F"/>
          <w:sz w:val="21"/>
          <w:szCs w:val="21"/>
          <w:lang w:val="sr-Cyrl-RS" w:bidi="en-US"/>
        </w:rPr>
        <w:t>Реални</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раст</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БДП</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остварена</w:t>
      </w:r>
      <w:r w:rsidRPr="00171A80">
        <w:rPr>
          <w:rFonts w:asciiTheme="majorHAnsi" w:eastAsia="Calibri" w:hAnsiTheme="majorHAnsi"/>
          <w:b/>
          <w:color w:val="7F7F7F"/>
          <w:sz w:val="21"/>
          <w:szCs w:val="21"/>
          <w:lang w:val="sr-Cyrl-RS" w:bidi="en-US"/>
        </w:rPr>
        <w:t xml:space="preserve"> </w:t>
      </w:r>
      <w:r w:rsidR="002D46C0" w:rsidRPr="00171A80">
        <w:rPr>
          <w:rFonts w:asciiTheme="majorHAnsi" w:eastAsia="Calibri" w:hAnsiTheme="majorHAnsi"/>
          <w:b/>
          <w:color w:val="7F7F7F"/>
          <w:sz w:val="21"/>
          <w:szCs w:val="21"/>
          <w:lang w:val="sr-Cyrl-RS" w:bidi="en-US"/>
        </w:rPr>
        <w:t xml:space="preserve">и пројектована </w:t>
      </w:r>
      <w:r w:rsidRPr="00171A80">
        <w:rPr>
          <w:rFonts w:asciiTheme="majorHAnsi" w:eastAsia="Calibri" w:hAnsiTheme="majorHAnsi" w:cs="Calibri"/>
          <w:b/>
          <w:color w:val="7F7F7F"/>
          <w:sz w:val="21"/>
          <w:szCs w:val="21"/>
          <w:lang w:val="sr-Cyrl-RS" w:bidi="en-US"/>
        </w:rPr>
        <w:t>стопа</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и</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дугорочни</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тренд</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у</w:t>
      </w:r>
      <w:r w:rsidRPr="00171A80">
        <w:rPr>
          <w:rFonts w:asciiTheme="majorHAnsi" w:eastAsia="Calibri" w:hAnsiTheme="majorHAnsi"/>
          <w:b/>
          <w:color w:val="7F7F7F"/>
          <w:sz w:val="21"/>
          <w:szCs w:val="21"/>
          <w:lang w:val="sr-Cyrl-RS" w:bidi="en-US"/>
        </w:rPr>
        <w:t xml:space="preserve"> %</w:t>
      </w:r>
    </w:p>
    <w:p w:rsidR="00DC493D" w:rsidRPr="00171A80" w:rsidRDefault="00772A55" w:rsidP="005E5E59">
      <w:pPr>
        <w:ind w:firstLine="0"/>
        <w:rPr>
          <w:rFonts w:asciiTheme="majorHAnsi" w:eastAsia="Calibri" w:hAnsiTheme="majorHAnsi"/>
          <w:color w:val="7F7F7F"/>
          <w:sz w:val="21"/>
          <w:szCs w:val="21"/>
          <w:lang w:val="sr-Cyrl-RS" w:bidi="en-US"/>
        </w:rPr>
      </w:pPr>
      <w:r w:rsidRPr="00171A80">
        <w:rPr>
          <w:rFonts w:asciiTheme="majorHAnsi" w:hAnsiTheme="majorHAnsi"/>
          <w:noProof/>
          <w:lang w:val="en-US"/>
        </w:rPr>
        <w:drawing>
          <wp:inline distT="0" distB="0" distL="0" distR="0" wp14:anchorId="7BCFAA86" wp14:editId="68CDDF92">
            <wp:extent cx="5731510" cy="3143250"/>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2541" w:rsidRPr="00E72541" w:rsidRDefault="00E72541" w:rsidP="00E72541">
      <w:pPr>
        <w:rPr>
          <w:rFonts w:asciiTheme="majorHAnsi" w:eastAsia="Calibri" w:hAnsiTheme="majorHAnsi" w:cs="Calibri"/>
          <w:color w:val="7F7F7F"/>
          <w:sz w:val="21"/>
          <w:szCs w:val="21"/>
          <w:lang w:val="sr-Cyrl-RS"/>
        </w:rPr>
      </w:pPr>
      <w:r w:rsidRPr="00E72541">
        <w:rPr>
          <w:rFonts w:asciiTheme="majorHAnsi" w:eastAsia="Calibri" w:hAnsiTheme="majorHAnsi" w:cs="Calibri"/>
          <w:color w:val="7F7F7F"/>
          <w:sz w:val="21"/>
          <w:szCs w:val="21"/>
          <w:lang w:val="sr-Cyrl-RS"/>
        </w:rPr>
        <w:t xml:space="preserve">Процењује се да ће на раст потенцијалног БДП у наредним годинама позитивно утицати јачање инвестиционе активности и у мањој мери раст стопе партиципације. Очекивано повећање незапослености услед завршетка процеса реструктурирања предузећа под контролом државе биће ублажено порастом нето запослености у приватном сектору. Имајући у виду тренутну цикличну позицију Републике Србије и структурне поремећаје наслеђене из претходног периода, као и степен постојећих неискоришћених капацитета, од посебног значаја ће бити изналажење начина да се повећа тотална факторска продуктивност која је у протеклом периоду забележила пад, пре свега као резултат опадања инвестиционе ефикасности. У том циљу је неопходно спровести структурне реформе које ће обезбедити дугорочно одржив развој земље на бази веће продуктивности привреде. </w:t>
      </w:r>
    </w:p>
    <w:p w:rsidR="00F73C31" w:rsidRPr="00171A80" w:rsidRDefault="00E72541" w:rsidP="00E72541">
      <w:pPr>
        <w:rPr>
          <w:rFonts w:asciiTheme="majorHAnsi" w:eastAsia="Calibri" w:hAnsiTheme="majorHAnsi" w:cs="Calibri"/>
          <w:color w:val="7F7F7F"/>
          <w:sz w:val="21"/>
          <w:szCs w:val="21"/>
          <w:lang w:val="sr-Cyrl-RS"/>
        </w:rPr>
      </w:pPr>
      <w:r w:rsidRPr="00E72541">
        <w:rPr>
          <w:rFonts w:asciiTheme="majorHAnsi" w:eastAsia="Calibri" w:hAnsiTheme="majorHAnsi" w:cs="Calibri"/>
          <w:color w:val="7F7F7F"/>
          <w:sz w:val="21"/>
          <w:szCs w:val="21"/>
          <w:lang w:val="sr-Cyrl-RS"/>
        </w:rPr>
        <w:t xml:space="preserve">Основно правило ефикасности и раста кроз повећану продуктивност јесте да се прво искористе постојећи капацитети привреде у циљу производње добара вишег степена прераде. Производни јаз који мери цикличност привредне активности у преткризном периоду је био негативан, са изузетком 2007. и 2008. године (1,1% и 1,9%, респективно) вођен, пре свега, високом домаћом тражњом. У 2009. години, због пада економске активности, дошло је до </w:t>
      </w:r>
      <w:r w:rsidRPr="00E72541">
        <w:rPr>
          <w:rFonts w:asciiTheme="majorHAnsi" w:eastAsia="Calibri" w:hAnsiTheme="majorHAnsi" w:cs="Calibri"/>
          <w:color w:val="7F7F7F"/>
          <w:sz w:val="21"/>
          <w:szCs w:val="21"/>
          <w:lang w:val="sr-Cyrl-RS"/>
        </w:rPr>
        <w:lastRenderedPageBreak/>
        <w:t>продубљивања негативног производног јаза, који је настављен до 2013. године. Успоравање раста производног потенцијала привреде последица је, пре свега, смањеног инвестирања у производне капацитете, отежаног финансирања текуће производне активности предузећа и негативних кретања на тржишту рада</w:t>
      </w:r>
      <w:r w:rsidR="00F73C31" w:rsidRPr="00171A80">
        <w:rPr>
          <w:rFonts w:asciiTheme="majorHAnsi" w:eastAsia="Calibri" w:hAnsiTheme="majorHAnsi" w:cs="Calibri"/>
          <w:color w:val="7F7F7F"/>
          <w:sz w:val="21"/>
          <w:szCs w:val="21"/>
          <w:lang w:val="sr-Cyrl-RS"/>
        </w:rPr>
        <w:t>.</w:t>
      </w:r>
    </w:p>
    <w:p w:rsidR="00E72541" w:rsidRPr="00241CB2" w:rsidRDefault="00E72541" w:rsidP="00241CB2">
      <w:pPr>
        <w:rPr>
          <w:rFonts w:asciiTheme="majorHAnsi" w:eastAsia="Calibri" w:hAnsiTheme="majorHAnsi" w:cs="Calibri"/>
          <w:color w:val="7F7F7F"/>
          <w:sz w:val="21"/>
          <w:szCs w:val="21"/>
          <w:lang w:val="sr-Cyrl-RS"/>
        </w:rPr>
      </w:pPr>
      <w:r w:rsidRPr="00E72541">
        <w:rPr>
          <w:rFonts w:asciiTheme="majorHAnsi" w:eastAsia="Calibri" w:hAnsiTheme="majorHAnsi" w:cs="Calibri"/>
          <w:color w:val="7F7F7F"/>
          <w:sz w:val="21"/>
          <w:szCs w:val="21"/>
          <w:lang w:val="sr-Cyrl-RS"/>
        </w:rPr>
        <w:t>Пројекција потенцијалног раста за период 2015 - 2017. године заснована је на умереном привредном опоравку, при чему се очекује да производни јаз буде затворен у 2017. години, након дугогодишњег негативног односа између стварне и потенцијалне стопе раста БДП</w:t>
      </w:r>
      <w:r w:rsidR="000A04FB">
        <w:rPr>
          <w:rFonts w:asciiTheme="majorHAnsi" w:eastAsia="Calibri" w:hAnsiTheme="majorHAnsi" w:cs="Calibri"/>
          <w:color w:val="7F7F7F"/>
          <w:sz w:val="21"/>
          <w:szCs w:val="21"/>
          <w:lang w:val="sr-Cyrl-RS"/>
        </w:rPr>
        <w:t>.</w:t>
      </w:r>
    </w:p>
    <w:p w:rsidR="001A2DAC" w:rsidRPr="00171A80" w:rsidRDefault="001A2DAC" w:rsidP="001A2DAC">
      <w:pPr>
        <w:jc w:val="center"/>
        <w:rPr>
          <w:rFonts w:asciiTheme="majorHAnsi" w:eastAsia="Calibri" w:hAnsiTheme="majorHAnsi"/>
          <w:b/>
          <w:color w:val="7F7F7F"/>
          <w:sz w:val="21"/>
          <w:szCs w:val="21"/>
          <w:lang w:val="sr-Cyrl-RS"/>
        </w:rPr>
      </w:pPr>
      <w:r w:rsidRPr="00171A80">
        <w:rPr>
          <w:rFonts w:asciiTheme="majorHAnsi" w:eastAsia="Calibri" w:hAnsiTheme="majorHAnsi" w:cs="Calibri"/>
          <w:b/>
          <w:color w:val="7F7F7F"/>
          <w:sz w:val="21"/>
          <w:szCs w:val="21"/>
          <w:lang w:val="sr-Cyrl-RS"/>
        </w:rPr>
        <w:t>Графикон</w:t>
      </w:r>
      <w:r w:rsidRPr="00171A80">
        <w:rPr>
          <w:rFonts w:asciiTheme="majorHAnsi" w:eastAsia="Calibri" w:hAnsiTheme="majorHAnsi"/>
          <w:b/>
          <w:color w:val="7F7F7F"/>
          <w:sz w:val="21"/>
          <w:szCs w:val="21"/>
          <w:lang w:val="sr-Cyrl-RS"/>
        </w:rPr>
        <w:t xml:space="preserve"> 2. </w:t>
      </w:r>
      <w:r w:rsidRPr="00171A80">
        <w:rPr>
          <w:rFonts w:asciiTheme="majorHAnsi" w:eastAsia="Calibri" w:hAnsiTheme="majorHAnsi" w:cs="Calibri"/>
          <w:b/>
          <w:color w:val="7F7F7F"/>
          <w:sz w:val="21"/>
          <w:szCs w:val="21"/>
          <w:lang w:val="sr-Cyrl-RS"/>
        </w:rPr>
        <w:t>Секторски</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доприноси</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расту</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БДВ</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делатности</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п</w:t>
      </w:r>
      <w:r w:rsidRPr="00171A80">
        <w:rPr>
          <w:rFonts w:asciiTheme="majorHAnsi" w:eastAsia="Calibri" w:hAnsiTheme="majorHAnsi"/>
          <w:b/>
          <w:color w:val="7F7F7F"/>
          <w:sz w:val="21"/>
          <w:szCs w:val="21"/>
          <w:lang w:val="sr-Cyrl-RS"/>
        </w:rPr>
        <w:t>.</w:t>
      </w:r>
      <w:r w:rsidRPr="00171A80">
        <w:rPr>
          <w:rFonts w:asciiTheme="majorHAnsi" w:eastAsia="Calibri" w:hAnsiTheme="majorHAnsi" w:cs="Calibri"/>
          <w:b/>
          <w:color w:val="7F7F7F"/>
          <w:sz w:val="21"/>
          <w:szCs w:val="21"/>
          <w:lang w:val="sr-Cyrl-RS"/>
        </w:rPr>
        <w:t>п</w:t>
      </w:r>
      <w:r w:rsidRPr="00171A80">
        <w:rPr>
          <w:rFonts w:asciiTheme="majorHAnsi" w:eastAsia="Calibri" w:hAnsiTheme="majorHAnsi"/>
          <w:b/>
          <w:color w:val="7F7F7F"/>
          <w:sz w:val="21"/>
          <w:szCs w:val="21"/>
          <w:lang w:val="sr-Cyrl-RS"/>
        </w:rPr>
        <w:t>.</w:t>
      </w:r>
    </w:p>
    <w:p w:rsidR="00E463DF" w:rsidRPr="00171A80" w:rsidRDefault="000C2AF0" w:rsidP="00407BA6">
      <w:pPr>
        <w:ind w:firstLine="0"/>
        <w:rPr>
          <w:rFonts w:asciiTheme="majorHAnsi" w:eastAsia="Calibri" w:hAnsiTheme="majorHAnsi"/>
          <w:color w:val="7F7F7F"/>
          <w:sz w:val="21"/>
          <w:szCs w:val="21"/>
          <w:lang w:val="sr-Cyrl-RS"/>
        </w:rPr>
      </w:pPr>
      <w:r w:rsidRPr="00171A80">
        <w:rPr>
          <w:rFonts w:asciiTheme="majorHAnsi" w:hAnsiTheme="majorHAnsi"/>
          <w:noProof/>
          <w:lang w:val="en-US"/>
        </w:rPr>
        <w:drawing>
          <wp:inline distT="0" distB="0" distL="0" distR="0" wp14:anchorId="3D06DED9" wp14:editId="4B9FF982">
            <wp:extent cx="5391150" cy="4572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2541" w:rsidRPr="00E72541" w:rsidRDefault="00E72541" w:rsidP="00E72541">
      <w:pPr>
        <w:ind w:firstLine="708"/>
        <w:rPr>
          <w:rFonts w:asciiTheme="majorHAnsi" w:eastAsia="Calibri" w:hAnsiTheme="majorHAnsi"/>
          <w:color w:val="7F7F7F"/>
          <w:sz w:val="21"/>
          <w:szCs w:val="21"/>
          <w:lang w:val="sr-Cyrl-RS"/>
        </w:rPr>
      </w:pPr>
      <w:r w:rsidRPr="00E72541">
        <w:rPr>
          <w:rFonts w:asciiTheme="majorHAnsi" w:eastAsia="Calibri" w:hAnsiTheme="majorHAnsi"/>
          <w:color w:val="7F7F7F"/>
          <w:sz w:val="21"/>
          <w:szCs w:val="21"/>
          <w:lang w:val="sr-Cyrl-RS"/>
        </w:rPr>
        <w:t xml:space="preserve">Упркос пројектованом паду привредне активности у 2015. години од 0,5% очекује се да допринос грађевинарства и сектора рударства и енергетике БДП у 2015. години буде значајан и позитиван, пре свега због санације штете од поплава, обнове оштећених капацитета и враћања производње на пређашњи ниво. </w:t>
      </w:r>
    </w:p>
    <w:p w:rsidR="00407BA6" w:rsidRPr="00171A80" w:rsidRDefault="00E72541" w:rsidP="00E72541">
      <w:pPr>
        <w:ind w:firstLine="708"/>
        <w:rPr>
          <w:rFonts w:asciiTheme="majorHAnsi" w:eastAsia="Calibri" w:hAnsiTheme="majorHAnsi"/>
          <w:color w:val="7F7F7F"/>
          <w:sz w:val="21"/>
          <w:szCs w:val="21"/>
          <w:lang w:val="sr-Cyrl-RS"/>
        </w:rPr>
      </w:pPr>
      <w:r w:rsidRPr="00E72541">
        <w:rPr>
          <w:rFonts w:asciiTheme="majorHAnsi" w:eastAsia="Calibri" w:hAnsiTheme="majorHAnsi"/>
          <w:color w:val="7F7F7F"/>
          <w:sz w:val="21"/>
          <w:szCs w:val="21"/>
          <w:lang w:val="sr-Cyrl-RS"/>
        </w:rPr>
        <w:t>Са производне стране БДП, у периоду 2015 - 2017. године највећи допринос се очекује од раста индустријске производње и опоравка сектора грађевинарства (допринос 1,2 п.п. просечно годишње), док ће сектор услуга негативно утицати на кретање економске активности (0,4 п.п. просечно годишње) највећим делом због спровођења мера фискалне консолидације</w:t>
      </w:r>
      <w:r w:rsidR="00BE438F" w:rsidRPr="00BE438F">
        <w:rPr>
          <w:rFonts w:asciiTheme="majorHAnsi" w:eastAsia="Calibri" w:hAnsiTheme="majorHAnsi"/>
          <w:color w:val="7F7F7F"/>
          <w:sz w:val="21"/>
          <w:szCs w:val="21"/>
          <w:lang w:val="sr-Cyrl-RS"/>
        </w:rPr>
        <w:t>.</w:t>
      </w:r>
      <w:r w:rsidR="00407BA6" w:rsidRPr="00171A80">
        <w:rPr>
          <w:rFonts w:asciiTheme="majorHAnsi" w:eastAsia="Calibri" w:hAnsiTheme="majorHAnsi"/>
          <w:color w:val="7F7F7F"/>
          <w:sz w:val="21"/>
          <w:szCs w:val="21"/>
          <w:lang w:val="sr-Cyrl-RS"/>
        </w:rPr>
        <w:t xml:space="preserve"> </w:t>
      </w:r>
    </w:p>
    <w:p w:rsidR="00707B5E" w:rsidRPr="00171A80" w:rsidRDefault="00707B5E" w:rsidP="000C2AF0">
      <w:pPr>
        <w:ind w:firstLine="0"/>
        <w:rPr>
          <w:rFonts w:asciiTheme="majorHAnsi" w:eastAsia="Calibri" w:hAnsiTheme="majorHAnsi"/>
          <w:color w:val="7F7F7F"/>
          <w:sz w:val="21"/>
          <w:szCs w:val="21"/>
          <w:lang w:val="sr-Cyrl-RS"/>
        </w:rPr>
      </w:pPr>
    </w:p>
    <w:p w:rsidR="001A2DAC" w:rsidRPr="00171A80" w:rsidRDefault="001A2DAC" w:rsidP="001A2DAC">
      <w:pPr>
        <w:jc w:val="center"/>
        <w:rPr>
          <w:rFonts w:asciiTheme="majorHAnsi" w:eastAsia="Calibri" w:hAnsiTheme="majorHAnsi"/>
          <w:b/>
          <w:color w:val="7F7F7F"/>
          <w:sz w:val="21"/>
          <w:szCs w:val="21"/>
          <w:lang w:val="sr-Cyrl-RS"/>
        </w:rPr>
      </w:pPr>
      <w:r w:rsidRPr="00171A80">
        <w:rPr>
          <w:rFonts w:asciiTheme="majorHAnsi" w:eastAsia="Calibri" w:hAnsiTheme="majorHAnsi"/>
          <w:color w:val="7F7F7F"/>
          <w:sz w:val="21"/>
          <w:szCs w:val="21"/>
          <w:lang w:val="sr-Cyrl-RS"/>
        </w:rPr>
        <w:br w:type="page"/>
      </w:r>
      <w:r w:rsidRPr="00171A80">
        <w:rPr>
          <w:rFonts w:asciiTheme="majorHAnsi" w:eastAsia="Calibri" w:hAnsiTheme="majorHAnsi" w:cs="Calibri"/>
          <w:b/>
          <w:color w:val="7F7F7F"/>
          <w:sz w:val="21"/>
          <w:szCs w:val="21"/>
          <w:lang w:val="sr-Cyrl-RS"/>
        </w:rPr>
        <w:lastRenderedPageBreak/>
        <w:t>Графикон</w:t>
      </w:r>
      <w:r w:rsidRPr="00171A80">
        <w:rPr>
          <w:rFonts w:asciiTheme="majorHAnsi" w:eastAsia="Calibri" w:hAnsiTheme="majorHAnsi"/>
          <w:b/>
          <w:color w:val="7F7F7F"/>
          <w:sz w:val="21"/>
          <w:szCs w:val="21"/>
          <w:lang w:val="sr-Cyrl-RS"/>
        </w:rPr>
        <w:t xml:space="preserve"> 3. </w:t>
      </w:r>
      <w:r w:rsidRPr="00171A80">
        <w:rPr>
          <w:rFonts w:asciiTheme="majorHAnsi" w:eastAsia="Calibri" w:hAnsiTheme="majorHAnsi" w:cs="Calibri"/>
          <w:b/>
          <w:color w:val="7F7F7F"/>
          <w:sz w:val="21"/>
          <w:szCs w:val="21"/>
          <w:lang w:val="sr-Cyrl-RS"/>
        </w:rPr>
        <w:t>Доприноси</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категорија</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агрегатне</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тражње</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реалном</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расту</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БДП</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п</w:t>
      </w:r>
      <w:r w:rsidRPr="00171A80">
        <w:rPr>
          <w:rFonts w:asciiTheme="majorHAnsi" w:eastAsia="Calibri" w:hAnsiTheme="majorHAnsi"/>
          <w:b/>
          <w:color w:val="7F7F7F"/>
          <w:sz w:val="21"/>
          <w:szCs w:val="21"/>
          <w:lang w:val="sr-Cyrl-RS"/>
        </w:rPr>
        <w:t>.</w:t>
      </w:r>
      <w:r w:rsidRPr="00171A80">
        <w:rPr>
          <w:rFonts w:asciiTheme="majorHAnsi" w:eastAsia="Calibri" w:hAnsiTheme="majorHAnsi" w:cs="Calibri"/>
          <w:b/>
          <w:color w:val="7F7F7F"/>
          <w:sz w:val="21"/>
          <w:szCs w:val="21"/>
          <w:lang w:val="sr-Cyrl-RS"/>
        </w:rPr>
        <w:t>п</w:t>
      </w:r>
      <w:r w:rsidRPr="00171A80">
        <w:rPr>
          <w:rFonts w:asciiTheme="majorHAnsi" w:eastAsia="Calibri" w:hAnsiTheme="majorHAnsi"/>
          <w:b/>
          <w:color w:val="7F7F7F"/>
          <w:sz w:val="21"/>
          <w:szCs w:val="21"/>
          <w:lang w:val="sr-Cyrl-RS"/>
        </w:rPr>
        <w:t>.</w:t>
      </w:r>
    </w:p>
    <w:p w:rsidR="001A2DAC" w:rsidRPr="00171A80" w:rsidRDefault="000C2AF0" w:rsidP="001A2DAC">
      <w:pPr>
        <w:ind w:firstLine="0"/>
        <w:rPr>
          <w:rFonts w:asciiTheme="majorHAnsi" w:eastAsia="Calibri" w:hAnsiTheme="majorHAnsi"/>
          <w:color w:val="262626"/>
          <w:sz w:val="21"/>
          <w:szCs w:val="21"/>
          <w:lang w:val="sr-Cyrl-RS"/>
        </w:rPr>
      </w:pPr>
      <w:r w:rsidRPr="00171A80">
        <w:rPr>
          <w:rFonts w:asciiTheme="majorHAnsi" w:hAnsiTheme="majorHAnsi"/>
          <w:noProof/>
          <w:lang w:val="en-US"/>
        </w:rPr>
        <w:drawing>
          <wp:inline distT="0" distB="0" distL="0" distR="0" wp14:anchorId="5333BF6D" wp14:editId="03439237">
            <wp:extent cx="5731510" cy="3657600"/>
            <wp:effectExtent l="0" t="0" r="254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138A" w:rsidRPr="00CF138A" w:rsidRDefault="00CF138A" w:rsidP="00CF138A">
      <w:pPr>
        <w:rPr>
          <w:rFonts w:asciiTheme="majorHAnsi" w:hAnsiTheme="majorHAnsi" w:cs="Calibri"/>
          <w:color w:val="7F7F7F"/>
          <w:sz w:val="21"/>
          <w:szCs w:val="21"/>
          <w:lang w:val="sr-Cyrl-RS"/>
        </w:rPr>
      </w:pPr>
      <w:r w:rsidRPr="00CF138A">
        <w:rPr>
          <w:rFonts w:asciiTheme="majorHAnsi" w:hAnsiTheme="majorHAnsi" w:cs="Calibri"/>
          <w:color w:val="7F7F7F"/>
          <w:sz w:val="21"/>
          <w:szCs w:val="21"/>
          <w:lang w:val="sr-Cyrl-RS"/>
        </w:rPr>
        <w:t xml:space="preserve">Са расходне стране БДП, у периоду 2015 - 2017. године највећи допринос се очекује од инвестиционе потрошње и нето извоза (допринос 1,1 п.п. просечно годишње). Државна потрошња имаће и у наредне три године негативан допринос расту БДП заснован, пре свега, на смањењу зарада у јавном сектору, али и на другим видовима рационализације и побољшања ефикасности јавног сектора. Расходно оријентисана фискална консолидација имаће значајан утицај на динамику потенцијалног раста у наредном периоду. Лична потрошња становништва негативно ће утицати на кретање БДП у 2015. години (допринос -2,3 п.п.) услед смањивања зарада и пензија, док се за 2016. и 2017. годину очекује раст потрошње захваљујући опоравку на тржишту рада, пре свега убрзању раста зарада и запослености у приватном сектору и раста кредитне активности банака усмерене према становништву. </w:t>
      </w:r>
    </w:p>
    <w:p w:rsidR="00CF138A" w:rsidRPr="00CF138A" w:rsidRDefault="00CF138A" w:rsidP="00CF138A">
      <w:pPr>
        <w:rPr>
          <w:rFonts w:asciiTheme="majorHAnsi" w:hAnsiTheme="majorHAnsi" w:cs="Calibri"/>
          <w:color w:val="7F7F7F"/>
          <w:sz w:val="21"/>
          <w:szCs w:val="21"/>
          <w:lang w:val="sr-Cyrl-RS"/>
        </w:rPr>
      </w:pPr>
      <w:r w:rsidRPr="00CF138A">
        <w:rPr>
          <w:rFonts w:asciiTheme="majorHAnsi" w:hAnsiTheme="majorHAnsi" w:cs="Calibri"/>
          <w:color w:val="7F7F7F"/>
          <w:sz w:val="21"/>
          <w:szCs w:val="21"/>
          <w:lang w:val="sr-Cyrl-RS"/>
        </w:rPr>
        <w:t>Макроекономском пројекцијом предвиђен је реални раст инвестиција од 4,7% у 2015. години и 5,5% у 2016. и 2017. години, респективно, који ће бити генерисан покретањем новог инвестиционог циклуса. Расту БДП у наредне три године значајно ће допринети и нето извоз (допринос 2,2 п.п. у 2015, 0,6 п.п. у 2016. и 0,4 п.п. у 2017. години). Позитиван допринос нето извоза резултат је опоравка главних спољнотрговинских партнера Републике Србије, док је спорија динамика раста увоза (2% просечни годишњи раст) последица најављених мера фискалног прилагођавања, и по том основу смањене потрошње државе и домаћинства. Удео извоза робе и услуга у БДП у 2015. години процењује се на 44,2%, а у 2016. и 2017. години на 44,5% и 45,3%, респективно.</w:t>
      </w:r>
    </w:p>
    <w:p w:rsidR="00CF138A" w:rsidRPr="00CF138A" w:rsidRDefault="00CF138A" w:rsidP="00CF138A">
      <w:pPr>
        <w:rPr>
          <w:rFonts w:asciiTheme="majorHAnsi" w:hAnsiTheme="majorHAnsi" w:cs="Calibri"/>
          <w:color w:val="7F7F7F"/>
          <w:sz w:val="21"/>
          <w:szCs w:val="21"/>
          <w:lang w:val="sr-Cyrl-RS"/>
        </w:rPr>
      </w:pPr>
      <w:r w:rsidRPr="00CF138A">
        <w:rPr>
          <w:rFonts w:asciiTheme="majorHAnsi" w:hAnsiTheme="majorHAnsi" w:cs="Calibri"/>
          <w:color w:val="7F7F7F"/>
          <w:sz w:val="21"/>
          <w:szCs w:val="21"/>
          <w:lang w:val="sr-Cyrl-RS"/>
        </w:rPr>
        <w:t xml:space="preserve">Удео инвестиција у БДП у 2015. години процењује се на 18,5%, а у 2016. и 2017. години се очекује наставак раста инвестиционе активности, што ће, у условима рестриктивне фискалне политике, омогућити остваривање умерених стопа привредног раста и повољнијих кретања на тржишту рада од 2016. године. Раст приватних инвестиција је од пресудног значаја имајући у виду да је пад привредне активности у претходном, кризном периоду, утицао на смањивање потенцијалног БДП кроз губитак привредних капацитета и знатно погоршавање услова на тржишту рада. </w:t>
      </w:r>
    </w:p>
    <w:p w:rsidR="005B173E" w:rsidRPr="00171A80" w:rsidRDefault="00CF138A" w:rsidP="00CF138A">
      <w:pPr>
        <w:rPr>
          <w:rFonts w:asciiTheme="majorHAnsi" w:hAnsiTheme="majorHAnsi" w:cs="Calibri"/>
          <w:color w:val="7F7F7F"/>
          <w:sz w:val="21"/>
          <w:szCs w:val="21"/>
          <w:lang w:val="sr-Cyrl-RS"/>
        </w:rPr>
      </w:pPr>
      <w:r w:rsidRPr="00CF138A">
        <w:rPr>
          <w:rFonts w:asciiTheme="majorHAnsi" w:hAnsiTheme="majorHAnsi" w:cs="Calibri"/>
          <w:color w:val="7F7F7F"/>
          <w:sz w:val="21"/>
          <w:szCs w:val="21"/>
          <w:lang w:val="sr-Cyrl-RS"/>
        </w:rPr>
        <w:t xml:space="preserve">Предвиђени сценарио развоја указује на стратешку оријентацију Владе ка структурном прилагођавању привреде како би се обезбедила одржива путања раста, заснована, пре свега на повећању укупне инвестиционе активности кроз подстицање инвестиција приватног сектора </w:t>
      </w:r>
      <w:r w:rsidRPr="00CF138A">
        <w:rPr>
          <w:rFonts w:asciiTheme="majorHAnsi" w:hAnsiTheme="majorHAnsi" w:cs="Calibri"/>
          <w:color w:val="7F7F7F"/>
          <w:sz w:val="21"/>
          <w:szCs w:val="21"/>
          <w:lang w:val="sr-Cyrl-RS"/>
        </w:rPr>
        <w:lastRenderedPageBreak/>
        <w:t>и извоза, као кључних фактора остваривања макроекономске стабилности. Влада ће водити одговорну и предвидиву фискалну политику чији је циљ стабилизација јавних финансија, путем смањења дефицита консолидованог буџета државе и заустављања раста дуга. У спровођењу најављене фискалне политике од посебног је значаја склапање аранжмана са ММФ и примена мера које тангирају, не само приходну и расходну страну буџета, већ и мера које се односе на ограничавање даљег раста гарантованог дела јавног дуга</w:t>
      </w:r>
      <w:r w:rsidR="000848A6">
        <w:rPr>
          <w:rFonts w:asciiTheme="majorHAnsi" w:hAnsiTheme="majorHAnsi" w:cs="Calibri"/>
          <w:color w:val="7F7F7F"/>
          <w:sz w:val="21"/>
          <w:szCs w:val="21"/>
          <w:lang w:val="sr-Latn-RS"/>
        </w:rPr>
        <w:t>.</w:t>
      </w:r>
      <w:r w:rsidR="00846904" w:rsidRPr="00171A80">
        <w:rPr>
          <w:rFonts w:asciiTheme="majorHAnsi" w:hAnsiTheme="majorHAnsi" w:cs="Calibri"/>
          <w:color w:val="7F7F7F"/>
          <w:sz w:val="21"/>
          <w:szCs w:val="21"/>
          <w:lang w:val="sr-Cyrl-RS"/>
        </w:rPr>
        <w:t xml:space="preserve"> </w:t>
      </w:r>
    </w:p>
    <w:p w:rsidR="001A2DAC" w:rsidRPr="00171A80" w:rsidRDefault="001A2DAC" w:rsidP="000848A6">
      <w:pPr>
        <w:ind w:firstLine="0"/>
        <w:rPr>
          <w:rFonts w:asciiTheme="majorHAnsi" w:eastAsia="Constantia" w:hAnsiTheme="majorHAnsi"/>
          <w:i/>
          <w:color w:val="4F6228" w:themeColor="accent3" w:themeShade="80"/>
          <w:sz w:val="21"/>
          <w:szCs w:val="21"/>
          <w:lang w:val="sr-Cyrl-RS"/>
        </w:rPr>
      </w:pPr>
      <w:r w:rsidRPr="00171A80">
        <w:rPr>
          <w:rFonts w:asciiTheme="majorHAnsi" w:eastAsia="Calibri" w:hAnsiTheme="majorHAnsi" w:cs="Calibri"/>
          <w:b/>
          <w:i/>
          <w:color w:val="4F6228" w:themeColor="accent3" w:themeShade="80"/>
          <w:szCs w:val="21"/>
          <w:lang w:val="sr-Cyrl-RS"/>
        </w:rPr>
        <w:t>Запосленост</w:t>
      </w:r>
      <w:r w:rsidRPr="00171A80">
        <w:rPr>
          <w:rFonts w:asciiTheme="majorHAnsi" w:eastAsia="Calibri" w:hAnsiTheme="majorHAnsi" w:cs="Times New Roman"/>
          <w:b/>
          <w:i/>
          <w:color w:val="4F6228" w:themeColor="accent3" w:themeShade="80"/>
          <w:szCs w:val="21"/>
          <w:lang w:val="sr-Cyrl-RS"/>
        </w:rPr>
        <w:t xml:space="preserve"> </w:t>
      </w:r>
      <w:r w:rsidRPr="00171A80">
        <w:rPr>
          <w:rFonts w:asciiTheme="majorHAnsi" w:eastAsia="Calibri" w:hAnsiTheme="majorHAnsi" w:cs="Calibri"/>
          <w:b/>
          <w:i/>
          <w:color w:val="4F6228" w:themeColor="accent3" w:themeShade="80"/>
          <w:szCs w:val="21"/>
          <w:lang w:val="sr-Cyrl-RS"/>
        </w:rPr>
        <w:t>и</w:t>
      </w:r>
      <w:r w:rsidRPr="00171A80">
        <w:rPr>
          <w:rFonts w:asciiTheme="majorHAnsi" w:eastAsia="Calibri" w:hAnsiTheme="majorHAnsi" w:cs="Times New Roman"/>
          <w:b/>
          <w:i/>
          <w:color w:val="4F6228" w:themeColor="accent3" w:themeShade="80"/>
          <w:szCs w:val="21"/>
          <w:lang w:val="sr-Cyrl-RS"/>
        </w:rPr>
        <w:t xml:space="preserve"> </w:t>
      </w:r>
      <w:r w:rsidRPr="00171A80">
        <w:rPr>
          <w:rFonts w:asciiTheme="majorHAnsi" w:eastAsia="Calibri" w:hAnsiTheme="majorHAnsi" w:cs="Calibri"/>
          <w:b/>
          <w:i/>
          <w:color w:val="4F6228" w:themeColor="accent3" w:themeShade="80"/>
          <w:szCs w:val="21"/>
          <w:lang w:val="sr-Cyrl-RS"/>
        </w:rPr>
        <w:t>зараде</w:t>
      </w:r>
    </w:p>
    <w:p w:rsidR="001A2DAC" w:rsidRPr="00171A80" w:rsidRDefault="00CF138A" w:rsidP="001A2DAC">
      <w:pPr>
        <w:rPr>
          <w:rFonts w:asciiTheme="majorHAnsi" w:eastAsia="Calibri" w:hAnsiTheme="majorHAnsi" w:cs="Times New Roman"/>
          <w:color w:val="7F7F7F"/>
          <w:lang w:val="sr-Cyrl-RS"/>
        </w:rPr>
      </w:pPr>
      <w:r w:rsidRPr="00CF138A">
        <w:rPr>
          <w:rFonts w:asciiTheme="majorHAnsi" w:eastAsia="Calibri" w:hAnsiTheme="majorHAnsi" w:cs="Calibri"/>
          <w:color w:val="7F7F7F"/>
          <w:sz w:val="21"/>
          <w:szCs w:val="21"/>
          <w:lang w:val="sr-Cyrl-RS"/>
        </w:rPr>
        <w:t>Очекује се да ће укупна запосленост успорити пад у 2015. години, након оштрог пада у претходним годинама, док се у 2016. години очекује благи раст запослености у приватном сектору. Средњорочна пројекција запослености заснива се на пројектованом расту БДП и повећању инвестиција. Такође, у пројекцију запослености укључен је и ефекат завршетка процеса реструктурирања предузећа под контролом државе. Истовремено, очекује се формирање тренда повећања стопе запослености захваљујући унапређењу регулативе о радним односима и запошљавању. Изменама Закона о раду отклоњене су препреке код запошљавања, повећана је флексибилност тржишта рада и створена основа за смањење рада у сивој зони</w:t>
      </w:r>
      <w:r w:rsidR="00D214D9" w:rsidRPr="00171A80">
        <w:rPr>
          <w:rFonts w:asciiTheme="majorHAnsi" w:eastAsia="Calibri" w:hAnsiTheme="majorHAnsi" w:cs="Calibri"/>
          <w:color w:val="7F7F7F"/>
          <w:sz w:val="21"/>
          <w:szCs w:val="21"/>
          <w:lang w:val="sr-Cyrl-RS"/>
        </w:rPr>
        <w:t>.</w:t>
      </w:r>
      <w:r w:rsidR="001A2DAC" w:rsidRPr="00171A80">
        <w:rPr>
          <w:rFonts w:asciiTheme="majorHAnsi" w:eastAsia="Calibri" w:hAnsiTheme="majorHAnsi" w:cs="Times New Roman"/>
          <w:color w:val="7F7F7F"/>
          <w:sz w:val="21"/>
          <w:szCs w:val="21"/>
          <w:lang w:val="sr-Cyrl-RS"/>
        </w:rPr>
        <w:t xml:space="preserve"> </w:t>
      </w:r>
    </w:p>
    <w:p w:rsidR="001A2DAC" w:rsidRPr="00171A80" w:rsidRDefault="001A2DAC" w:rsidP="001A2DAC">
      <w:pPr>
        <w:jc w:val="center"/>
        <w:rPr>
          <w:rFonts w:asciiTheme="majorHAnsi" w:eastAsia="Calibri" w:hAnsiTheme="majorHAnsi"/>
          <w:b/>
          <w:color w:val="7F7F7F"/>
          <w:sz w:val="21"/>
          <w:szCs w:val="21"/>
          <w:lang w:val="sr-Cyrl-RS"/>
        </w:rPr>
      </w:pPr>
      <w:r w:rsidRPr="00171A80">
        <w:rPr>
          <w:rFonts w:asciiTheme="majorHAnsi" w:eastAsia="Calibri" w:hAnsiTheme="majorHAnsi" w:cs="Calibri"/>
          <w:b/>
          <w:color w:val="7F7F7F"/>
          <w:sz w:val="21"/>
          <w:szCs w:val="21"/>
          <w:lang w:val="sr-Cyrl-RS"/>
        </w:rPr>
        <w:t>Графикон</w:t>
      </w:r>
      <w:r w:rsidRPr="00171A80">
        <w:rPr>
          <w:rFonts w:asciiTheme="majorHAnsi" w:eastAsia="Calibri" w:hAnsiTheme="majorHAnsi"/>
          <w:b/>
          <w:color w:val="7F7F7F"/>
          <w:sz w:val="21"/>
          <w:szCs w:val="21"/>
          <w:lang w:val="sr-Cyrl-RS"/>
        </w:rPr>
        <w:t xml:space="preserve"> 4.</w:t>
      </w:r>
      <w:r w:rsidR="004F7563" w:rsidRPr="00171A80">
        <w:rPr>
          <w:rFonts w:asciiTheme="majorHAnsi" w:eastAsia="Calibri" w:hAnsiTheme="majorHAnsi"/>
          <w:b/>
          <w:color w:val="7F7F7F"/>
          <w:sz w:val="21"/>
          <w:szCs w:val="21"/>
          <w:lang w:val="sr-Cyrl-RS"/>
        </w:rPr>
        <w:t xml:space="preserve"> Остварена и </w:t>
      </w:r>
      <w:r w:rsidR="004F7563" w:rsidRPr="00171A80">
        <w:rPr>
          <w:rFonts w:asciiTheme="majorHAnsi" w:eastAsia="Calibri" w:hAnsiTheme="majorHAnsi" w:cs="Calibri"/>
          <w:b/>
          <w:color w:val="7F7F7F"/>
          <w:sz w:val="21"/>
          <w:szCs w:val="21"/>
          <w:lang w:val="sr-Cyrl-RS"/>
        </w:rPr>
        <w:t>п</w:t>
      </w:r>
      <w:r w:rsidRPr="00171A80">
        <w:rPr>
          <w:rFonts w:asciiTheme="majorHAnsi" w:eastAsia="Calibri" w:hAnsiTheme="majorHAnsi" w:cs="Calibri"/>
          <w:b/>
          <w:color w:val="7F7F7F"/>
          <w:sz w:val="21"/>
          <w:szCs w:val="21"/>
          <w:lang w:val="sr-Cyrl-RS"/>
        </w:rPr>
        <w:t>ројек</w:t>
      </w:r>
      <w:r w:rsidR="004F7563" w:rsidRPr="00171A80">
        <w:rPr>
          <w:rFonts w:asciiTheme="majorHAnsi" w:eastAsia="Calibri" w:hAnsiTheme="majorHAnsi" w:cs="Calibri"/>
          <w:b/>
          <w:color w:val="7F7F7F"/>
          <w:sz w:val="21"/>
          <w:szCs w:val="21"/>
          <w:lang w:val="sr-Cyrl-RS"/>
        </w:rPr>
        <w:t>тована</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стоп</w:t>
      </w:r>
      <w:r w:rsidR="004F7563" w:rsidRPr="00171A80">
        <w:rPr>
          <w:rFonts w:asciiTheme="majorHAnsi" w:eastAsia="Calibri" w:hAnsiTheme="majorHAnsi" w:cs="Calibri"/>
          <w:b/>
          <w:color w:val="7F7F7F"/>
          <w:sz w:val="21"/>
          <w:szCs w:val="21"/>
          <w:lang w:val="sr-Cyrl-RS"/>
        </w:rPr>
        <w:t>а</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незапослености</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у</w:t>
      </w:r>
      <w:r w:rsidRPr="00171A80">
        <w:rPr>
          <w:rFonts w:asciiTheme="majorHAnsi" w:eastAsia="Calibri" w:hAnsiTheme="majorHAnsi"/>
          <w:b/>
          <w:color w:val="7F7F7F"/>
          <w:sz w:val="21"/>
          <w:szCs w:val="21"/>
          <w:lang w:val="sr-Cyrl-RS"/>
        </w:rPr>
        <w:t xml:space="preserve"> %</w:t>
      </w:r>
    </w:p>
    <w:p w:rsidR="001A2DAC" w:rsidRPr="00171A80" w:rsidRDefault="00055204" w:rsidP="001A2DAC">
      <w:pPr>
        <w:ind w:firstLine="0"/>
        <w:jc w:val="center"/>
        <w:rPr>
          <w:rFonts w:asciiTheme="majorHAnsi" w:eastAsia="Calibri" w:hAnsiTheme="majorHAnsi"/>
          <w:color w:val="7F7F7F"/>
          <w:sz w:val="21"/>
          <w:szCs w:val="21"/>
          <w:lang w:val="sr-Cyrl-RS"/>
        </w:rPr>
      </w:pPr>
      <w:r w:rsidRPr="00171A80">
        <w:rPr>
          <w:rFonts w:asciiTheme="majorHAnsi" w:hAnsiTheme="majorHAnsi"/>
          <w:noProof/>
          <w:lang w:val="en-US"/>
        </w:rPr>
        <w:drawing>
          <wp:inline distT="0" distB="0" distL="0" distR="0" wp14:anchorId="524D04BF" wp14:editId="6FBBF924">
            <wp:extent cx="512445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2DAC" w:rsidRPr="00171A80" w:rsidRDefault="001A2DAC" w:rsidP="001A2DAC">
      <w:pPr>
        <w:ind w:firstLine="0"/>
        <w:rPr>
          <w:rFonts w:asciiTheme="majorHAnsi" w:eastAsia="Calibri" w:hAnsiTheme="majorHAnsi"/>
          <w:sz w:val="21"/>
          <w:szCs w:val="21"/>
          <w:lang w:val="sr-Cyrl-RS"/>
        </w:rPr>
      </w:pPr>
    </w:p>
    <w:p w:rsidR="001A2DAC" w:rsidRPr="007C2055" w:rsidRDefault="00CF138A" w:rsidP="007C2055">
      <w:pPr>
        <w:rPr>
          <w:rFonts w:asciiTheme="majorHAnsi" w:eastAsia="Calibri" w:hAnsiTheme="majorHAnsi"/>
          <w:color w:val="7F7F7F"/>
          <w:sz w:val="21"/>
          <w:szCs w:val="21"/>
          <w:lang w:val="sr-Cyrl-RS"/>
        </w:rPr>
      </w:pPr>
      <w:r w:rsidRPr="00CF138A">
        <w:rPr>
          <w:rFonts w:asciiTheme="majorHAnsi" w:eastAsia="Calibri" w:hAnsiTheme="majorHAnsi" w:cs="Calibri"/>
          <w:color w:val="7F7F7F"/>
          <w:sz w:val="21"/>
          <w:szCs w:val="21"/>
          <w:lang w:val="sr-Cyrl-RS"/>
        </w:rPr>
        <w:t>У наредном периоду очекује се спорији раст реалних нето зарада у приватном сектору од раста реалног БДП, као и раст бруто зарада у складу са растом продуктивности у приватном сектору, што ће утицати на смањивање јединичних трошкова рада и на побољшање конкурентске позиције земље</w:t>
      </w:r>
      <w:r w:rsidR="007C2055">
        <w:rPr>
          <w:rFonts w:asciiTheme="majorHAnsi" w:eastAsia="Calibri" w:hAnsiTheme="majorHAnsi"/>
          <w:color w:val="7F7F7F"/>
          <w:sz w:val="21"/>
          <w:szCs w:val="21"/>
          <w:lang w:val="sr-Cyrl-RS"/>
        </w:rPr>
        <w:t>.</w:t>
      </w:r>
    </w:p>
    <w:p w:rsidR="001A2DAC" w:rsidRPr="00171A80" w:rsidRDefault="001A2DAC" w:rsidP="001A2DAC">
      <w:pPr>
        <w:ind w:firstLine="0"/>
        <w:rPr>
          <w:rFonts w:asciiTheme="majorHAnsi" w:eastAsia="Calibri" w:hAnsiTheme="majorHAnsi"/>
          <w:i/>
          <w:color w:val="4F6228" w:themeColor="accent3" w:themeShade="80"/>
          <w:sz w:val="21"/>
          <w:szCs w:val="21"/>
          <w:lang w:val="sr-Cyrl-RS"/>
        </w:rPr>
      </w:pPr>
      <w:r w:rsidRPr="00171A80">
        <w:rPr>
          <w:rFonts w:asciiTheme="majorHAnsi" w:eastAsia="Calibri" w:hAnsiTheme="majorHAnsi" w:cs="Calibri"/>
          <w:b/>
          <w:i/>
          <w:color w:val="4F6228" w:themeColor="accent3" w:themeShade="80"/>
          <w:szCs w:val="21"/>
          <w:lang w:val="sr-Cyrl-RS"/>
        </w:rPr>
        <w:t>Инфлација</w:t>
      </w:r>
    </w:p>
    <w:p w:rsidR="0061238B" w:rsidRPr="0061238B" w:rsidRDefault="0061238B" w:rsidP="0061238B">
      <w:pPr>
        <w:rPr>
          <w:rFonts w:asciiTheme="majorHAnsi" w:eastAsia="Calibri" w:hAnsiTheme="majorHAnsi" w:cs="Calibri"/>
          <w:color w:val="7F7F7F"/>
          <w:sz w:val="21"/>
          <w:szCs w:val="21"/>
          <w:lang w:val="sr-Cyrl-RS"/>
        </w:rPr>
      </w:pPr>
      <w:r w:rsidRPr="0061238B">
        <w:rPr>
          <w:rFonts w:asciiTheme="majorHAnsi" w:eastAsia="Calibri" w:hAnsiTheme="majorHAnsi" w:cs="Calibri"/>
          <w:color w:val="7F7F7F"/>
          <w:sz w:val="21"/>
          <w:szCs w:val="21"/>
          <w:lang w:val="sr-Cyrl-RS"/>
        </w:rPr>
        <w:t>Међугодишња инфлација од марта 2014. године кретала се испод доње границе дозвољеног одступања од циља. Инфлација би у границе дозвољеног одступања од циља требало да се врати средином 2015. године, на шта ће у највећој мери утицати раст регулисаних цена и одложени ефекти депрецијације динара из 2014. године, док ће у другој половини године постепено ишчезавати дезинфлаторни утицаји пада цена примарних пољопривредних производа и нафте.</w:t>
      </w:r>
    </w:p>
    <w:p w:rsidR="001A2DAC" w:rsidRPr="00171A80" w:rsidRDefault="0061238B" w:rsidP="0061238B">
      <w:pPr>
        <w:rPr>
          <w:rFonts w:asciiTheme="majorHAnsi" w:eastAsia="Calibri" w:hAnsiTheme="majorHAnsi"/>
          <w:color w:val="7F7F7F"/>
          <w:sz w:val="21"/>
          <w:szCs w:val="21"/>
          <w:lang w:val="sr-Cyrl-RS"/>
        </w:rPr>
      </w:pPr>
      <w:r w:rsidRPr="0061238B">
        <w:rPr>
          <w:rFonts w:asciiTheme="majorHAnsi" w:eastAsia="Calibri" w:hAnsiTheme="majorHAnsi" w:cs="Calibri"/>
          <w:color w:val="7F7F7F"/>
          <w:sz w:val="21"/>
          <w:szCs w:val="21"/>
          <w:lang w:val="sr-Cyrl-RS"/>
        </w:rPr>
        <w:t xml:space="preserve">Средњорочна пројекција инфлације заснована је на планираној фискалној консолидацији (која би требало да доведе до пада премије ризика, пада домаће тражње и стабилизације токова капитала), усидравању инфлационих очекивања око циљаних 4% и стабилизујућем дејству веће отворености српског тржишта према производима из ЕУ (нарочито код цена хране). При томе, НБС ће своју монетарну политику прилагођавати тако да </w:t>
      </w:r>
      <w:r w:rsidRPr="0061238B">
        <w:rPr>
          <w:rFonts w:asciiTheme="majorHAnsi" w:eastAsia="Calibri" w:hAnsiTheme="majorHAnsi" w:cs="Calibri"/>
          <w:color w:val="7F7F7F"/>
          <w:sz w:val="21"/>
          <w:szCs w:val="21"/>
          <w:lang w:val="sr-Cyrl-RS"/>
        </w:rPr>
        <w:lastRenderedPageBreak/>
        <w:t>се инфлација креће у границама циља. На тим основама обезбедиће се одржавање инфлације у наредне три године на нивоу од 4%</w:t>
      </w:r>
      <w:r w:rsidR="001A2DAC" w:rsidRPr="00171A80">
        <w:rPr>
          <w:rFonts w:asciiTheme="majorHAnsi" w:eastAsia="Calibri" w:hAnsiTheme="majorHAnsi"/>
          <w:color w:val="7F7F7F"/>
          <w:sz w:val="21"/>
          <w:szCs w:val="21"/>
          <w:lang w:val="sr-Cyrl-RS"/>
        </w:rPr>
        <w:t>.</w:t>
      </w:r>
    </w:p>
    <w:p w:rsidR="001A2DAC" w:rsidRPr="00171A80" w:rsidRDefault="001A2DAC" w:rsidP="001A2DAC">
      <w:pPr>
        <w:jc w:val="center"/>
        <w:rPr>
          <w:rFonts w:asciiTheme="majorHAnsi" w:eastAsia="Calibri" w:hAnsiTheme="majorHAnsi"/>
          <w:b/>
          <w:color w:val="7F7F7F"/>
          <w:sz w:val="21"/>
          <w:szCs w:val="21"/>
          <w:lang w:val="sr-Cyrl-RS"/>
        </w:rPr>
      </w:pPr>
      <w:r w:rsidRPr="00171A80">
        <w:rPr>
          <w:rFonts w:asciiTheme="majorHAnsi" w:eastAsia="Calibri" w:hAnsiTheme="majorHAnsi" w:cs="Calibri"/>
          <w:b/>
          <w:color w:val="7F7F7F"/>
          <w:sz w:val="21"/>
          <w:szCs w:val="21"/>
          <w:lang w:val="sr-Cyrl-RS"/>
        </w:rPr>
        <w:t>Графикон</w:t>
      </w:r>
      <w:r w:rsidRPr="00171A80">
        <w:rPr>
          <w:rFonts w:asciiTheme="majorHAnsi" w:eastAsia="Calibri" w:hAnsiTheme="majorHAnsi"/>
          <w:b/>
          <w:color w:val="7F7F7F"/>
          <w:sz w:val="21"/>
          <w:szCs w:val="21"/>
          <w:lang w:val="sr-Cyrl-RS"/>
        </w:rPr>
        <w:t xml:space="preserve"> 5. </w:t>
      </w:r>
      <w:r w:rsidRPr="00171A80">
        <w:rPr>
          <w:rFonts w:asciiTheme="majorHAnsi" w:eastAsia="Calibri" w:hAnsiTheme="majorHAnsi" w:cs="Calibri"/>
          <w:b/>
          <w:color w:val="7F7F7F"/>
          <w:sz w:val="21"/>
          <w:szCs w:val="21"/>
          <w:lang w:val="sr-Cyrl-RS"/>
        </w:rPr>
        <w:t>Пројекција</w:t>
      </w:r>
      <w:r w:rsidRPr="00171A80">
        <w:rPr>
          <w:rFonts w:asciiTheme="majorHAnsi" w:eastAsia="Calibri" w:hAnsiTheme="majorHAnsi"/>
          <w:b/>
          <w:color w:val="7F7F7F"/>
          <w:sz w:val="21"/>
          <w:szCs w:val="21"/>
          <w:lang w:val="sr-Cyrl-RS"/>
        </w:rPr>
        <w:t xml:space="preserve"> </w:t>
      </w:r>
      <w:r w:rsidRPr="00171A80">
        <w:rPr>
          <w:rFonts w:asciiTheme="majorHAnsi" w:eastAsia="Calibri" w:hAnsiTheme="majorHAnsi" w:cs="Calibri"/>
          <w:b/>
          <w:color w:val="7F7F7F"/>
          <w:sz w:val="21"/>
          <w:szCs w:val="21"/>
          <w:lang w:val="sr-Cyrl-RS"/>
        </w:rPr>
        <w:t>инфлације</w:t>
      </w:r>
      <w:r w:rsidRPr="00171A80">
        <w:rPr>
          <w:rFonts w:asciiTheme="majorHAnsi" w:eastAsia="Calibri" w:hAnsiTheme="majorHAnsi"/>
          <w:b/>
          <w:color w:val="7F7F7F"/>
          <w:sz w:val="21"/>
          <w:szCs w:val="21"/>
          <w:lang w:val="sr-Cyrl-RS"/>
        </w:rPr>
        <w:t>, %</w:t>
      </w:r>
    </w:p>
    <w:p w:rsidR="001A2DAC" w:rsidRPr="00D4015D" w:rsidRDefault="00862256" w:rsidP="00D4015D">
      <w:pPr>
        <w:ind w:firstLine="0"/>
        <w:rPr>
          <w:rFonts w:asciiTheme="majorHAnsi" w:eastAsia="Calibri" w:hAnsiTheme="majorHAnsi"/>
          <w:color w:val="7F7F7F"/>
          <w:lang w:val="sr-Cyrl-RS"/>
        </w:rPr>
      </w:pPr>
      <w:r w:rsidRPr="00171A80">
        <w:rPr>
          <w:rFonts w:asciiTheme="majorHAnsi" w:hAnsiTheme="majorHAnsi"/>
          <w:noProof/>
          <w:lang w:val="en-US"/>
        </w:rPr>
        <w:drawing>
          <wp:inline distT="0" distB="0" distL="0" distR="0" wp14:anchorId="1951BE2F" wp14:editId="6FF9DE53">
            <wp:extent cx="5731510" cy="3133725"/>
            <wp:effectExtent l="0" t="0" r="254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2DAC" w:rsidRPr="00171A80" w:rsidRDefault="0061238B" w:rsidP="001A2DAC">
      <w:pPr>
        <w:rPr>
          <w:rFonts w:asciiTheme="majorHAnsi" w:eastAsia="Calibri" w:hAnsiTheme="majorHAnsi"/>
          <w:color w:val="7F7F7F"/>
          <w:sz w:val="21"/>
          <w:szCs w:val="21"/>
          <w:lang w:val="sr-Cyrl-RS"/>
        </w:rPr>
      </w:pPr>
      <w:r w:rsidRPr="0061238B">
        <w:rPr>
          <w:rFonts w:asciiTheme="majorHAnsi" w:eastAsia="Calibri" w:hAnsiTheme="majorHAnsi" w:cs="Calibri"/>
          <w:color w:val="7F7F7F"/>
          <w:sz w:val="21"/>
          <w:szCs w:val="21"/>
          <w:lang w:val="sr-Cyrl-RS"/>
        </w:rPr>
        <w:t>Кључни ризици остварења пројекције инфлације односе се на могућност бржег раста регулисаних цена и увозних цена од очекиваног, могућност раста премије ризика, депрецијацијских притисака и инфлаторних очекивања, као и на спор и неизвестан опоравак светске привреде</w:t>
      </w:r>
      <w:r w:rsidR="001A2DAC" w:rsidRPr="00171A80">
        <w:rPr>
          <w:rFonts w:asciiTheme="majorHAnsi" w:eastAsia="Calibri" w:hAnsiTheme="majorHAnsi"/>
          <w:color w:val="7F7F7F"/>
          <w:sz w:val="21"/>
          <w:szCs w:val="21"/>
          <w:lang w:val="sr-Cyrl-RS"/>
        </w:rPr>
        <w:t>.</w:t>
      </w:r>
    </w:p>
    <w:p w:rsidR="001A2DAC" w:rsidRPr="00171A80" w:rsidRDefault="001A2DAC" w:rsidP="001A2DAC">
      <w:pPr>
        <w:ind w:firstLine="0"/>
        <w:rPr>
          <w:rFonts w:asciiTheme="majorHAnsi" w:eastAsia="Calibri" w:hAnsiTheme="majorHAnsi"/>
          <w:i/>
          <w:color w:val="4F6228" w:themeColor="accent3" w:themeShade="80"/>
          <w:sz w:val="21"/>
          <w:szCs w:val="21"/>
          <w:lang w:val="sr-Cyrl-RS"/>
        </w:rPr>
      </w:pPr>
      <w:r w:rsidRPr="00171A80">
        <w:rPr>
          <w:rFonts w:asciiTheme="majorHAnsi" w:eastAsia="Calibri" w:hAnsiTheme="majorHAnsi" w:cs="Calibri"/>
          <w:b/>
          <w:i/>
          <w:color w:val="4F6228" w:themeColor="accent3" w:themeShade="80"/>
          <w:szCs w:val="21"/>
          <w:lang w:val="sr-Cyrl-RS"/>
        </w:rPr>
        <w:t>Пројекција</w:t>
      </w:r>
      <w:r w:rsidRPr="00171A80">
        <w:rPr>
          <w:rFonts w:asciiTheme="majorHAnsi" w:eastAsia="Calibri" w:hAnsiTheme="majorHAnsi" w:cs="Times New Roman"/>
          <w:b/>
          <w:i/>
          <w:color w:val="4F6228" w:themeColor="accent3" w:themeShade="80"/>
          <w:szCs w:val="21"/>
          <w:lang w:val="sr-Cyrl-RS"/>
        </w:rPr>
        <w:t xml:space="preserve"> </w:t>
      </w:r>
      <w:r w:rsidRPr="00171A80">
        <w:rPr>
          <w:rFonts w:asciiTheme="majorHAnsi" w:eastAsia="Calibri" w:hAnsiTheme="majorHAnsi" w:cs="Calibri"/>
          <w:b/>
          <w:i/>
          <w:color w:val="4F6228" w:themeColor="accent3" w:themeShade="80"/>
          <w:szCs w:val="21"/>
          <w:lang w:val="sr-Cyrl-RS"/>
        </w:rPr>
        <w:t>платног</w:t>
      </w:r>
      <w:r w:rsidRPr="00171A80">
        <w:rPr>
          <w:rFonts w:asciiTheme="majorHAnsi" w:eastAsia="Calibri" w:hAnsiTheme="majorHAnsi" w:cs="Times New Roman"/>
          <w:b/>
          <w:i/>
          <w:color w:val="4F6228" w:themeColor="accent3" w:themeShade="80"/>
          <w:szCs w:val="21"/>
          <w:lang w:val="sr-Cyrl-RS"/>
        </w:rPr>
        <w:t xml:space="preserve"> </w:t>
      </w:r>
      <w:r w:rsidRPr="00171A80">
        <w:rPr>
          <w:rFonts w:asciiTheme="majorHAnsi" w:eastAsia="Calibri" w:hAnsiTheme="majorHAnsi" w:cs="Calibri"/>
          <w:b/>
          <w:i/>
          <w:color w:val="4F6228" w:themeColor="accent3" w:themeShade="80"/>
          <w:szCs w:val="21"/>
          <w:lang w:val="sr-Cyrl-RS"/>
        </w:rPr>
        <w:t>биланса</w:t>
      </w:r>
    </w:p>
    <w:p w:rsidR="0061238B" w:rsidRPr="0061238B" w:rsidRDefault="0061238B" w:rsidP="0061238B">
      <w:pPr>
        <w:rPr>
          <w:rFonts w:asciiTheme="majorHAnsi" w:eastAsia="Calibri" w:hAnsiTheme="majorHAnsi" w:cs="Calibri"/>
          <w:color w:val="7F7F7F"/>
          <w:sz w:val="21"/>
          <w:szCs w:val="21"/>
          <w:lang w:val="sr-Cyrl-RS"/>
        </w:rPr>
      </w:pPr>
      <w:r w:rsidRPr="0061238B">
        <w:rPr>
          <w:rFonts w:asciiTheme="majorHAnsi" w:eastAsia="Calibri" w:hAnsiTheme="majorHAnsi" w:cs="Calibri"/>
          <w:color w:val="7F7F7F"/>
          <w:sz w:val="21"/>
          <w:szCs w:val="21"/>
          <w:lang w:val="sr-Cyrl-RS"/>
        </w:rPr>
        <w:t>Подаци из платног биланса указују да су у протеклом делу 2014. године забележена неповољнија кретања у спољнотрговинској размени и платном билансу земље због негативних ефеката поплава, успоравања екстерне тражње и нижих прилива од дознака из иностранства.</w:t>
      </w:r>
    </w:p>
    <w:p w:rsidR="0061238B" w:rsidRPr="0061238B" w:rsidRDefault="0061238B" w:rsidP="0061238B">
      <w:pPr>
        <w:rPr>
          <w:rFonts w:asciiTheme="majorHAnsi" w:eastAsia="Calibri" w:hAnsiTheme="majorHAnsi" w:cs="Calibri"/>
          <w:color w:val="7F7F7F"/>
          <w:sz w:val="21"/>
          <w:szCs w:val="21"/>
          <w:lang w:val="sr-Cyrl-RS"/>
        </w:rPr>
      </w:pPr>
      <w:r w:rsidRPr="0061238B">
        <w:rPr>
          <w:rFonts w:asciiTheme="majorHAnsi" w:eastAsia="Calibri" w:hAnsiTheme="majorHAnsi" w:cs="Calibri"/>
          <w:color w:val="7F7F7F"/>
          <w:sz w:val="21"/>
          <w:szCs w:val="21"/>
          <w:lang w:val="sr-Cyrl-RS"/>
        </w:rPr>
        <w:t>Предуслов платнобилансне одрживости је повећање извоза и нето прилива страног капитала. Макроекономском пројекцијом предвиђен је умерен раст извоза и прилива страних инвестиција у 2015. години, док се у 2016. и 2017. години очекује значајнији раст извоза, уз јачање трошковне и ценовне конкурентности. Пројектована путања реалног раста извоза роба и услуга заснована је на благом јачању екстерне тражње за домаћим производима и на спровођењу структурних реформи, које ће у средњорочном периоду омогућити раст тржишног удела на извозним тржиштима и повећање конкурентности. У периоду од 2015. до 2017. године очекује се наставак бржег раста извоза роба и услуга (4,8% просечно годишње) од раста увоза робе и услуга од 2%, просечно годишње, изражено у еврима. Ради повећања инвестиционе активности највећи део увоза биће усмерен на капиталне и интермедијарне производе.</w:t>
      </w:r>
    </w:p>
    <w:p w:rsidR="001A2DAC" w:rsidRPr="00171A80" w:rsidRDefault="0061238B" w:rsidP="0061238B">
      <w:pPr>
        <w:rPr>
          <w:rFonts w:asciiTheme="majorHAnsi" w:eastAsia="Calibri" w:hAnsiTheme="majorHAnsi" w:cs="Times New Roman"/>
          <w:color w:val="7F7F7F"/>
          <w:sz w:val="21"/>
          <w:szCs w:val="21"/>
          <w:lang w:val="sr-Cyrl-RS"/>
        </w:rPr>
      </w:pPr>
      <w:r w:rsidRPr="0061238B">
        <w:rPr>
          <w:rFonts w:asciiTheme="majorHAnsi" w:eastAsia="Calibri" w:hAnsiTheme="majorHAnsi" w:cs="Calibri"/>
          <w:color w:val="7F7F7F"/>
          <w:sz w:val="21"/>
          <w:szCs w:val="21"/>
          <w:lang w:val="sr-Cyrl-RS"/>
        </w:rPr>
        <w:t>Средњорочна и дугорочна одрживост салда на текућем рачуну зависиће од спровођења структурних реформи и повећања конкурентности извоза роба и услуга, али и од каматних трошкова, које би у случају драстичног погоршања услова финансирања на иностраним тржиштима вршили снажан притисак на раст дефицита текућег рачуна. У том погледу важну улогу има одржива фискална позиција и смањивање унутрашњих макроекономских неравнотежа. Очекује се да ће ефекти фискалне консолидације, кроз смањење државне потрошње, утицати на смањивање дефицита текућег рачуна. Међутим, ови ефекти ће делимично бити неутралисани већим издацима за камате</w:t>
      </w:r>
      <w:r w:rsidR="00507F1A" w:rsidRPr="00171A80">
        <w:rPr>
          <w:rFonts w:asciiTheme="majorHAnsi" w:eastAsia="Calibri" w:hAnsiTheme="majorHAnsi" w:cs="Times New Roman"/>
          <w:color w:val="7F7F7F"/>
          <w:sz w:val="21"/>
          <w:szCs w:val="21"/>
          <w:lang w:val="sr-Cyrl-RS"/>
        </w:rPr>
        <w:t>.</w:t>
      </w:r>
    </w:p>
    <w:p w:rsidR="00597847" w:rsidRDefault="00597847" w:rsidP="006D67D3">
      <w:pPr>
        <w:ind w:firstLine="0"/>
        <w:jc w:val="center"/>
        <w:rPr>
          <w:rFonts w:asciiTheme="majorHAnsi" w:eastAsia="Calibri" w:hAnsiTheme="majorHAnsi" w:cs="Calibri"/>
          <w:b/>
          <w:color w:val="7F7F7F"/>
          <w:sz w:val="21"/>
          <w:szCs w:val="21"/>
          <w:lang w:val="sr-Cyrl-RS" w:bidi="en-US"/>
        </w:rPr>
      </w:pPr>
    </w:p>
    <w:p w:rsidR="001A2DAC" w:rsidRPr="00171A80" w:rsidRDefault="001A2DAC" w:rsidP="006D67D3">
      <w:pPr>
        <w:ind w:firstLine="0"/>
        <w:jc w:val="center"/>
        <w:rPr>
          <w:rFonts w:asciiTheme="majorHAnsi" w:eastAsia="Calibri" w:hAnsiTheme="majorHAnsi"/>
          <w:b/>
          <w:color w:val="7F7F7F"/>
          <w:sz w:val="21"/>
          <w:szCs w:val="21"/>
          <w:lang w:val="sr-Cyrl-RS" w:bidi="en-US"/>
        </w:rPr>
      </w:pPr>
      <w:r w:rsidRPr="00171A80">
        <w:rPr>
          <w:rFonts w:asciiTheme="majorHAnsi" w:eastAsia="Calibri" w:hAnsiTheme="majorHAnsi" w:cs="Calibri"/>
          <w:b/>
          <w:color w:val="7F7F7F"/>
          <w:sz w:val="21"/>
          <w:szCs w:val="21"/>
          <w:lang w:val="sr-Cyrl-RS" w:bidi="en-US"/>
        </w:rPr>
        <w:lastRenderedPageBreak/>
        <w:t>Графикон</w:t>
      </w:r>
      <w:r w:rsidRPr="00171A80">
        <w:rPr>
          <w:rFonts w:asciiTheme="majorHAnsi" w:eastAsia="Calibri" w:hAnsiTheme="majorHAnsi"/>
          <w:b/>
          <w:color w:val="7F7F7F"/>
          <w:sz w:val="21"/>
          <w:szCs w:val="21"/>
          <w:lang w:val="sr-Cyrl-RS" w:bidi="en-US"/>
        </w:rPr>
        <w:t xml:space="preserve"> 6. </w:t>
      </w:r>
      <w:r w:rsidRPr="00171A80">
        <w:rPr>
          <w:rFonts w:asciiTheme="majorHAnsi" w:eastAsia="Calibri" w:hAnsiTheme="majorHAnsi" w:cs="Calibri"/>
          <w:b/>
          <w:color w:val="7F7F7F"/>
          <w:sz w:val="21"/>
          <w:szCs w:val="21"/>
          <w:lang w:val="sr-Cyrl-RS" w:bidi="en-US"/>
        </w:rPr>
        <w:t>Салдо</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спољнотрговинског</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и</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текућег</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рачуна</w:t>
      </w:r>
    </w:p>
    <w:p w:rsidR="001A2DAC" w:rsidRPr="00171A80" w:rsidRDefault="002D4DE2" w:rsidP="001A2DAC">
      <w:pPr>
        <w:ind w:firstLine="0"/>
        <w:jc w:val="center"/>
        <w:rPr>
          <w:rFonts w:asciiTheme="majorHAnsi" w:eastAsia="Calibri" w:hAnsiTheme="majorHAnsi" w:cs="Times New Roman"/>
          <w:sz w:val="21"/>
          <w:szCs w:val="21"/>
          <w:lang w:val="sr-Cyrl-RS"/>
        </w:rPr>
      </w:pPr>
      <w:r w:rsidRPr="00171A80">
        <w:rPr>
          <w:rFonts w:asciiTheme="majorHAnsi" w:hAnsiTheme="majorHAnsi"/>
          <w:noProof/>
          <w:lang w:val="en-US"/>
        </w:rPr>
        <w:drawing>
          <wp:inline distT="0" distB="0" distL="0" distR="0" wp14:anchorId="5FD2FA68" wp14:editId="3BDD431F">
            <wp:extent cx="5629275" cy="43529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2DAC" w:rsidRPr="00171A80" w:rsidRDefault="0061238B" w:rsidP="001A2DAC">
      <w:pPr>
        <w:rPr>
          <w:rFonts w:asciiTheme="majorHAnsi" w:eastAsia="Calibri" w:hAnsiTheme="majorHAnsi" w:cs="Times New Roman"/>
          <w:color w:val="7F7F7F"/>
          <w:sz w:val="21"/>
          <w:szCs w:val="21"/>
          <w:lang w:val="sr-Cyrl-RS"/>
        </w:rPr>
      </w:pPr>
      <w:r w:rsidRPr="0061238B">
        <w:rPr>
          <w:rFonts w:asciiTheme="majorHAnsi" w:eastAsia="Calibri" w:hAnsiTheme="majorHAnsi" w:cs="Calibri"/>
          <w:color w:val="7F7F7F"/>
          <w:sz w:val="21"/>
          <w:szCs w:val="21"/>
          <w:lang w:val="sr-Cyrl-RS"/>
        </w:rPr>
        <w:t>Бржи раст извоза од увоза омогућиће смањивање дефицита робе и услуга на 7,6% БДП у 2017. години. Очекује се и нижи ниво дефицита текућег рачуна (са донацијама) са уделом од 4,3% у БДП на крају 2017. године. Редукција негативног нето извоза робе и услуга, првенствено као резултат промене структуре домаће привреде, допринеће смањивању спољне неравнотеже и ризика одрживости спољног дуга и екстерне ликвидности</w:t>
      </w:r>
      <w:r w:rsidR="001A2DAC" w:rsidRPr="00171A80">
        <w:rPr>
          <w:rFonts w:asciiTheme="majorHAnsi" w:eastAsia="Calibri" w:hAnsiTheme="majorHAnsi" w:cs="Times New Roman"/>
          <w:color w:val="7F7F7F"/>
          <w:sz w:val="21"/>
          <w:szCs w:val="21"/>
          <w:lang w:val="sr-Cyrl-RS"/>
        </w:rPr>
        <w:t>.</w:t>
      </w:r>
    </w:p>
    <w:p w:rsidR="001A2DAC" w:rsidRPr="00171A80" w:rsidRDefault="001A2DAC" w:rsidP="001A2DAC">
      <w:pPr>
        <w:jc w:val="left"/>
        <w:rPr>
          <w:rFonts w:asciiTheme="majorHAnsi" w:eastAsia="Calibri" w:hAnsiTheme="majorHAnsi" w:cs="Calibri"/>
          <w:color w:val="7F7F7F"/>
          <w:sz w:val="21"/>
          <w:szCs w:val="21"/>
          <w:lang w:val="sr-Cyrl-RS" w:bidi="en-US"/>
        </w:rPr>
      </w:pPr>
      <w:r w:rsidRPr="00171A80">
        <w:rPr>
          <w:rFonts w:asciiTheme="majorHAnsi" w:eastAsia="Calibri" w:hAnsiTheme="majorHAnsi" w:cs="Calibri"/>
          <w:color w:val="7F7F7F"/>
          <w:sz w:val="21"/>
          <w:szCs w:val="21"/>
          <w:lang w:val="sr-Cyrl-RS" w:bidi="en-US"/>
        </w:rPr>
        <w:br w:type="page"/>
      </w:r>
    </w:p>
    <w:p w:rsidR="001A2DAC" w:rsidRPr="00171A80" w:rsidRDefault="001A2DAC" w:rsidP="001A2DAC">
      <w:pPr>
        <w:spacing w:after="0"/>
        <w:ind w:firstLine="0"/>
        <w:jc w:val="center"/>
        <w:rPr>
          <w:rFonts w:asciiTheme="majorHAnsi" w:eastAsia="Calibri" w:hAnsiTheme="majorHAnsi" w:cs="Times New Roman"/>
          <w:b/>
          <w:color w:val="7F7F7F"/>
          <w:sz w:val="21"/>
          <w:szCs w:val="21"/>
          <w:lang w:val="sr-Cyrl-RS"/>
        </w:rPr>
      </w:pPr>
      <w:r w:rsidRPr="00171A80">
        <w:rPr>
          <w:rFonts w:asciiTheme="majorHAnsi" w:eastAsia="Calibri" w:hAnsiTheme="majorHAnsi" w:cs="Calibri"/>
          <w:b/>
          <w:color w:val="7F7F7F"/>
          <w:sz w:val="21"/>
          <w:szCs w:val="21"/>
          <w:lang w:val="sr-Cyrl-RS" w:bidi="en-US"/>
        </w:rPr>
        <w:lastRenderedPageBreak/>
        <w:t>Графикон</w:t>
      </w:r>
      <w:r w:rsidRPr="00171A80">
        <w:rPr>
          <w:rFonts w:asciiTheme="majorHAnsi" w:eastAsia="Calibri" w:hAnsiTheme="majorHAnsi"/>
          <w:b/>
          <w:color w:val="7F7F7F"/>
          <w:sz w:val="21"/>
          <w:szCs w:val="21"/>
          <w:lang w:val="sr-Cyrl-RS" w:bidi="en-US"/>
        </w:rPr>
        <w:t xml:space="preserve"> 7. </w:t>
      </w:r>
      <w:r w:rsidRPr="00171A80">
        <w:rPr>
          <w:rFonts w:asciiTheme="majorHAnsi" w:eastAsia="Calibri" w:hAnsiTheme="majorHAnsi" w:cs="Calibri"/>
          <w:b/>
          <w:color w:val="7F7F7F"/>
          <w:sz w:val="21"/>
          <w:szCs w:val="21"/>
          <w:lang w:val="sr-Cyrl-RS" w:bidi="en-US"/>
        </w:rPr>
        <w:t>Извоз</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и</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увоз</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робе</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и</w:t>
      </w:r>
      <w:r w:rsidRPr="00171A80">
        <w:rPr>
          <w:rFonts w:asciiTheme="majorHAnsi" w:eastAsia="Calibri" w:hAnsiTheme="majorHAnsi"/>
          <w:b/>
          <w:color w:val="7F7F7F"/>
          <w:sz w:val="21"/>
          <w:szCs w:val="21"/>
          <w:lang w:val="sr-Cyrl-RS" w:bidi="en-US"/>
        </w:rPr>
        <w:t xml:space="preserve"> </w:t>
      </w:r>
      <w:r w:rsidRPr="00171A80">
        <w:rPr>
          <w:rFonts w:asciiTheme="majorHAnsi" w:eastAsia="Calibri" w:hAnsiTheme="majorHAnsi" w:cs="Calibri"/>
          <w:b/>
          <w:color w:val="7F7F7F"/>
          <w:sz w:val="21"/>
          <w:szCs w:val="21"/>
          <w:lang w:val="sr-Cyrl-RS" w:bidi="en-US"/>
        </w:rPr>
        <w:t>услуга</w:t>
      </w:r>
    </w:p>
    <w:p w:rsidR="001A2DAC" w:rsidRPr="00171A80" w:rsidRDefault="00F73C31" w:rsidP="001A2DAC">
      <w:pPr>
        <w:ind w:firstLine="0"/>
        <w:rPr>
          <w:rFonts w:asciiTheme="majorHAnsi" w:eastAsia="Calibri" w:hAnsiTheme="majorHAnsi" w:cs="Times New Roman"/>
          <w:sz w:val="21"/>
          <w:szCs w:val="21"/>
          <w:lang w:val="sr-Cyrl-RS"/>
        </w:rPr>
      </w:pPr>
      <w:r w:rsidRPr="00171A80">
        <w:rPr>
          <w:rFonts w:asciiTheme="majorHAnsi" w:hAnsiTheme="majorHAnsi"/>
          <w:noProof/>
          <w:lang w:val="en-US"/>
        </w:rPr>
        <w:drawing>
          <wp:inline distT="0" distB="0" distL="0" distR="0" wp14:anchorId="3264BFD9" wp14:editId="5E20BB87">
            <wp:extent cx="5731510" cy="5068110"/>
            <wp:effectExtent l="0" t="0" r="254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2DAC" w:rsidRPr="00171A80" w:rsidRDefault="0061238B" w:rsidP="001A2DAC">
      <w:pPr>
        <w:rPr>
          <w:rFonts w:asciiTheme="majorHAnsi" w:eastAsia="Calibri" w:hAnsiTheme="majorHAnsi" w:cs="Times New Roman"/>
          <w:color w:val="7F7F7F"/>
          <w:sz w:val="21"/>
          <w:szCs w:val="21"/>
          <w:lang w:val="sr-Cyrl-RS"/>
        </w:rPr>
      </w:pPr>
      <w:r w:rsidRPr="0061238B">
        <w:rPr>
          <w:rFonts w:asciiTheme="majorHAnsi" w:eastAsia="Calibri" w:hAnsiTheme="majorHAnsi" w:cs="Calibri"/>
          <w:color w:val="7F7F7F"/>
          <w:sz w:val="21"/>
          <w:szCs w:val="21"/>
          <w:lang w:val="sr-Cyrl-RS"/>
        </w:rPr>
        <w:t>У наредном трогодишњем периоду очекује се прилив на текућем рачуну платног биланса по основу текућих трансфера, као и одлив по основу факторских плаћања. Најважнија компонента у текућим трансферима су приходи од дознака, док су у оквиру факторских плаћања кључни одливи по основу плаћања камата на иностране кредите. Процењује се да ће нето текући трансфери са некаматним дохоцима по основу фактора у периоду 2015 - 2017. године износити у просеку 2,5 млрд евра годишње. Очекује се негативан салдо по основу нето каматних плаћања, који ће у 2017. години достићи 1,2 млрд евра. Нето ефекат текућих трансфера и нето факторских плаћања у наредном трогодишњем периоду биће позитиван и стабилан и процењује се да ће износити око 1,4 млрд евра годишње. Суфицит салда текућих трансфера и нето факторских плаћања покриваће у просеку 47% дефицита спољнотрговинског биланса Републике Србије у периоду 2015 - 2017. године</w:t>
      </w:r>
      <w:r w:rsidR="001E29E6" w:rsidRPr="001E29E6">
        <w:rPr>
          <w:rFonts w:asciiTheme="majorHAnsi" w:eastAsia="Calibri" w:hAnsiTheme="majorHAnsi" w:cs="Calibri"/>
          <w:color w:val="7F7F7F"/>
          <w:sz w:val="21"/>
          <w:szCs w:val="21"/>
          <w:lang w:val="sr-Cyrl-RS"/>
        </w:rPr>
        <w:t>.</w:t>
      </w:r>
    </w:p>
    <w:p w:rsidR="001A2DAC" w:rsidRPr="00171A80" w:rsidRDefault="001A2DAC" w:rsidP="001A2DAC">
      <w:pPr>
        <w:rPr>
          <w:rFonts w:asciiTheme="majorHAnsi" w:eastAsia="Calibri" w:hAnsiTheme="majorHAnsi" w:cs="Times New Roman"/>
          <w:color w:val="7F7F7F"/>
          <w:sz w:val="21"/>
          <w:szCs w:val="21"/>
          <w:lang w:val="sr-Cyrl-RS"/>
        </w:rPr>
      </w:pPr>
      <w:r w:rsidRPr="00171A80">
        <w:rPr>
          <w:rFonts w:asciiTheme="majorHAnsi" w:eastAsia="Calibri" w:hAnsiTheme="majorHAnsi" w:cs="Times New Roman"/>
          <w:color w:val="7F7F7F"/>
          <w:sz w:val="21"/>
          <w:szCs w:val="21"/>
          <w:lang w:val="sr-Cyrl-RS"/>
        </w:rPr>
        <w:br w:type="page"/>
      </w:r>
    </w:p>
    <w:p w:rsidR="001A2DAC" w:rsidRPr="00171A80" w:rsidRDefault="001A2DAC" w:rsidP="001A2DAC">
      <w:pPr>
        <w:jc w:val="center"/>
        <w:rPr>
          <w:rFonts w:asciiTheme="majorHAnsi" w:eastAsia="Calibri" w:hAnsiTheme="majorHAnsi" w:cs="Times New Roman"/>
          <w:b/>
          <w:color w:val="7F7F7F"/>
          <w:sz w:val="21"/>
          <w:szCs w:val="21"/>
          <w:lang w:val="sr-Cyrl-RS"/>
        </w:rPr>
      </w:pPr>
      <w:r w:rsidRPr="00171A80">
        <w:rPr>
          <w:rFonts w:asciiTheme="majorHAnsi" w:eastAsia="Calibri" w:hAnsiTheme="majorHAnsi" w:cs="Calibri"/>
          <w:b/>
          <w:color w:val="7F7F7F"/>
          <w:sz w:val="21"/>
          <w:szCs w:val="21"/>
          <w:lang w:val="sr-Cyrl-RS"/>
        </w:rPr>
        <w:lastRenderedPageBreak/>
        <w:t>Графикон</w:t>
      </w:r>
      <w:r w:rsidRPr="00171A80">
        <w:rPr>
          <w:rFonts w:asciiTheme="majorHAnsi" w:eastAsia="Calibri" w:hAnsiTheme="majorHAnsi" w:cs="Times New Roman"/>
          <w:b/>
          <w:color w:val="7F7F7F"/>
          <w:sz w:val="21"/>
          <w:szCs w:val="21"/>
          <w:lang w:val="sr-Cyrl-RS"/>
        </w:rPr>
        <w:t xml:space="preserve"> 8. </w:t>
      </w:r>
      <w:r w:rsidRPr="00171A80">
        <w:rPr>
          <w:rFonts w:asciiTheme="majorHAnsi" w:eastAsia="Calibri" w:hAnsiTheme="majorHAnsi" w:cs="Calibri"/>
          <w:b/>
          <w:color w:val="7F7F7F"/>
          <w:sz w:val="21"/>
          <w:szCs w:val="21"/>
          <w:lang w:val="sr-Cyrl-RS"/>
        </w:rPr>
        <w:t>Дефицит</w:t>
      </w:r>
      <w:r w:rsidRPr="00171A80">
        <w:rPr>
          <w:rFonts w:asciiTheme="majorHAnsi" w:eastAsia="Calibri" w:hAnsiTheme="majorHAnsi" w:cs="Times New Roman"/>
          <w:b/>
          <w:color w:val="7F7F7F"/>
          <w:sz w:val="21"/>
          <w:szCs w:val="21"/>
          <w:lang w:val="sr-Cyrl-RS"/>
        </w:rPr>
        <w:t xml:space="preserve"> </w:t>
      </w:r>
      <w:r w:rsidRPr="00171A80">
        <w:rPr>
          <w:rFonts w:asciiTheme="majorHAnsi" w:eastAsia="Calibri" w:hAnsiTheme="majorHAnsi" w:cs="Calibri"/>
          <w:b/>
          <w:color w:val="7F7F7F"/>
          <w:sz w:val="21"/>
          <w:szCs w:val="21"/>
          <w:lang w:val="sr-Cyrl-RS"/>
        </w:rPr>
        <w:t>текућег</w:t>
      </w:r>
      <w:r w:rsidRPr="00171A80">
        <w:rPr>
          <w:rFonts w:asciiTheme="majorHAnsi" w:eastAsia="Calibri" w:hAnsiTheme="majorHAnsi" w:cs="Times New Roman"/>
          <w:b/>
          <w:color w:val="7F7F7F"/>
          <w:sz w:val="21"/>
          <w:szCs w:val="21"/>
          <w:lang w:val="sr-Cyrl-RS"/>
        </w:rPr>
        <w:t xml:space="preserve"> </w:t>
      </w:r>
      <w:r w:rsidRPr="00171A80">
        <w:rPr>
          <w:rFonts w:asciiTheme="majorHAnsi" w:eastAsia="Calibri" w:hAnsiTheme="majorHAnsi" w:cs="Calibri"/>
          <w:b/>
          <w:color w:val="7F7F7F"/>
          <w:sz w:val="21"/>
          <w:szCs w:val="21"/>
          <w:lang w:val="sr-Cyrl-RS"/>
        </w:rPr>
        <w:t>рачуна</w:t>
      </w:r>
      <w:r w:rsidRPr="00171A80">
        <w:rPr>
          <w:rFonts w:asciiTheme="majorHAnsi" w:eastAsia="Calibri" w:hAnsiTheme="majorHAnsi" w:cs="Times New Roman"/>
          <w:b/>
          <w:color w:val="7F7F7F"/>
          <w:sz w:val="21"/>
          <w:szCs w:val="21"/>
          <w:lang w:val="sr-Cyrl-RS"/>
        </w:rPr>
        <w:t xml:space="preserve"> </w:t>
      </w:r>
      <w:r w:rsidRPr="00171A80">
        <w:rPr>
          <w:rFonts w:asciiTheme="majorHAnsi" w:eastAsia="Calibri" w:hAnsiTheme="majorHAnsi" w:cs="Calibri"/>
          <w:b/>
          <w:color w:val="7F7F7F"/>
          <w:sz w:val="21"/>
          <w:szCs w:val="21"/>
          <w:lang w:val="sr-Cyrl-RS"/>
        </w:rPr>
        <w:t>и</w:t>
      </w:r>
      <w:r w:rsidRPr="00171A80">
        <w:rPr>
          <w:rFonts w:asciiTheme="majorHAnsi" w:eastAsia="Calibri" w:hAnsiTheme="majorHAnsi" w:cs="Times New Roman"/>
          <w:b/>
          <w:color w:val="7F7F7F"/>
          <w:sz w:val="21"/>
          <w:szCs w:val="21"/>
          <w:lang w:val="sr-Cyrl-RS"/>
        </w:rPr>
        <w:t xml:space="preserve"> </w:t>
      </w:r>
      <w:r w:rsidRPr="00171A80">
        <w:rPr>
          <w:rFonts w:asciiTheme="majorHAnsi" w:eastAsia="Calibri" w:hAnsiTheme="majorHAnsi" w:cs="Calibri"/>
          <w:b/>
          <w:color w:val="7F7F7F"/>
          <w:sz w:val="21"/>
          <w:szCs w:val="21"/>
          <w:lang w:val="sr-Cyrl-RS"/>
        </w:rPr>
        <w:t>његово</w:t>
      </w:r>
      <w:r w:rsidRPr="00171A80">
        <w:rPr>
          <w:rFonts w:asciiTheme="majorHAnsi" w:eastAsia="Calibri" w:hAnsiTheme="majorHAnsi" w:cs="Times New Roman"/>
          <w:b/>
          <w:color w:val="7F7F7F"/>
          <w:sz w:val="21"/>
          <w:szCs w:val="21"/>
          <w:lang w:val="sr-Cyrl-RS"/>
        </w:rPr>
        <w:t xml:space="preserve"> </w:t>
      </w:r>
      <w:r w:rsidRPr="00171A80">
        <w:rPr>
          <w:rFonts w:asciiTheme="majorHAnsi" w:eastAsia="Calibri" w:hAnsiTheme="majorHAnsi" w:cs="Calibri"/>
          <w:b/>
          <w:color w:val="7F7F7F"/>
          <w:sz w:val="21"/>
          <w:szCs w:val="21"/>
          <w:lang w:val="sr-Cyrl-RS"/>
        </w:rPr>
        <w:t>финансирање</w:t>
      </w:r>
      <w:r w:rsidRPr="00171A80">
        <w:rPr>
          <w:rFonts w:asciiTheme="majorHAnsi" w:eastAsia="Calibri" w:hAnsiTheme="majorHAnsi" w:cs="Times New Roman"/>
          <w:b/>
          <w:color w:val="7F7F7F"/>
          <w:sz w:val="21"/>
          <w:szCs w:val="21"/>
          <w:lang w:val="sr-Cyrl-RS"/>
        </w:rPr>
        <w:t xml:space="preserve">, % </w:t>
      </w:r>
      <w:r w:rsidRPr="00171A80">
        <w:rPr>
          <w:rFonts w:asciiTheme="majorHAnsi" w:eastAsia="Calibri" w:hAnsiTheme="majorHAnsi" w:cs="Calibri"/>
          <w:b/>
          <w:color w:val="7F7F7F"/>
          <w:sz w:val="21"/>
          <w:szCs w:val="21"/>
          <w:lang w:val="sr-Cyrl-RS"/>
        </w:rPr>
        <w:t>БДП</w:t>
      </w:r>
    </w:p>
    <w:p w:rsidR="001A2DAC" w:rsidRPr="00171A80" w:rsidRDefault="002D4DE2" w:rsidP="001A2DAC">
      <w:pPr>
        <w:ind w:firstLine="0"/>
        <w:rPr>
          <w:rFonts w:asciiTheme="majorHAnsi" w:eastAsia="Calibri" w:hAnsiTheme="majorHAnsi" w:cs="Times New Roman"/>
          <w:sz w:val="21"/>
          <w:szCs w:val="21"/>
          <w:lang w:val="sr-Cyrl-RS"/>
        </w:rPr>
      </w:pPr>
      <w:r w:rsidRPr="00171A80">
        <w:rPr>
          <w:rFonts w:asciiTheme="majorHAnsi" w:hAnsiTheme="majorHAnsi"/>
          <w:noProof/>
          <w:highlight w:val="darkRed"/>
          <w:lang w:val="en-US"/>
        </w:rPr>
        <w:drawing>
          <wp:inline distT="0" distB="0" distL="0" distR="0" wp14:anchorId="28C6FFC3" wp14:editId="754EADE2">
            <wp:extent cx="5731510" cy="3782060"/>
            <wp:effectExtent l="0" t="0" r="254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238B" w:rsidRPr="0061238B" w:rsidRDefault="0061238B" w:rsidP="0061238B">
      <w:pPr>
        <w:rPr>
          <w:rFonts w:asciiTheme="majorHAnsi" w:eastAsia="Calibri" w:hAnsiTheme="majorHAnsi" w:cs="Calibri"/>
          <w:color w:val="7F7F7F"/>
          <w:sz w:val="21"/>
          <w:szCs w:val="21"/>
          <w:lang w:val="sr-Cyrl-RS"/>
        </w:rPr>
      </w:pPr>
      <w:r w:rsidRPr="0061238B">
        <w:rPr>
          <w:rFonts w:asciiTheme="majorHAnsi" w:eastAsia="Calibri" w:hAnsiTheme="majorHAnsi" w:cs="Calibri"/>
          <w:color w:val="7F7F7F"/>
          <w:sz w:val="21"/>
          <w:szCs w:val="21"/>
          <w:lang w:val="sr-Cyrl-RS"/>
        </w:rPr>
        <w:t xml:space="preserve">На основу пројектованог кретања спољнотрговинске размене, текућих трансфера и нето факторских прихода изведене су пројекције салда биланса текућих плаћања. Биланс текућих плаћања без донација биће негативан и износиће у периоду 2015 - 2017. године у просеку 1,5 млрд евра. При томе, у структури прилива капитала доминираће удео страних директних инвестиција које ће бити главни извор финансирања дефицита текућег рачуна и износиће у 2016. и 2017. години у просеку 1,4 млрд евра, респективно. </w:t>
      </w:r>
    </w:p>
    <w:p w:rsidR="0061238B" w:rsidRPr="0061238B" w:rsidRDefault="0061238B" w:rsidP="0061238B">
      <w:pPr>
        <w:rPr>
          <w:rFonts w:asciiTheme="majorHAnsi" w:eastAsia="Calibri" w:hAnsiTheme="majorHAnsi" w:cs="Calibri"/>
          <w:color w:val="7F7F7F"/>
          <w:sz w:val="21"/>
          <w:szCs w:val="21"/>
          <w:lang w:val="sr-Cyrl-RS"/>
        </w:rPr>
      </w:pPr>
      <w:r w:rsidRPr="0061238B">
        <w:rPr>
          <w:rFonts w:asciiTheme="majorHAnsi" w:eastAsia="Calibri" w:hAnsiTheme="majorHAnsi" w:cs="Calibri"/>
          <w:color w:val="7F7F7F"/>
          <w:sz w:val="21"/>
          <w:szCs w:val="21"/>
          <w:lang w:val="sr-Cyrl-RS"/>
        </w:rPr>
        <w:t xml:space="preserve">Процењује се да ће укупан спољни дуг Републике Србије у 2017. години забележити силазни тренд највећим делом због стабилизације и смањења јавног спољног дуга. </w:t>
      </w:r>
    </w:p>
    <w:p w:rsidR="001A2DAC" w:rsidRDefault="0061238B" w:rsidP="0061238B">
      <w:pPr>
        <w:spacing w:after="0"/>
        <w:rPr>
          <w:rFonts w:asciiTheme="majorHAnsi" w:eastAsia="Calibri" w:hAnsiTheme="majorHAnsi" w:cs="Times New Roman"/>
          <w:color w:val="7F7F7F"/>
          <w:sz w:val="21"/>
          <w:szCs w:val="21"/>
          <w:lang w:val="sr-Cyrl-RS"/>
        </w:rPr>
      </w:pPr>
      <w:r w:rsidRPr="0061238B">
        <w:rPr>
          <w:rFonts w:asciiTheme="majorHAnsi" w:eastAsia="Calibri" w:hAnsiTheme="majorHAnsi" w:cs="Calibri"/>
          <w:color w:val="7F7F7F"/>
          <w:sz w:val="21"/>
          <w:szCs w:val="21"/>
          <w:lang w:val="sr-Cyrl-RS"/>
        </w:rPr>
        <w:t>Девизне резерве Републике Србије у периоду 2015 - 2017. године, према процени, покриваће седмомесечни увоз робе и услуга</w:t>
      </w:r>
      <w:r w:rsidR="001A2DAC" w:rsidRPr="00171A80">
        <w:rPr>
          <w:rFonts w:asciiTheme="majorHAnsi" w:eastAsia="Calibri" w:hAnsiTheme="majorHAnsi" w:cs="Times New Roman"/>
          <w:color w:val="7F7F7F"/>
          <w:sz w:val="21"/>
          <w:szCs w:val="21"/>
          <w:lang w:val="sr-Cyrl-RS"/>
        </w:rPr>
        <w:t>.</w:t>
      </w:r>
    </w:p>
    <w:p w:rsidR="00936FCE" w:rsidRPr="00171A80" w:rsidRDefault="00936FCE" w:rsidP="00936FCE">
      <w:pPr>
        <w:spacing w:after="0"/>
        <w:rPr>
          <w:rFonts w:asciiTheme="majorHAnsi" w:eastAsia="Calibri" w:hAnsiTheme="majorHAnsi" w:cs="Times New Roman"/>
          <w:color w:val="7F7F7F"/>
          <w:sz w:val="21"/>
          <w:szCs w:val="21"/>
          <w:lang w:val="sr-Cyrl-RS"/>
        </w:rPr>
      </w:pPr>
    </w:p>
    <w:p w:rsidR="001E5C07" w:rsidRDefault="00003F06" w:rsidP="00936FCE">
      <w:pPr>
        <w:pStyle w:val="Heading3"/>
        <w:numPr>
          <w:ilvl w:val="1"/>
          <w:numId w:val="2"/>
        </w:numPr>
        <w:spacing w:before="0" w:after="0"/>
        <w:ind w:left="357" w:hanging="357"/>
        <w:rPr>
          <w:rFonts w:asciiTheme="majorHAnsi" w:eastAsia="Calibri" w:hAnsiTheme="majorHAnsi"/>
          <w:b w:val="0"/>
          <w:lang w:val="sr-Cyrl-RS"/>
        </w:rPr>
      </w:pPr>
      <w:bookmarkStart w:id="22" w:name="_Toc407617160"/>
      <w:r w:rsidRPr="00171A80">
        <w:rPr>
          <w:rFonts w:asciiTheme="majorHAnsi" w:eastAsia="Calibri" w:hAnsiTheme="majorHAnsi"/>
          <w:b w:val="0"/>
          <w:lang w:val="sr-Cyrl-RS"/>
        </w:rPr>
        <w:t xml:space="preserve">Ризици остваривања </w:t>
      </w:r>
      <w:r w:rsidR="00C3436F" w:rsidRPr="00171A80">
        <w:rPr>
          <w:rFonts w:asciiTheme="majorHAnsi" w:eastAsia="Calibri" w:hAnsiTheme="majorHAnsi"/>
          <w:b w:val="0"/>
          <w:lang w:val="sr-Cyrl-RS"/>
        </w:rPr>
        <w:t>пројекције</w:t>
      </w:r>
      <w:bookmarkEnd w:id="22"/>
    </w:p>
    <w:p w:rsidR="000E3B33" w:rsidRPr="000E3B33" w:rsidRDefault="000E3B33" w:rsidP="006D67D3">
      <w:pPr>
        <w:spacing w:after="0"/>
        <w:rPr>
          <w:lang w:val="sr-Cyrl-RS"/>
        </w:rPr>
      </w:pPr>
    </w:p>
    <w:p w:rsidR="008A1C4D" w:rsidRPr="008A1C4D" w:rsidRDefault="008A1C4D" w:rsidP="008A1C4D">
      <w:pPr>
        <w:ind w:firstLine="720"/>
        <w:rPr>
          <w:rFonts w:asciiTheme="majorHAnsi" w:hAnsiTheme="majorHAnsi"/>
          <w:color w:val="7F7F7F" w:themeColor="text1" w:themeTint="80"/>
          <w:sz w:val="21"/>
          <w:szCs w:val="21"/>
          <w:lang w:val="sr-Cyrl-RS"/>
        </w:rPr>
      </w:pPr>
      <w:r w:rsidRPr="008A1C4D">
        <w:rPr>
          <w:rFonts w:asciiTheme="majorHAnsi" w:hAnsiTheme="majorHAnsi"/>
          <w:color w:val="7F7F7F" w:themeColor="text1" w:themeTint="80"/>
          <w:sz w:val="21"/>
          <w:szCs w:val="21"/>
          <w:lang w:val="sr-Cyrl-RS"/>
        </w:rPr>
        <w:t xml:space="preserve">Остварење макроекономског сценарија је изложено деловању појединих екстерних и интерних ризика. </w:t>
      </w:r>
    </w:p>
    <w:p w:rsidR="008A1C4D" w:rsidRPr="008A1C4D" w:rsidRDefault="008A1C4D" w:rsidP="008A1C4D">
      <w:pPr>
        <w:ind w:firstLine="720"/>
        <w:rPr>
          <w:rFonts w:asciiTheme="majorHAnsi" w:hAnsiTheme="majorHAnsi"/>
          <w:iCs/>
          <w:color w:val="7F7F7F" w:themeColor="text1" w:themeTint="80"/>
          <w:sz w:val="21"/>
          <w:szCs w:val="21"/>
          <w:lang w:val="sr-Cyrl-RS"/>
        </w:rPr>
      </w:pPr>
      <w:r w:rsidRPr="008A1C4D">
        <w:rPr>
          <w:rFonts w:asciiTheme="majorHAnsi" w:hAnsiTheme="majorHAnsi"/>
          <w:color w:val="7F7F7F" w:themeColor="text1" w:themeTint="80"/>
          <w:sz w:val="21"/>
          <w:szCs w:val="21"/>
          <w:lang w:val="sr-Cyrl-RS"/>
        </w:rPr>
        <w:t xml:space="preserve">Повећању ризика у погледу опоравка глобалне и европске привреде у великој мери доприноси неизвесност на међународном тржишту капитала </w:t>
      </w:r>
      <w:r w:rsidRPr="008A1C4D">
        <w:rPr>
          <w:rFonts w:asciiTheme="majorHAnsi" w:hAnsiTheme="majorHAnsi"/>
          <w:iCs/>
          <w:color w:val="7F7F7F" w:themeColor="text1" w:themeTint="80"/>
          <w:sz w:val="21"/>
          <w:szCs w:val="21"/>
          <w:lang w:val="sr-Cyrl-RS"/>
        </w:rPr>
        <w:t>везана за наставак смањења експанзивности монетарне политике ФЕД и неизвесност у погледу ефеката мера ЕЦБ.</w:t>
      </w:r>
      <w:r w:rsidRPr="008A1C4D">
        <w:rPr>
          <w:rFonts w:asciiTheme="majorHAnsi" w:hAnsiTheme="majorHAnsi"/>
          <w:color w:val="7F7F7F" w:themeColor="text1" w:themeTint="80"/>
          <w:sz w:val="21"/>
          <w:szCs w:val="21"/>
          <w:lang w:val="sr-Cyrl-RS"/>
        </w:rPr>
        <w:t xml:space="preserve"> Глобални економски опоравак се успорава уз значајне разлике у стопама раста међу групацијама земаља. Привреда САД остварује позитивне стопе раста, привреде евро зоне стагнирају, док руска економија бележи значајно успоравање са негативним изгледима за будући период. Такође, кључни екстерни ризик остварења пројекције везан је и за даље погоршавање геополитичких тензија и њихов снажнији утицај на финансијске, спољнотрговинске и енергетске токове. Евентуални наставак неповољних тенденција у ЕУ имаће утицај на успоравање извоза и капиталних прилива земаља централне и источне Европе (у даљем тексту: ЦИЕ), као и могуће повећање трошкова задуживања. Опоравак привреде Републике Србије у великој мери зависиће од брзине опоравка евро зоне и економија региона </w:t>
      </w:r>
      <w:r w:rsidRPr="008A1C4D">
        <w:rPr>
          <w:rFonts w:asciiTheme="majorHAnsi" w:hAnsiTheme="majorHAnsi"/>
          <w:color w:val="7F7F7F" w:themeColor="text1" w:themeTint="80"/>
          <w:sz w:val="21"/>
          <w:szCs w:val="21"/>
          <w:lang w:val="sr-Cyrl-RS"/>
        </w:rPr>
        <w:lastRenderedPageBreak/>
        <w:t xml:space="preserve">и по том основу повећања иностране тражње и прилива страног капитала, кретања иностраних каматних стопа, кретања увозних цена, цена хране и цена нафтних деривата. </w:t>
      </w:r>
    </w:p>
    <w:p w:rsidR="008A1C4D" w:rsidRPr="008A1C4D" w:rsidRDefault="008A1C4D" w:rsidP="008A1C4D">
      <w:pPr>
        <w:ind w:firstLine="720"/>
        <w:rPr>
          <w:rFonts w:asciiTheme="majorHAnsi" w:hAnsiTheme="majorHAnsi"/>
          <w:color w:val="7F7F7F" w:themeColor="text1" w:themeTint="80"/>
          <w:sz w:val="21"/>
          <w:szCs w:val="21"/>
          <w:lang w:val="sr-Cyrl-RS"/>
        </w:rPr>
      </w:pPr>
      <w:r w:rsidRPr="008A1C4D">
        <w:rPr>
          <w:rFonts w:asciiTheme="majorHAnsi" w:hAnsiTheme="majorHAnsi"/>
          <w:color w:val="7F7F7F" w:themeColor="text1" w:themeTint="80"/>
          <w:sz w:val="21"/>
          <w:szCs w:val="21"/>
          <w:lang w:val="sr-Cyrl-RS"/>
        </w:rPr>
        <w:t>Унутрашњи ризици остварења пројекције везани су за ефекат мера фискалне консолидације и њихов краткорочно неповољнији утицај на привредна кретања. Интензитет фискалне консолидације и структурних реформи могли би краткорочно негативно утицати на БДП у већој мери од очекиваног, кроз већи пад домаће тражње. Са друге стране, један од фактора остварења пројекције јесте динамика санације штета од поплава, посебно у области енергетике, који ће упркос смањеним капацитетима обезбедити енергетску сигурност.</w:t>
      </w:r>
    </w:p>
    <w:p w:rsidR="008A1C4D" w:rsidRPr="008A1C4D" w:rsidRDefault="008A1C4D" w:rsidP="008A1C4D">
      <w:pPr>
        <w:ind w:firstLine="720"/>
        <w:rPr>
          <w:rFonts w:asciiTheme="majorHAnsi" w:hAnsiTheme="majorHAnsi"/>
          <w:color w:val="7F7F7F" w:themeColor="text1" w:themeTint="80"/>
          <w:sz w:val="21"/>
          <w:szCs w:val="21"/>
          <w:lang w:val="sr-Cyrl-RS"/>
        </w:rPr>
      </w:pPr>
      <w:r w:rsidRPr="008A1C4D">
        <w:rPr>
          <w:rFonts w:asciiTheme="majorHAnsi" w:hAnsiTheme="majorHAnsi"/>
          <w:color w:val="7F7F7F" w:themeColor="text1" w:themeTint="80"/>
          <w:sz w:val="21"/>
          <w:szCs w:val="21"/>
          <w:lang w:val="sr-Cyrl-RS"/>
        </w:rPr>
        <w:t xml:space="preserve">Основни сценарио развоја у наредне три године заснован је на благом повећању удела фиксних инвестиција у БДП, смањењу удела јавних расхода у БДП, повећању удела извоза робе и услуга у БДП, уз смањење удела дефицита текућих трансакција у БДП и смањење инфлације. </w:t>
      </w:r>
    </w:p>
    <w:p w:rsidR="008A1C4D" w:rsidRPr="008A1C4D" w:rsidRDefault="008A1C4D" w:rsidP="008A1C4D">
      <w:pPr>
        <w:ind w:firstLine="720"/>
        <w:rPr>
          <w:rFonts w:asciiTheme="majorHAnsi" w:hAnsiTheme="majorHAnsi"/>
          <w:color w:val="7F7F7F" w:themeColor="text1" w:themeTint="80"/>
          <w:sz w:val="21"/>
          <w:szCs w:val="21"/>
          <w:lang w:val="sr-Cyrl-RS"/>
        </w:rPr>
      </w:pPr>
      <w:r w:rsidRPr="008A1C4D">
        <w:rPr>
          <w:rFonts w:asciiTheme="majorHAnsi" w:hAnsiTheme="majorHAnsi"/>
          <w:color w:val="7F7F7F" w:themeColor="text1" w:themeTint="80"/>
          <w:sz w:val="21"/>
          <w:szCs w:val="21"/>
          <w:lang w:val="sr-Cyrl-RS"/>
        </w:rPr>
        <w:t xml:space="preserve">Кључне претпоставке за остваривање предвиђеног средњорочног сценарија су спровођење мера фискалне консолидације и убрзање економских реформи, посебно реформи јавног сектора; одржавање континуитета у приближавању ЕУ; стабилизација укупног јавног дуга и одрживост спољног дуга и екстерна ликвидност. </w:t>
      </w:r>
    </w:p>
    <w:p w:rsidR="008A1C4D" w:rsidRPr="008A1C4D" w:rsidRDefault="008A1C4D" w:rsidP="008A1C4D">
      <w:pPr>
        <w:ind w:firstLine="720"/>
        <w:rPr>
          <w:rFonts w:asciiTheme="majorHAnsi" w:hAnsiTheme="majorHAnsi"/>
          <w:color w:val="7F7F7F" w:themeColor="text1" w:themeTint="80"/>
          <w:sz w:val="21"/>
          <w:szCs w:val="21"/>
          <w:lang w:val="sr-Cyrl-RS"/>
        </w:rPr>
      </w:pPr>
      <w:r w:rsidRPr="008A1C4D">
        <w:rPr>
          <w:rFonts w:asciiTheme="majorHAnsi" w:hAnsiTheme="majorHAnsi"/>
          <w:color w:val="7F7F7F" w:themeColor="text1" w:themeTint="80"/>
          <w:sz w:val="21"/>
          <w:szCs w:val="21"/>
          <w:lang w:val="sr-Cyrl-RS"/>
        </w:rPr>
        <w:t xml:space="preserve">Одступање од наведених претпоставки представља ризик за остваривање средњорочне макроекономске пројекције. Успоравање опоравка светске економије, посебно рецесија европске привреде, негативно би утицала на привредни развој земље ослоњен на извозну тражњу и повећање инвестиција. Већи пад домаће тражње, уз изостанак инвестиција и свеобухватних структурних мера, којима се обезбеђује стимулативан привредни амбијент утицао би на даље погоршање фискалне позиције земље. Таква кретања би увећала макроекономске неравнотеже кроз нестабилност девизног тржишта, пораст инфлације и, уз смањење девизних резерви, проблеме у отплати спољног дуга. Поред тога, дошло би до успоравања и заустављања неопходног прилива страног капитала. </w:t>
      </w:r>
    </w:p>
    <w:p w:rsidR="00EE5FC0" w:rsidRDefault="008A1C4D" w:rsidP="008A1C4D">
      <w:pPr>
        <w:ind w:firstLine="720"/>
        <w:rPr>
          <w:rFonts w:asciiTheme="majorHAnsi" w:hAnsiTheme="majorHAnsi"/>
          <w:color w:val="7F7F7F" w:themeColor="text1" w:themeTint="80"/>
          <w:sz w:val="21"/>
          <w:szCs w:val="21"/>
          <w:lang w:val="sr-Cyrl-RS"/>
        </w:rPr>
      </w:pPr>
      <w:r w:rsidRPr="008A1C4D">
        <w:rPr>
          <w:rFonts w:asciiTheme="majorHAnsi" w:hAnsiTheme="majorHAnsi"/>
          <w:color w:val="7F7F7F" w:themeColor="text1" w:themeTint="80"/>
          <w:sz w:val="21"/>
          <w:szCs w:val="21"/>
          <w:lang w:val="sr-Cyrl-RS"/>
        </w:rPr>
        <w:t>Позитиван развој догађаја који би довео до бољих резултата у економији од предвиђеног основним сценаријем, било би решавање статуса предузећа у хемијској и металској индустрији. Активирање смедеревске Железаре и решавање проблема у хемијској индустрији имало би вишеструко позитивне импликације на привредну активност кроз смањивање спољнотрговинског дефицита и супституције увоза домаћом производњом. Такође, директан утицај оживљавања хемијског и рударског комплекса и покретања Железаре, при претпоставци потпуног коришћења ових капацитета, омогућио би кумулативни раст БДП од око 2 п.п у наредном периоду</w:t>
      </w:r>
      <w:r w:rsidR="00CA6C11" w:rsidRPr="00171A80">
        <w:rPr>
          <w:rFonts w:asciiTheme="majorHAnsi" w:hAnsiTheme="majorHAnsi"/>
          <w:color w:val="7F7F7F" w:themeColor="text1" w:themeTint="80"/>
          <w:sz w:val="21"/>
          <w:szCs w:val="21"/>
          <w:lang w:val="sr-Cyrl-RS"/>
        </w:rPr>
        <w:t>.</w:t>
      </w:r>
    </w:p>
    <w:p w:rsidR="00AF3052" w:rsidRPr="00171A80" w:rsidRDefault="00EE5FC0" w:rsidP="00EE5FC0">
      <w:pPr>
        <w:spacing w:after="0"/>
        <w:ind w:firstLine="0"/>
        <w:jc w:val="left"/>
        <w:rPr>
          <w:rFonts w:asciiTheme="majorHAnsi" w:hAnsiTheme="majorHAnsi"/>
          <w:color w:val="7F7F7F" w:themeColor="text1" w:themeTint="80"/>
          <w:sz w:val="21"/>
          <w:szCs w:val="21"/>
          <w:lang w:val="sr-Cyrl-RS"/>
        </w:rPr>
      </w:pPr>
      <w:r>
        <w:rPr>
          <w:rFonts w:asciiTheme="majorHAnsi" w:hAnsiTheme="majorHAnsi"/>
          <w:color w:val="7F7F7F" w:themeColor="text1" w:themeTint="80"/>
          <w:sz w:val="21"/>
          <w:szCs w:val="21"/>
          <w:lang w:val="sr-Cyrl-RS"/>
        </w:rPr>
        <w:br w:type="page"/>
      </w:r>
    </w:p>
    <w:p w:rsidR="0020600C" w:rsidRPr="00171A80" w:rsidRDefault="00C544EC" w:rsidP="009B4941">
      <w:pPr>
        <w:pStyle w:val="IFS2012naslov1"/>
        <w:rPr>
          <w:lang w:val="sr-Cyrl-RS"/>
        </w:rPr>
      </w:pPr>
      <w:bookmarkStart w:id="23" w:name="_Toc337117118"/>
      <w:bookmarkStart w:id="24" w:name="_Toc407617161"/>
      <w:r w:rsidRPr="00171A80">
        <w:rPr>
          <w:lang w:val="sr-Cyrl-RS"/>
        </w:rPr>
        <w:lastRenderedPageBreak/>
        <w:t>Фискални оквир за период од 201</w:t>
      </w:r>
      <w:r w:rsidR="00C37371" w:rsidRPr="00171A80">
        <w:rPr>
          <w:lang w:val="sr-Cyrl-RS"/>
        </w:rPr>
        <w:t>5</w:t>
      </w:r>
      <w:r w:rsidRPr="00171A80">
        <w:rPr>
          <w:lang w:val="sr-Cyrl-RS"/>
        </w:rPr>
        <w:t>. до 201</w:t>
      </w:r>
      <w:r w:rsidR="00C37371" w:rsidRPr="00171A80">
        <w:rPr>
          <w:lang w:val="sr-Cyrl-RS"/>
        </w:rPr>
        <w:t>7</w:t>
      </w:r>
      <w:r w:rsidRPr="00171A80">
        <w:rPr>
          <w:lang w:val="sr-Cyrl-RS"/>
        </w:rPr>
        <w:t xml:space="preserve">. </w:t>
      </w:r>
      <w:r w:rsidR="00BD6035" w:rsidRPr="00171A80">
        <w:rPr>
          <w:lang w:val="sr-Cyrl-RS"/>
        </w:rPr>
        <w:t>г</w:t>
      </w:r>
      <w:r w:rsidR="00BE59DB" w:rsidRPr="00171A80">
        <w:rPr>
          <w:lang w:val="sr-Cyrl-RS"/>
        </w:rPr>
        <w:t>одине</w:t>
      </w:r>
      <w:bookmarkStart w:id="25" w:name="_Toc293498371"/>
      <w:bookmarkEnd w:id="23"/>
      <w:bookmarkEnd w:id="24"/>
    </w:p>
    <w:p w:rsidR="009B4941" w:rsidRPr="00171A80" w:rsidRDefault="009B4941" w:rsidP="009B4941">
      <w:pPr>
        <w:pStyle w:val="IFS2012naslov1"/>
        <w:numPr>
          <w:ilvl w:val="0"/>
          <w:numId w:val="0"/>
        </w:numPr>
        <w:rPr>
          <w:lang w:val="sr-Cyrl-RS"/>
        </w:rPr>
      </w:pPr>
    </w:p>
    <w:p w:rsidR="00A71B27" w:rsidRPr="00171A80" w:rsidRDefault="00A71B27" w:rsidP="00C165A1">
      <w:pPr>
        <w:pStyle w:val="Heading2"/>
        <w:numPr>
          <w:ilvl w:val="0"/>
          <w:numId w:val="6"/>
        </w:numPr>
        <w:spacing w:before="0" w:after="0"/>
        <w:ind w:left="714" w:hanging="357"/>
        <w:rPr>
          <w:rFonts w:asciiTheme="majorHAnsi" w:hAnsiTheme="majorHAnsi"/>
          <w:b w:val="0"/>
          <w:i w:val="0"/>
          <w:lang w:val="sr-Cyrl-RS"/>
          <w14:shadow w14:blurRad="50800" w14:dist="50800" w14:dir="5400000" w14:sx="0" w14:sy="0" w14:kx="0" w14:ky="0" w14:algn="ctr">
            <w14:schemeClr w14:val="accent3"/>
          </w14:shadow>
        </w:rPr>
      </w:pPr>
      <w:bookmarkStart w:id="26" w:name="_Toc337117119"/>
      <w:bookmarkStart w:id="27" w:name="_Toc407617162"/>
      <w:r w:rsidRPr="00171A80">
        <w:rPr>
          <w:rFonts w:asciiTheme="majorHAnsi" w:hAnsiTheme="majorHAnsi" w:cs="Calibri"/>
          <w:b w:val="0"/>
          <w:i w:val="0"/>
          <w:lang w:val="sr-Cyrl-RS"/>
          <w14:shadow w14:blurRad="50800" w14:dist="50800" w14:dir="5400000" w14:sx="0" w14:sy="0" w14:kx="0" w14:ky="0" w14:algn="ctr">
            <w14:schemeClr w14:val="accent3"/>
          </w14:shadow>
        </w:rPr>
        <w:t>Средњорочни</w:t>
      </w:r>
      <w:r w:rsidRPr="00171A80">
        <w:rPr>
          <w:rFonts w:asciiTheme="majorHAnsi" w:hAnsiTheme="majorHAnsi"/>
          <w:b w:val="0"/>
          <w:i w:val="0"/>
          <w:lang w:val="sr-Cyrl-RS"/>
          <w14:shadow w14:blurRad="50800" w14:dist="50800" w14:dir="5400000" w14:sx="0" w14:sy="0" w14:kx="0" w14:ky="0" w14:algn="ctr">
            <w14:schemeClr w14:val="accent3"/>
          </w14:shadow>
        </w:rPr>
        <w:t xml:space="preserve"> </w:t>
      </w:r>
      <w:r w:rsidRPr="00171A80">
        <w:rPr>
          <w:rFonts w:asciiTheme="majorHAnsi" w:hAnsiTheme="majorHAnsi" w:cs="Calibri"/>
          <w:b w:val="0"/>
          <w:i w:val="0"/>
          <w:lang w:val="sr-Cyrl-RS"/>
          <w14:shadow w14:blurRad="50800" w14:dist="50800" w14:dir="5400000" w14:sx="0" w14:sy="0" w14:kx="0" w14:ky="0" w14:algn="ctr">
            <w14:schemeClr w14:val="accent3"/>
          </w14:shadow>
        </w:rPr>
        <w:t>циљеви</w:t>
      </w:r>
      <w:r w:rsidRPr="00171A80">
        <w:rPr>
          <w:rFonts w:asciiTheme="majorHAnsi" w:hAnsiTheme="majorHAnsi"/>
          <w:b w:val="0"/>
          <w:i w:val="0"/>
          <w:lang w:val="sr-Cyrl-RS"/>
          <w14:shadow w14:blurRad="50800" w14:dist="50800" w14:dir="5400000" w14:sx="0" w14:sy="0" w14:kx="0" w14:ky="0" w14:algn="ctr">
            <w14:schemeClr w14:val="accent3"/>
          </w14:shadow>
        </w:rPr>
        <w:t xml:space="preserve"> </w:t>
      </w:r>
      <w:r w:rsidRPr="00171A80">
        <w:rPr>
          <w:rFonts w:asciiTheme="majorHAnsi" w:hAnsiTheme="majorHAnsi" w:cs="Calibri"/>
          <w:b w:val="0"/>
          <w:i w:val="0"/>
          <w:lang w:val="sr-Cyrl-RS"/>
          <w14:shadow w14:blurRad="50800" w14:dist="50800" w14:dir="5400000" w14:sx="0" w14:sy="0" w14:kx="0" w14:ky="0" w14:algn="ctr">
            <w14:schemeClr w14:val="accent3"/>
          </w14:shadow>
        </w:rPr>
        <w:t>фискалне</w:t>
      </w:r>
      <w:r w:rsidRPr="00171A80">
        <w:rPr>
          <w:rFonts w:asciiTheme="majorHAnsi" w:hAnsiTheme="majorHAnsi"/>
          <w:b w:val="0"/>
          <w:i w:val="0"/>
          <w:lang w:val="sr-Cyrl-RS"/>
          <w14:shadow w14:blurRad="50800" w14:dist="50800" w14:dir="5400000" w14:sx="0" w14:sy="0" w14:kx="0" w14:ky="0" w14:algn="ctr">
            <w14:schemeClr w14:val="accent3"/>
          </w14:shadow>
        </w:rPr>
        <w:t xml:space="preserve"> </w:t>
      </w:r>
      <w:r w:rsidRPr="00171A80">
        <w:rPr>
          <w:rFonts w:asciiTheme="majorHAnsi" w:hAnsiTheme="majorHAnsi" w:cs="Calibri"/>
          <w:b w:val="0"/>
          <w:i w:val="0"/>
          <w:lang w:val="sr-Cyrl-RS"/>
          <w14:shadow w14:blurRad="50800" w14:dist="50800" w14:dir="5400000" w14:sx="0" w14:sy="0" w14:kx="0" w14:ky="0" w14:algn="ctr">
            <w14:schemeClr w14:val="accent3"/>
          </w14:shadow>
        </w:rPr>
        <w:t>политике</w:t>
      </w:r>
      <w:bookmarkEnd w:id="26"/>
      <w:bookmarkEnd w:id="27"/>
    </w:p>
    <w:p w:rsidR="00A71B27" w:rsidRPr="00171A80" w:rsidRDefault="00A71B27" w:rsidP="00FC4747">
      <w:pPr>
        <w:pStyle w:val="IFS2012tekst"/>
        <w:spacing w:after="0"/>
        <w:rPr>
          <w:rFonts w:asciiTheme="majorHAnsi" w:hAnsiTheme="majorHAnsi"/>
          <w:lang w:val="sr-Cyrl-RS"/>
        </w:rPr>
      </w:pPr>
      <w:bookmarkStart w:id="28" w:name="_Toc293498372"/>
    </w:p>
    <w:p w:rsidR="00AD5620" w:rsidRPr="00AD5620" w:rsidRDefault="00AD5620" w:rsidP="00AD5620">
      <w:pPr>
        <w:rPr>
          <w:rFonts w:asciiTheme="majorHAnsi" w:eastAsia="Calibri" w:hAnsiTheme="majorHAnsi" w:cs="Calibri"/>
          <w:bCs w:val="0"/>
          <w:color w:val="7F7F7F" w:themeColor="text1" w:themeTint="80"/>
          <w:sz w:val="21"/>
          <w:szCs w:val="22"/>
          <w:lang w:val="sr-Cyrl-RS"/>
        </w:rPr>
      </w:pPr>
      <w:bookmarkStart w:id="29" w:name="_Toc337117120"/>
      <w:r w:rsidRPr="00AD5620">
        <w:rPr>
          <w:rFonts w:asciiTheme="majorHAnsi" w:eastAsia="Calibri" w:hAnsiTheme="majorHAnsi" w:cs="Calibri"/>
          <w:bCs w:val="0"/>
          <w:color w:val="7F7F7F" w:themeColor="text1" w:themeTint="80"/>
          <w:sz w:val="21"/>
          <w:szCs w:val="22"/>
          <w:lang w:val="sr-Cyrl-RS"/>
        </w:rPr>
        <w:t>Циљ фискалне политике у средњем року је заустављање раста јавног дуга сектора државе и његово релативно смањење у дугом року, тј. спуштање учешћа дуга у БДП на 45%, у складу са општим фискалним правилом.</w:t>
      </w:r>
    </w:p>
    <w:p w:rsidR="00AD5620" w:rsidRPr="00AD5620" w:rsidRDefault="00AD5620" w:rsidP="00AD5620">
      <w:pPr>
        <w:rPr>
          <w:rFonts w:asciiTheme="majorHAnsi" w:eastAsia="Calibri" w:hAnsiTheme="majorHAnsi" w:cs="Calibri"/>
          <w:bCs w:val="0"/>
          <w:color w:val="7F7F7F" w:themeColor="text1" w:themeTint="80"/>
          <w:sz w:val="21"/>
          <w:szCs w:val="22"/>
          <w:lang w:val="sr-Cyrl-RS"/>
        </w:rPr>
      </w:pPr>
      <w:r w:rsidRPr="00AD5620">
        <w:rPr>
          <w:rFonts w:asciiTheme="majorHAnsi" w:eastAsia="Calibri" w:hAnsiTheme="majorHAnsi" w:cs="Calibri"/>
          <w:bCs w:val="0"/>
          <w:color w:val="7F7F7F" w:themeColor="text1" w:themeTint="80"/>
          <w:sz w:val="21"/>
          <w:szCs w:val="22"/>
          <w:lang w:val="sr-Cyrl-RS"/>
        </w:rPr>
        <w:t xml:space="preserve">Јавни дуг сектора опште државе је у претходних пар година удвостручен, тако да се процењује да ће на крају 2014. године износити око 70% БДП. Уз непромењену фискалну политику ниво дуга би могао да се повећа на преко 85% БДП до 2017. године. Повећање стока дуга последица је дугогодишњих високих дефицита, али и снажног раста отплате гарантованог дуга и трошкова по основу стабилизације финансијског система. Даље одлагање ограничења раста дуга доводи у питање одрживост јавних финансија, односно могућност финансирања расхода, посебно законских обавеза као што су плате, пензије и социјална давања која износе више од 60% укупних јавних расхода, али и даљег сервисирања обавеза по основу дуга. </w:t>
      </w:r>
    </w:p>
    <w:p w:rsidR="00AD5620" w:rsidRPr="00AD5620" w:rsidRDefault="00AD5620" w:rsidP="00AD5620">
      <w:pPr>
        <w:rPr>
          <w:rFonts w:asciiTheme="majorHAnsi" w:eastAsia="Calibri" w:hAnsiTheme="majorHAnsi" w:cs="Calibri"/>
          <w:bCs w:val="0"/>
          <w:color w:val="7F7F7F" w:themeColor="text1" w:themeTint="80"/>
          <w:sz w:val="21"/>
          <w:szCs w:val="22"/>
          <w:lang w:val="sr-Cyrl-RS"/>
        </w:rPr>
      </w:pPr>
      <w:r w:rsidRPr="00AD5620">
        <w:rPr>
          <w:rFonts w:asciiTheme="majorHAnsi" w:eastAsia="Calibri" w:hAnsiTheme="majorHAnsi" w:cs="Calibri"/>
          <w:bCs w:val="0"/>
          <w:color w:val="7F7F7F" w:themeColor="text1" w:themeTint="80"/>
          <w:sz w:val="21"/>
          <w:szCs w:val="22"/>
          <w:lang w:val="sr-Cyrl-RS"/>
        </w:rPr>
        <w:t xml:space="preserve">Значајне мере фискалне консолидације усвојене су са ребалансом буџета још у 2012. години, а примена мера настављена је и у буџету за 2013. годину. Мере су, пре свега, биле на приходној страни, и односиле су се на измену великог броја пореских стопа и укидање значајног броја квазифискалних намета. На расходној страни најзначајнија мера је била ограничавање раста плата у јавном сектору и пензија. Током 2014. године главни инструменти фискалне консолидације били су смањење плата у јавном сектору за запослене са примањима изнад 60.000 РСД, нето и замрзавање запошљавања. Мере фискалне консолидације су дале различите резултате. Са једне стране рестриктивна фискална политика резултирала је падом појединих макроекономских агрегата, тако да је током 2013. и 2014. године дошло до реалног пада личне, државне и инвестиционе потрошње, а дошло је и до јачања нелегалног тржишта, нарочито кад је реч о дуванским прерађевинама. Међутим, у другој половини 2014. године долази до позитивног помака када су се коначно почели испољавати ефекти предузетих мера у виду смањења фискалног дефицита у односу на претходну годину. У периоду јануар - октобар примарни дефицит, односно дефицит умањен за расходе и приходе по основу камата, био је на најнижем нивоу још од 2009. године. Заустављен је раст текућих расхода, дошло је до стабилизације и раста прихода, али је раст камата, расхода за отплату гарантованог дуга и покривање губитака јавних предузећа и државних банака довео до новог раста дефицита и дуга. </w:t>
      </w:r>
    </w:p>
    <w:p w:rsidR="00AD5620" w:rsidRPr="00AD5620" w:rsidRDefault="00AD5620" w:rsidP="00AD5620">
      <w:pPr>
        <w:rPr>
          <w:rFonts w:asciiTheme="majorHAnsi" w:eastAsia="Calibri" w:hAnsiTheme="majorHAnsi" w:cs="Calibri"/>
          <w:bCs w:val="0"/>
          <w:color w:val="7F7F7F" w:themeColor="text1" w:themeTint="80"/>
          <w:sz w:val="21"/>
          <w:szCs w:val="22"/>
          <w:lang w:val="sr-Cyrl-RS"/>
        </w:rPr>
      </w:pPr>
      <w:r w:rsidRPr="00AD5620">
        <w:rPr>
          <w:rFonts w:asciiTheme="majorHAnsi" w:eastAsia="Calibri" w:hAnsiTheme="majorHAnsi" w:cs="Calibri"/>
          <w:bCs w:val="0"/>
          <w:color w:val="7F7F7F" w:themeColor="text1" w:themeTint="80"/>
          <w:sz w:val="21"/>
          <w:szCs w:val="22"/>
          <w:lang w:val="sr-Cyrl-RS"/>
        </w:rPr>
        <w:t>Наставак фискалне консолидације јавних финансија је неминовност, с обзиром на постојећу неодрживу позицију и терет који високи дефицит, ниво дуга и будућа потребна средства за његову отплату представљају за грађане и привреду. Значајна подршка напорима оздрављења јавних финансија требало би да дође од стране ММФ. Склапање аранжмана са овом институцијом додатно ће ојачати кредибилитет политике коју спроводи Влада у домену јавних финансија и обезбедити повољнији статус и перцепцију инвеститора на међународном финансијском тржишту. Да не би дошло до додатног оптерећивања привреде у виду повећања пореских захватања, смањење дефицита ће се у највећој мери заснивати на прилагођавању на страни расхода. Главне мере фискалне консолидације представљаће смањење плата у јавном сектору и пензија и рационализација јавног сектора, пре свега кроз унапређење и корпоративизацију пословања у јавним предузећима. На приходној страни приоритет ће бити борба против сиве економије и пореске евазије, уз што мање измене постојеће пореске политике.</w:t>
      </w:r>
    </w:p>
    <w:p w:rsidR="00AD5620" w:rsidRPr="00AD5620" w:rsidRDefault="00AD5620" w:rsidP="00AD5620">
      <w:pPr>
        <w:rPr>
          <w:rFonts w:asciiTheme="majorHAnsi" w:eastAsia="Calibri" w:hAnsiTheme="majorHAnsi" w:cs="Calibri"/>
          <w:bCs w:val="0"/>
          <w:color w:val="7F7F7F" w:themeColor="text1" w:themeTint="80"/>
          <w:sz w:val="21"/>
          <w:szCs w:val="22"/>
          <w:lang w:val="sr-Cyrl-RS"/>
        </w:rPr>
      </w:pPr>
      <w:r w:rsidRPr="00AD5620">
        <w:rPr>
          <w:rFonts w:asciiTheme="majorHAnsi" w:eastAsia="Calibri" w:hAnsiTheme="majorHAnsi" w:cs="Calibri"/>
          <w:bCs w:val="0"/>
          <w:color w:val="7F7F7F" w:themeColor="text1" w:themeTint="80"/>
          <w:sz w:val="21"/>
          <w:szCs w:val="22"/>
          <w:lang w:val="sr-Cyrl-RS"/>
        </w:rPr>
        <w:t xml:space="preserve">Политика расхода ће бити усмерена на поштовање посебних фискалних правила, која се односе на индексацију плата и пензија, у складу са последњим изменама закона о буџетском систему, али и на даље релативно смањење текућих расхода, нарочито расхода за субвенције и буџетске кредите привреди, по основу очекиваног завршетка процеса реструктурирања и приватизације државних предузећа и подизања ефикасности јавних предузећа. Средњорочни </w:t>
      </w:r>
      <w:r w:rsidRPr="00AD5620">
        <w:rPr>
          <w:rFonts w:asciiTheme="majorHAnsi" w:eastAsia="Calibri" w:hAnsiTheme="majorHAnsi" w:cs="Calibri"/>
          <w:bCs w:val="0"/>
          <w:color w:val="7F7F7F" w:themeColor="text1" w:themeTint="80"/>
          <w:sz w:val="21"/>
          <w:szCs w:val="22"/>
          <w:lang w:val="sr-Cyrl-RS"/>
        </w:rPr>
        <w:lastRenderedPageBreak/>
        <w:t xml:space="preserve">фискални оквир са предложеним мерама фискалне консолидације предвиђа значајно смањење дефицита опште државе на 3,8% БДП до 2017. године, уз стабилизацију нивоа јавног дуга на ниво од 78,7% БДП. Ово подразумева кумулативно прилагођавање на дефициту од око 4% БДП, у периоду од 2014. до 2017. године. </w:t>
      </w:r>
    </w:p>
    <w:p w:rsidR="003F2BA0" w:rsidRPr="00171A80" w:rsidRDefault="00AD5620" w:rsidP="00AD5620">
      <w:pPr>
        <w:spacing w:after="0"/>
        <w:rPr>
          <w:rFonts w:asciiTheme="majorHAnsi" w:eastAsia="Calibri" w:hAnsiTheme="majorHAnsi" w:cs="Times New Roman"/>
          <w:bCs w:val="0"/>
          <w:color w:val="7F7F7F" w:themeColor="text1" w:themeTint="80"/>
          <w:sz w:val="21"/>
          <w:szCs w:val="22"/>
          <w:lang w:val="sr-Cyrl-RS"/>
        </w:rPr>
      </w:pPr>
      <w:r w:rsidRPr="00AD5620">
        <w:rPr>
          <w:rFonts w:asciiTheme="majorHAnsi" w:eastAsia="Calibri" w:hAnsiTheme="majorHAnsi" w:cs="Calibri"/>
          <w:bCs w:val="0"/>
          <w:color w:val="7F7F7F" w:themeColor="text1" w:themeTint="80"/>
          <w:sz w:val="21"/>
          <w:szCs w:val="22"/>
          <w:lang w:val="sr-Cyrl-RS"/>
        </w:rPr>
        <w:t>Спровођење антицикличне фискалне политике, у средњем року, поштовањем принципа фискалне одговорности и дефинисаног средњорочног фискалног оквира, допринеће смањењу учешћа дуга у БДП. У дугом року очекује се даље смањење дуга до нивоа од 45% БДП, у складу са Програмом за смањење јавног дуга. Везано за обухват дуга, у овом поглављу, дуг опште државе не обухвата део јавног дуга по основу реституције, како би се омогућило конзистентно поређење са општим фискалним правилом за дуг</w:t>
      </w:r>
      <w:r w:rsidR="003F2BA0" w:rsidRPr="00171A80">
        <w:rPr>
          <w:rFonts w:asciiTheme="majorHAnsi" w:eastAsia="Calibri" w:hAnsiTheme="majorHAnsi" w:cs="Times New Roman"/>
          <w:bCs w:val="0"/>
          <w:color w:val="7F7F7F" w:themeColor="text1" w:themeTint="80"/>
          <w:sz w:val="21"/>
          <w:szCs w:val="22"/>
          <w:lang w:val="sr-Cyrl-RS"/>
        </w:rPr>
        <w:t>.</w:t>
      </w:r>
    </w:p>
    <w:p w:rsidR="003F2BA0" w:rsidRPr="00171A80" w:rsidRDefault="003F2BA0" w:rsidP="00CF122C">
      <w:pPr>
        <w:ind w:firstLine="0"/>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noProof/>
          <w:color w:val="7F7F7F" w:themeColor="text1" w:themeTint="80"/>
          <w:sz w:val="21"/>
          <w:szCs w:val="22"/>
          <w:lang w:val="en-US"/>
        </w:rPr>
        <mc:AlternateContent>
          <mc:Choice Requires="wps">
            <w:drawing>
              <wp:anchor distT="45720" distB="45720" distL="114300" distR="114300" simplePos="0" relativeHeight="251660288" behindDoc="0" locked="0" layoutInCell="1" allowOverlap="1" wp14:anchorId="3B8A86F2" wp14:editId="4C67C47C">
                <wp:simplePos x="0" y="0"/>
                <wp:positionH relativeFrom="margin">
                  <wp:align>right</wp:align>
                </wp:positionH>
                <wp:positionV relativeFrom="paragraph">
                  <wp:posOffset>212725</wp:posOffset>
                </wp:positionV>
                <wp:extent cx="5657850" cy="28289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828925"/>
                        </a:xfrm>
                        <a:prstGeom prst="rect">
                          <a:avLst/>
                        </a:prstGeom>
                        <a:solidFill>
                          <a:srgbClr val="9BBB59">
                            <a:lumMod val="20000"/>
                            <a:lumOff val="80000"/>
                          </a:srgbClr>
                        </a:solidFill>
                        <a:ln w="9525">
                          <a:solidFill>
                            <a:srgbClr val="000000"/>
                          </a:solidFill>
                          <a:miter lim="800000"/>
                          <a:headEnd/>
                          <a:tailEnd/>
                        </a:ln>
                      </wps:spPr>
                      <wps:txbx>
                        <w:txbxContent>
                          <w:p w:rsidR="00F74EED" w:rsidRPr="0059531B" w:rsidRDefault="00F74EED" w:rsidP="00CF122C">
                            <w:pPr>
                              <w:shd w:val="clear" w:color="auto" w:fill="EAF1DD" w:themeFill="accent3" w:themeFillTint="33"/>
                              <w:tabs>
                                <w:tab w:val="left" w:pos="709"/>
                              </w:tabs>
                              <w:ind w:firstLine="0"/>
                              <w:jc w:val="center"/>
                              <w:rPr>
                                <w:rFonts w:asciiTheme="majorHAnsi" w:eastAsia="Calibri" w:hAnsiTheme="majorHAnsi" w:cs="Times New Roman"/>
                                <w:b/>
                                <w:bCs w:val="0"/>
                                <w:i/>
                                <w:color w:val="7F7F7F" w:themeColor="text1" w:themeTint="80"/>
                                <w:sz w:val="21"/>
                                <w:szCs w:val="21"/>
                                <w:lang w:val="sr-Cyrl-RS"/>
                              </w:rPr>
                            </w:pPr>
                            <w:r w:rsidRPr="0059531B">
                              <w:rPr>
                                <w:rFonts w:asciiTheme="majorHAnsi" w:eastAsia="Calibri" w:hAnsiTheme="majorHAnsi" w:cs="Times New Roman"/>
                                <w:b/>
                                <w:bCs w:val="0"/>
                                <w:i/>
                                <w:color w:val="7F7F7F" w:themeColor="text1" w:themeTint="80"/>
                                <w:sz w:val="21"/>
                                <w:szCs w:val="21"/>
                                <w:lang w:val="sr-Cyrl-RS"/>
                              </w:rPr>
                              <w:t>Измене у методологији</w:t>
                            </w:r>
                          </w:p>
                          <w:p w:rsidR="00F74EED" w:rsidRPr="00AD5620" w:rsidRDefault="00F74EED" w:rsidP="00AD5620">
                            <w:pPr>
                              <w:shd w:val="clear" w:color="auto" w:fill="EAF1DD" w:themeFill="accent3" w:themeFillTint="33"/>
                              <w:tabs>
                                <w:tab w:val="left" w:pos="709"/>
                              </w:tabs>
                              <w:ind w:firstLine="706"/>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 xml:space="preserve">Расходи приказани у овом документу укључују и издатке за набавку финансијске имовине у циљу спровођења јавних политика (економска класификација 621) и највећи део отплате главнице по активираним гаранцијама (економска класификација 613 и 615) који су до сада били класификовани као финансијске трансакције ,,испод црте” и нису улазили у обрачун дефицита. Издаци за набавку финансијске имовине су, у овом документу, приказани у категорији нето буџетске позајмице. У расходе и дефицит нису укључене отплате активираних гаранција за ЈП ,,Путеви Србије”, јер је ово предузеће део опште државе, као и отплата дуга ЕУ 225, јер представља отплату директног дуга. </w:t>
                            </w:r>
                          </w:p>
                          <w:p w:rsidR="00F74EED" w:rsidRPr="0059531B" w:rsidRDefault="00F74EED" w:rsidP="00AD5620">
                            <w:pPr>
                              <w:shd w:val="clear" w:color="auto" w:fill="EAF1DD" w:themeFill="accent3" w:themeFillTint="33"/>
                              <w:tabs>
                                <w:tab w:val="left" w:pos="709"/>
                              </w:tabs>
                              <w:ind w:firstLine="706"/>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У односу на претходне фискалне стратегије, разлика је и у исказивању расхода за запослене и прихода по основу социјалних доприноса. У претходним фискалним стратегијама на расходној и приходној страни нису приказивани доприноси на терет послодавца, односно приходи и расходи су приказивани по нето принципу. Овакав начин исказивања није имао утицај на дефицит јер је реч о истом износу, али је смањивао ниво прихода и расхода. У овој фискалној стратегији расходи за запослене и приходи по основу социјалних доприноса приказани су по бруто принципу</w:t>
                            </w:r>
                            <w:r w:rsidRPr="0059531B">
                              <w:rPr>
                                <w:rFonts w:asciiTheme="majorHAnsi" w:eastAsia="Calibri" w:hAnsiTheme="majorHAnsi" w:cs="Times New Roman"/>
                                <w:bCs w:val="0"/>
                                <w:color w:val="7F7F7F" w:themeColor="text1" w:themeTint="80"/>
                                <w:sz w:val="21"/>
                                <w:szCs w:val="21"/>
                                <w:lang w:val="sr-Cyrl-RS"/>
                              </w:rPr>
                              <w:t>.</w:t>
                            </w:r>
                          </w:p>
                          <w:p w:rsidR="00F74EED" w:rsidRPr="00B41670" w:rsidRDefault="00F74EED" w:rsidP="003F2BA0">
                            <w:pPr>
                              <w:pStyle w:val="IFS2012tekst"/>
                              <w:rPr>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A86F2" id="Text Box 6" o:spid="_x0000_s1034" type="#_x0000_t202" style="position:absolute;left:0;text-align:left;margin-left:394.3pt;margin-top:16.75pt;width:445.5pt;height:222.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" fillcolor="#ebf1de">
                <v:textbox>
                  <w:txbxContent>
                    <w:p w:rsidR="00F74EED" w:rsidRPr="0059531B" w:rsidRDefault="00F74EED" w:rsidP="00CF122C">
                      <w:pPr>
                        <w:shd w:val="clear" w:color="auto" w:fill="EAF1DD" w:themeFill="accent3" w:themeFillTint="33"/>
                        <w:tabs>
                          <w:tab w:val="left" w:pos="709"/>
                        </w:tabs>
                        <w:ind w:firstLine="0"/>
                        <w:jc w:val="center"/>
                        <w:rPr>
                          <w:rFonts w:asciiTheme="majorHAnsi" w:eastAsia="Calibri" w:hAnsiTheme="majorHAnsi" w:cs="Times New Roman"/>
                          <w:b/>
                          <w:bCs w:val="0"/>
                          <w:i/>
                          <w:color w:val="7F7F7F" w:themeColor="text1" w:themeTint="80"/>
                          <w:sz w:val="21"/>
                          <w:szCs w:val="21"/>
                          <w:lang w:val="sr-Cyrl-RS"/>
                        </w:rPr>
                      </w:pPr>
                      <w:r w:rsidRPr="0059531B">
                        <w:rPr>
                          <w:rFonts w:asciiTheme="majorHAnsi" w:eastAsia="Calibri" w:hAnsiTheme="majorHAnsi" w:cs="Times New Roman"/>
                          <w:b/>
                          <w:bCs w:val="0"/>
                          <w:i/>
                          <w:color w:val="7F7F7F" w:themeColor="text1" w:themeTint="80"/>
                          <w:sz w:val="21"/>
                          <w:szCs w:val="21"/>
                          <w:lang w:val="sr-Cyrl-RS"/>
                        </w:rPr>
                        <w:t>Измене у методологији</w:t>
                      </w:r>
                    </w:p>
                    <w:p w:rsidR="00F74EED" w:rsidRPr="00AD5620" w:rsidRDefault="00F74EED" w:rsidP="00AD5620">
                      <w:pPr>
                        <w:shd w:val="clear" w:color="auto" w:fill="EAF1DD" w:themeFill="accent3" w:themeFillTint="33"/>
                        <w:tabs>
                          <w:tab w:val="left" w:pos="709"/>
                        </w:tabs>
                        <w:ind w:firstLine="706"/>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 xml:space="preserve">Расходи приказани у овом документу укључују и издатке за набавку финансијске имовине у циљу спровођења јавних политика (економска класификација 621) и највећи део отплате главнице по активираним гаранцијама (економска класификација 613 и 615) који су до сада били класификовани као финансијске трансакције ,,испод црте” и нису улазили у обрачун дефицита. Издаци за набавку финансијске имовине су, у овом документу, приказани у категорији нето буџетске позајмице. У расходе и дефицит нису укључене отплате активираних гаранција за ЈП ,,Путеви Србије”, јер је ово предузеће део опште државе, као и отплата дуга ЕУ 225, јер представља отплату директног дуга. </w:t>
                      </w:r>
                    </w:p>
                    <w:p w:rsidR="00F74EED" w:rsidRPr="0059531B" w:rsidRDefault="00F74EED" w:rsidP="00AD5620">
                      <w:pPr>
                        <w:shd w:val="clear" w:color="auto" w:fill="EAF1DD" w:themeFill="accent3" w:themeFillTint="33"/>
                        <w:tabs>
                          <w:tab w:val="left" w:pos="709"/>
                        </w:tabs>
                        <w:ind w:firstLine="706"/>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У односу на претходне фискалне стратегије, разлика је и у исказивању расхода за запослене и прихода по основу социјалних доприноса. У претходним фискалним стратегијама на расходној и приходној страни нису приказивани доприноси на терет послодавца, односно приходи и расходи су приказивани по нето принципу. Овакав начин исказивања није имао утицај на дефицит јер је реч о истом износу, али је смањивао ниво прихода и расхода. У овој фискалној стратегији расходи за запослене и приходи по основу социјалних доприноса приказани су по бруто принципу</w:t>
                      </w:r>
                      <w:r w:rsidRPr="0059531B">
                        <w:rPr>
                          <w:rFonts w:asciiTheme="majorHAnsi" w:eastAsia="Calibri" w:hAnsiTheme="majorHAnsi" w:cs="Times New Roman"/>
                          <w:bCs w:val="0"/>
                          <w:color w:val="7F7F7F" w:themeColor="text1" w:themeTint="80"/>
                          <w:sz w:val="21"/>
                          <w:szCs w:val="21"/>
                          <w:lang w:val="sr-Cyrl-RS"/>
                        </w:rPr>
                        <w:t>.</w:t>
                      </w:r>
                    </w:p>
                    <w:p w:rsidR="00F74EED" w:rsidRPr="00B41670" w:rsidRDefault="00F74EED" w:rsidP="003F2BA0">
                      <w:pPr>
                        <w:pStyle w:val="IFS2012tekst"/>
                        <w:rPr>
                          <w:lang w:val="sr-Cyrl-RS"/>
                        </w:rPr>
                      </w:pPr>
                    </w:p>
                  </w:txbxContent>
                </v:textbox>
                <w10:wrap type="square" anchorx="margin"/>
              </v:shape>
            </w:pict>
          </mc:Fallback>
        </mc:AlternateContent>
      </w:r>
    </w:p>
    <w:p w:rsidR="005A473C" w:rsidRPr="00171A80" w:rsidRDefault="005A473C" w:rsidP="00544292">
      <w:pPr>
        <w:pStyle w:val="IFS2012tekst"/>
        <w:spacing w:after="0"/>
        <w:rPr>
          <w:rFonts w:asciiTheme="majorHAnsi" w:hAnsiTheme="majorHAnsi"/>
          <w:color w:val="7F7F7F" w:themeColor="text1" w:themeTint="80"/>
          <w:lang w:val="sr-Cyrl-RS"/>
        </w:rPr>
      </w:pPr>
    </w:p>
    <w:p w:rsidR="00A71B27" w:rsidRPr="00FC4747" w:rsidRDefault="00A71B27" w:rsidP="003274D9">
      <w:pPr>
        <w:pStyle w:val="IFS2012Naslov2"/>
        <w:rPr>
          <w:b/>
          <w:lang w:val="sr-Cyrl-RS"/>
        </w:rPr>
      </w:pPr>
      <w:bookmarkStart w:id="30" w:name="_Toc407617163"/>
      <w:r w:rsidRPr="00171A80">
        <w:rPr>
          <w:lang w:val="sr-Cyrl-RS"/>
        </w:rPr>
        <w:t>Фискални оквир у периоду од 201</w:t>
      </w:r>
      <w:r w:rsidR="00C37371" w:rsidRPr="00171A80">
        <w:rPr>
          <w:lang w:val="sr-Cyrl-RS"/>
        </w:rPr>
        <w:t>5</w:t>
      </w:r>
      <w:r w:rsidRPr="00171A80">
        <w:rPr>
          <w:lang w:val="sr-Cyrl-RS"/>
        </w:rPr>
        <w:t>. до 201</w:t>
      </w:r>
      <w:r w:rsidR="00C37371" w:rsidRPr="00171A80">
        <w:rPr>
          <w:lang w:val="sr-Cyrl-RS"/>
        </w:rPr>
        <w:t>7</w:t>
      </w:r>
      <w:r w:rsidRPr="00171A80">
        <w:rPr>
          <w:lang w:val="sr-Cyrl-RS"/>
        </w:rPr>
        <w:t>. године</w:t>
      </w:r>
      <w:bookmarkEnd w:id="28"/>
      <w:bookmarkEnd w:id="29"/>
      <w:bookmarkEnd w:id="30"/>
    </w:p>
    <w:p w:rsidR="00FC4747" w:rsidRPr="00171A80" w:rsidRDefault="00FC4747" w:rsidP="003274D9">
      <w:pPr>
        <w:pStyle w:val="IFS2012Naslov2"/>
        <w:numPr>
          <w:ilvl w:val="0"/>
          <w:numId w:val="0"/>
        </w:numPr>
        <w:ind w:left="714"/>
        <w:rPr>
          <w:lang w:val="sr-Cyrl-RS"/>
        </w:rPr>
      </w:pPr>
    </w:p>
    <w:p w:rsidR="00A71B27" w:rsidRPr="00171A80" w:rsidRDefault="00A71B27" w:rsidP="00FC4747">
      <w:pPr>
        <w:pStyle w:val="Heading3"/>
        <w:numPr>
          <w:ilvl w:val="1"/>
          <w:numId w:val="2"/>
        </w:numPr>
        <w:spacing w:before="0" w:after="0"/>
        <w:ind w:left="357" w:hanging="357"/>
        <w:rPr>
          <w:rFonts w:asciiTheme="majorHAnsi" w:hAnsiTheme="majorHAnsi"/>
          <w:b w:val="0"/>
          <w:lang w:val="sr-Cyrl-RS"/>
        </w:rPr>
      </w:pPr>
      <w:bookmarkStart w:id="31" w:name="_Toc293498373"/>
      <w:bookmarkStart w:id="32" w:name="_Toc337117121"/>
      <w:bookmarkStart w:id="33" w:name="_Toc407617164"/>
      <w:r w:rsidRPr="00171A80">
        <w:rPr>
          <w:rFonts w:asciiTheme="majorHAnsi" w:hAnsiTheme="majorHAnsi"/>
          <w:b w:val="0"/>
          <w:lang w:val="sr-Cyrl-RS"/>
        </w:rPr>
        <w:t>Фискална кретања у 201</w:t>
      </w:r>
      <w:r w:rsidR="00C37371" w:rsidRPr="00171A80">
        <w:rPr>
          <w:rFonts w:asciiTheme="majorHAnsi" w:hAnsiTheme="majorHAnsi"/>
          <w:b w:val="0"/>
          <w:lang w:val="sr-Cyrl-RS"/>
        </w:rPr>
        <w:t>3</w:t>
      </w:r>
      <w:r w:rsidRPr="00171A80">
        <w:rPr>
          <w:rFonts w:asciiTheme="majorHAnsi" w:hAnsiTheme="majorHAnsi"/>
          <w:b w:val="0"/>
          <w:lang w:val="sr-Cyrl-RS"/>
        </w:rPr>
        <w:t xml:space="preserve">. </w:t>
      </w:r>
      <w:r w:rsidR="003F2BA0" w:rsidRPr="00171A80">
        <w:rPr>
          <w:rFonts w:asciiTheme="majorHAnsi" w:hAnsiTheme="majorHAnsi"/>
          <w:b w:val="0"/>
          <w:lang w:val="sr-Cyrl-RS"/>
        </w:rPr>
        <w:t>и</w:t>
      </w:r>
      <w:r w:rsidRPr="00171A80">
        <w:rPr>
          <w:rFonts w:asciiTheme="majorHAnsi" w:hAnsiTheme="majorHAnsi"/>
          <w:b w:val="0"/>
          <w:lang w:val="sr-Cyrl-RS"/>
        </w:rPr>
        <w:t xml:space="preserve"> 201</w:t>
      </w:r>
      <w:r w:rsidR="00C37371" w:rsidRPr="00171A80">
        <w:rPr>
          <w:rFonts w:asciiTheme="majorHAnsi" w:hAnsiTheme="majorHAnsi"/>
          <w:b w:val="0"/>
          <w:lang w:val="sr-Cyrl-RS"/>
        </w:rPr>
        <w:t>4</w:t>
      </w:r>
      <w:r w:rsidRPr="00171A80">
        <w:rPr>
          <w:rFonts w:asciiTheme="majorHAnsi" w:hAnsiTheme="majorHAnsi"/>
          <w:b w:val="0"/>
          <w:lang w:val="sr-Cyrl-RS"/>
        </w:rPr>
        <w:t>. годин</w:t>
      </w:r>
      <w:bookmarkEnd w:id="31"/>
      <w:bookmarkEnd w:id="32"/>
      <w:r w:rsidR="003F2BA0" w:rsidRPr="00171A80">
        <w:rPr>
          <w:rFonts w:asciiTheme="majorHAnsi" w:hAnsiTheme="majorHAnsi"/>
          <w:b w:val="0"/>
          <w:lang w:val="sr-Cyrl-RS"/>
        </w:rPr>
        <w:t>и</w:t>
      </w:r>
      <w:bookmarkEnd w:id="33"/>
    </w:p>
    <w:p w:rsidR="003F2BA0" w:rsidRPr="00171A80" w:rsidRDefault="003F2BA0" w:rsidP="00FC4747">
      <w:pPr>
        <w:spacing w:after="0"/>
        <w:rPr>
          <w:rFonts w:asciiTheme="majorHAnsi" w:hAnsiTheme="majorHAnsi"/>
          <w:lang w:val="sr-Cyrl-RS"/>
        </w:rPr>
      </w:pP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Крајем 2012. године усвојен је први значајнији пакет мера фискалне консолидације. Мере су се углавном односиле на приходну страну, с обзиром да је повећан велики број пореских стопа. На расходној страни главне мере су биле ограничавање раста плата и пензија, укидање сопствених прихода буџетских корисника, рационализација расхода за робе и услуге и субвенције. Развојна страна овог пакета се односила на привлачење инвестиција и решавање проблема ликвидности у привреди. План је био амбициозан с обзиром да је предвиђао смањење дефицита за око 2,5% БДП у првој години. Иако је раст БДП био већи од очекиваног (2,6% уместо 2,0%), пројекције прихода се нису оствариле. Главне компоненте раста су биле извоз и пољопривреда који нису приходно издашни у кратком року. Са друге стране, многобројне промене пореске политике негативно су утицале на потрошњу, изазивајући, између осталог, јачање сиве економије. Дефицит је, ипак, смањен за 1,7% БДП, а неке од тада уведених мера исказаће свој пуни ефекат у другој половини 2014. године. Током 2013. године измењене су стопе доприноса за пензијско и инвалидско осигурање (у даљем тексту: ПИО) и пореза на зараде тако да је део средстава преусмерен са буџета локалних самоуправа на буџет Републике Србије. Ова мера је уведена с циљем да се реши неравноправна расподела прихода, односно вишак средстава на локалном нивоу у односу на висок дефицит буџета Републике Србије.</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 xml:space="preserve">Буџетом Републике Србије за 2014. годину настављено је рестриктивно деловање фискалне политике. Уведено је смањење зарада запосленима који примају више од 60.000 РСД, </w:t>
      </w:r>
      <w:r w:rsidRPr="00AD5620">
        <w:rPr>
          <w:rFonts w:asciiTheme="majorHAnsi" w:eastAsia="Calibri" w:hAnsiTheme="majorHAnsi" w:cs="Times New Roman"/>
          <w:bCs w:val="0"/>
          <w:color w:val="7F7F7F" w:themeColor="text1" w:themeTint="80"/>
          <w:sz w:val="21"/>
          <w:szCs w:val="21"/>
          <w:lang w:val="sr-Cyrl-RS"/>
        </w:rPr>
        <w:lastRenderedPageBreak/>
        <w:t xml:space="preserve">нето и износ тог смањења је уплаћиван у буџет као непорески приход. Уведена је строга контрола запошљавања са циљем смањења броја запослених путем природног одлива. Осим тога наставило се са рационализацијом дискреционих расхода, поготово роба и услуга и субвенција. На приходној страни повећана је посебна стопа ПДВ са 8% на 10%, а значајни резултати су се очекивали од борбе против сиве економије. На расходној страни, међутим, све већи значај имају расходи по основу камата, решавање проблема у јавним предузећима и финансијском сектору тако да је и циљани дефицит веома висок. Током 2014. године, због спровођења ванредних парламентарних избора и последица катастрофалних мајских поплава, расходи су додатно повећани, а издвојена су и додатна средства за финансирање проблематичних делова јавног сектора. </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 xml:space="preserve">Мере фискалне консолидације нису дале очекивани резултат код одређених пореских категорија. То се пре свега односи на ПДВ и акцизе на дуванске прерађевине. Што се тиче ПДВ, приходи су нижи од очекиваних по више основа. С једне стране и даље постоји ниска куповна моћ становништва, наслеђена из ранијег периода, што се одражава на потрошњу домаћинства, а с друге стране, услед поплава које су се догодиле у мају, дошло је до смањења домаће производње, што такође утиче на смањење тражње. Такође, дошло је до промене у структури потрошње јер је тражња за домаћим производима супституисана робом из увоза што се одразило на наплату ПДВ из увоза, који је у првих десет месеци текуће у односу на прошлу годину остварио номинални и реални раст од 10,4% и 8,1%, респективно, док је смањена домаћа производња утицала на мањи наплаћени бруто и нето домаћи ПДВ. </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 xml:space="preserve">Ове године је и даље присутан подбачај наплате акциза на дуванске прерађевине, упркос све већој борби против сивог тржишта чији се ефекти могу видети у другој половини 2014. године. Код акциза на нафтне деривате је остварен пребачај у односу на иницијални буџет, иако није дошло до драстичног повећања потрошње. Раст је углавном резултат увођења маркирања горива чиме се обезбеђује квалитет и контрола промета горива и елиминише сиво тржиште. Номинални и реални раст у односу на претходну годину је износио 19,3% и 16,8%, респективно, што је и констатовано ребалансом буџета. Код осталих акциза забележен је подбачај услед мање потрошње одређених акцизних производа и ниже индексације услед ниске инфлације. </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 xml:space="preserve">Приходи од пореза на доходак, чији највећи део чини порез на зараде, су мањи у номиналном и реалном износу у односу на прошлу годину услед смањења стопе и повећања неопорезивог дела, са чим се рачунало у иницијалној пројекцији за 2014. годину. Неповољна кретања привредне активности и запослености утицала су на подбачај ових прихода у односу на план. На крају, смањење зарада у јавном сектору од децембра 2014. године још више ће смањити приход од пореза на доходак. Слична ситуација је и са социјалним доприносима с обзиром да највише зависе од кретања масе зарада у привреди. </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 xml:space="preserve">Ефекат нове пореске стопе, која се примењује од 2013. године (повећање са 10% на 15%) код пореза на добит правних лица, остварио се у пуној мери. У првих десет месеци 2014. године у односу на исти период 2013. године забележен је номинални и реални раст од 33% и 30,3%, респективно. </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Приходи од царина су се остварили у вишем износу у односу на иницијални буџет као резултат кретања увоза као основне детерминанте прихода од царина. Приходи од царина се смањују сваке године услед примене ССП и осталих споразума о слободној трговини. С обзиром да се усклађивање царинских стопа приводи крају и самим тим постепено мењају годишњи ефекти примене ССП, у наредним годинама може се очекивати стабилизација прихода од царина и заустављање њиховог пада.</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 xml:space="preserve">У оквиру категорије остали порески приходи, највећи пораст је остварио порез на имовину, који спада у приход локалних самоуправа, који је остварио номинални и реални раст од 59,6% и 56,3%, респективно, у односу на првих десет месеци 2013. године, што је последица новог начина обрачуна и укључивања накнаде за коришћење грађевинског земљишта у ову пореску категорију. </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lastRenderedPageBreak/>
        <w:t>Редовни непорески приходи остварени су више у односу на план приказан у буџету, уз мале разлике у структури. Код ванредних непореских прихода, веома хетерогених по својој структури, очекује се боља наплата, али и другачија структура (уплата дивиденде НИС, повећање обавезе уплате добити јавних предузећа са 50% на 70% итд.).</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Очекивани приход по основу донација повећан је за 2,3 млрд динара на 9 млрд динара, уз знатно измењену структуру. Док су у буџету преовлађивала средства из ИПА фондова, до чије реализације у знатној мери није дошло, сада су укључена средства у износу од 4,5 млрд динара по основу помоћи за обнову поплављених подручја.</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 xml:space="preserve">На расходној страни дошло је до промене тенденција из претходних година. Раст расхода за запослене и пензије је заустављен, камате су категорија са најснажнијим растом, а повећана су издавања за државна предузећа и стабилизацију финансијског сектора. </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Кретање расхода за запослене резултат је редовне индексације појединачних зарада током године (0,5% у априлу), кретања запослености у сектору државе и динамике осталих расхода за запослене (накнаде трошкова, социјална давања, награде и сл.), али и пооштрене политике у погледу новог запошљавања. Новим економским мерама предвиђене су уштеде на расходној страни, укључујући и смањење расхода за плате и пензије. Сходно томе, редовна индексација предвиђена за октобар је изостала.</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Средства утрошена за отплату камата су реално виша за 18,8% у односу на исти период претходне године. Ови расходи постају све већа ставка и наставиће да расту и у наредном периоду, као последица високог јавног дуга и релативно високих каматних стопа по којима се држава задужује.</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Субвенције исплаћене у периоду јануар-октобар 2014. године реално су ниже у односу на исти период 2013. године за 2,7%. Да би се добила реална слика о кретању ове категорије потребно је истаћи значајно другачију динамику исплата субвенција у пољопривреди, чији је износ у посматраном периоду ове године значајно већи, као и износ субвенција ЈП ,,Путеви Србије”, док су субвенције које се исплаћују са локалног нивоа власти, као и субвенције приватним предузећима и за „Железнице Србије” а.д. ниже у односу на посматрани период прошле године. Такође, од ове године исплаћују се субвенције за јавне сервисе.</w:t>
      </w:r>
    </w:p>
    <w:p w:rsidR="00AD5620" w:rsidRPr="00AD562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Капитални расходи у периоду јануар - октобар 2014. године су реално виши за 6,1%, у односу на исти период 2013. године, али је извршење ових расхода значајно ниже од иницијално предвиђеног износа. Ово се посебно односи на пројектне зајмове. Ребалансом су предвиђене значајније уштеде на овој категорији расхода.</w:t>
      </w:r>
    </w:p>
    <w:p w:rsidR="003F2BA0" w:rsidRPr="00171A80" w:rsidRDefault="00AD5620" w:rsidP="00AD5620">
      <w:pPr>
        <w:rPr>
          <w:rFonts w:asciiTheme="majorHAnsi" w:eastAsia="Calibri" w:hAnsiTheme="majorHAnsi" w:cs="Times New Roman"/>
          <w:bCs w:val="0"/>
          <w:color w:val="7F7F7F" w:themeColor="text1" w:themeTint="80"/>
          <w:sz w:val="21"/>
          <w:szCs w:val="21"/>
          <w:lang w:val="sr-Cyrl-RS"/>
        </w:rPr>
      </w:pPr>
      <w:r w:rsidRPr="00AD5620">
        <w:rPr>
          <w:rFonts w:asciiTheme="majorHAnsi" w:eastAsia="Calibri" w:hAnsiTheme="majorHAnsi" w:cs="Times New Roman"/>
          <w:bCs w:val="0"/>
          <w:color w:val="7F7F7F" w:themeColor="text1" w:themeTint="80"/>
          <w:sz w:val="21"/>
          <w:szCs w:val="21"/>
          <w:lang w:val="sr-Cyrl-RS"/>
        </w:rPr>
        <w:t>У наредној табели приказани су приходи, расходи и фискални дефицит. Прва колона представља иницијални план прихода, расхода и дефицита на основу Закона о буџету Републике Србије за 2014. годину и усвојене Фискалне стратегије за 2014. годину са пројекцијама за 2015. и 2016. годину, друга колона представља процену на основу усвојеног ребаланса, затим следи извршење за првих десет месеци 2014. године. Подаци не укључују приходе и расходе индиректних буџетских корисника</w:t>
      </w:r>
      <w:r w:rsidR="003F2BA0" w:rsidRPr="00171A80">
        <w:rPr>
          <w:rFonts w:asciiTheme="majorHAnsi" w:eastAsia="Calibri" w:hAnsiTheme="majorHAnsi" w:cs="Times New Roman"/>
          <w:bCs w:val="0"/>
          <w:color w:val="7F7F7F" w:themeColor="text1" w:themeTint="80"/>
          <w:sz w:val="21"/>
          <w:szCs w:val="21"/>
          <w:lang w:val="sr-Cyrl-RS"/>
        </w:rPr>
        <w:t>.</w:t>
      </w:r>
    </w:p>
    <w:p w:rsidR="003F2BA0" w:rsidRPr="00171A80" w:rsidRDefault="003F2BA0">
      <w:pPr>
        <w:spacing w:after="0"/>
        <w:ind w:firstLine="0"/>
        <w:jc w:val="left"/>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color w:val="7F7F7F" w:themeColor="text1" w:themeTint="80"/>
          <w:sz w:val="21"/>
          <w:szCs w:val="21"/>
          <w:lang w:val="sr-Cyrl-RS"/>
        </w:rPr>
        <w:br w:type="page"/>
      </w:r>
    </w:p>
    <w:p w:rsidR="003F2BA0" w:rsidRPr="00171A80" w:rsidRDefault="003F2BA0" w:rsidP="00FC4747">
      <w:pPr>
        <w:ind w:firstLine="0"/>
        <w:jc w:val="left"/>
        <w:rPr>
          <w:rFonts w:asciiTheme="majorHAnsi" w:eastAsia="Calibri" w:hAnsiTheme="majorHAnsi" w:cs="Times New Roman"/>
          <w:b/>
          <w:bCs w:val="0"/>
          <w:color w:val="7F7F7F" w:themeColor="text1" w:themeTint="80"/>
          <w:sz w:val="21"/>
          <w:szCs w:val="21"/>
          <w:lang w:val="sr-Cyrl-RS"/>
        </w:rPr>
      </w:pPr>
      <w:r w:rsidRPr="00171A80">
        <w:rPr>
          <w:rFonts w:asciiTheme="majorHAnsi" w:eastAsia="Calibri" w:hAnsiTheme="majorHAnsi" w:cs="Times New Roman"/>
          <w:b/>
          <w:bCs w:val="0"/>
          <w:color w:val="7F7F7F" w:themeColor="text1" w:themeTint="80"/>
          <w:sz w:val="21"/>
          <w:szCs w:val="21"/>
          <w:lang w:val="sr-Cyrl-RS"/>
        </w:rPr>
        <w:lastRenderedPageBreak/>
        <w:t xml:space="preserve">Табела </w:t>
      </w:r>
      <w:r w:rsidR="003F6B80" w:rsidRPr="00171A80">
        <w:rPr>
          <w:rFonts w:asciiTheme="majorHAnsi" w:eastAsia="Calibri" w:hAnsiTheme="majorHAnsi" w:cs="Times New Roman"/>
          <w:b/>
          <w:bCs w:val="0"/>
          <w:color w:val="7F7F7F" w:themeColor="text1" w:themeTint="80"/>
          <w:sz w:val="21"/>
          <w:szCs w:val="21"/>
          <w:lang w:val="sr-Cyrl-RS"/>
        </w:rPr>
        <w:t>5</w:t>
      </w:r>
      <w:r w:rsidRPr="00171A80">
        <w:rPr>
          <w:rFonts w:asciiTheme="majorHAnsi" w:eastAsia="Calibri" w:hAnsiTheme="majorHAnsi" w:cs="Times New Roman"/>
          <w:b/>
          <w:bCs w:val="0"/>
          <w:color w:val="7F7F7F" w:themeColor="text1" w:themeTint="80"/>
          <w:sz w:val="21"/>
          <w:szCs w:val="21"/>
          <w:lang w:val="sr-Cyrl-RS"/>
        </w:rPr>
        <w:t>. Приходи, расходи и резултат сектора држ</w:t>
      </w:r>
      <w:r w:rsidR="00C07453" w:rsidRPr="00171A80">
        <w:rPr>
          <w:rFonts w:asciiTheme="majorHAnsi" w:eastAsia="Calibri" w:hAnsiTheme="majorHAnsi" w:cs="Times New Roman"/>
          <w:b/>
          <w:bCs w:val="0"/>
          <w:color w:val="7F7F7F" w:themeColor="text1" w:themeTint="80"/>
          <w:sz w:val="21"/>
          <w:szCs w:val="21"/>
          <w:lang w:val="sr-Cyrl-RS"/>
        </w:rPr>
        <w:t xml:space="preserve">аве у 2014. години – иницијални </w:t>
      </w:r>
      <w:r w:rsidRPr="00171A80">
        <w:rPr>
          <w:rFonts w:asciiTheme="majorHAnsi" w:eastAsia="Calibri" w:hAnsiTheme="majorHAnsi" w:cs="Times New Roman"/>
          <w:b/>
          <w:bCs w:val="0"/>
          <w:color w:val="7F7F7F" w:themeColor="text1" w:themeTint="80"/>
          <w:sz w:val="21"/>
          <w:szCs w:val="21"/>
          <w:lang w:val="sr-Cyrl-RS"/>
        </w:rPr>
        <w:t xml:space="preserve">буџет, </w:t>
      </w:r>
      <w:r w:rsidR="000C6FC1" w:rsidRPr="00171A80">
        <w:rPr>
          <w:rFonts w:asciiTheme="majorHAnsi" w:eastAsia="Calibri" w:hAnsiTheme="majorHAnsi" w:cs="Times New Roman"/>
          <w:b/>
          <w:bCs w:val="0"/>
          <w:color w:val="7F7F7F" w:themeColor="text1" w:themeTint="80"/>
          <w:sz w:val="21"/>
          <w:szCs w:val="21"/>
          <w:lang w:val="sr-Cyrl-RS"/>
        </w:rPr>
        <w:t xml:space="preserve">процена заснована на </w:t>
      </w:r>
      <w:r w:rsidRPr="00171A80">
        <w:rPr>
          <w:rFonts w:asciiTheme="majorHAnsi" w:eastAsia="Calibri" w:hAnsiTheme="majorHAnsi" w:cs="Times New Roman"/>
          <w:b/>
          <w:bCs w:val="0"/>
          <w:color w:val="7F7F7F" w:themeColor="text1" w:themeTint="80"/>
          <w:sz w:val="21"/>
          <w:szCs w:val="21"/>
          <w:lang w:val="sr-Cyrl-RS"/>
        </w:rPr>
        <w:t>ребаланс</w:t>
      </w:r>
      <w:r w:rsidR="000C6FC1" w:rsidRPr="00171A80">
        <w:rPr>
          <w:rFonts w:asciiTheme="majorHAnsi" w:eastAsia="Calibri" w:hAnsiTheme="majorHAnsi" w:cs="Times New Roman"/>
          <w:b/>
          <w:bCs w:val="0"/>
          <w:color w:val="7F7F7F" w:themeColor="text1" w:themeTint="80"/>
          <w:sz w:val="21"/>
          <w:szCs w:val="21"/>
          <w:lang w:val="sr-Cyrl-RS"/>
        </w:rPr>
        <w:t>у</w:t>
      </w:r>
      <w:r w:rsidRPr="00171A80">
        <w:rPr>
          <w:rFonts w:asciiTheme="majorHAnsi" w:eastAsia="Calibri" w:hAnsiTheme="majorHAnsi" w:cs="Times New Roman"/>
          <w:b/>
          <w:bCs w:val="0"/>
          <w:color w:val="7F7F7F" w:themeColor="text1" w:themeTint="80"/>
          <w:sz w:val="21"/>
          <w:szCs w:val="21"/>
          <w:lang w:val="sr-Cyrl-RS"/>
        </w:rPr>
        <w:t xml:space="preserve"> и изврше</w:t>
      </w:r>
      <w:r w:rsidR="00885174" w:rsidRPr="00171A80">
        <w:rPr>
          <w:rFonts w:asciiTheme="majorHAnsi" w:eastAsia="Calibri" w:hAnsiTheme="majorHAnsi" w:cs="Times New Roman"/>
          <w:b/>
          <w:bCs w:val="0"/>
          <w:color w:val="7F7F7F" w:themeColor="text1" w:themeTint="80"/>
          <w:sz w:val="21"/>
          <w:szCs w:val="21"/>
          <w:lang w:val="sr-Cyrl-RS"/>
        </w:rPr>
        <w:t>ње у првих десет месеци, у млрд</w:t>
      </w:r>
      <w:r w:rsidRPr="00171A80">
        <w:rPr>
          <w:rFonts w:asciiTheme="majorHAnsi" w:eastAsia="Calibri" w:hAnsiTheme="majorHAnsi" w:cs="Times New Roman"/>
          <w:b/>
          <w:bCs w:val="0"/>
          <w:color w:val="7F7F7F" w:themeColor="text1" w:themeTint="80"/>
          <w:sz w:val="21"/>
          <w:szCs w:val="21"/>
          <w:lang w:val="sr-Cyrl-RS"/>
        </w:rPr>
        <w:t xml:space="preserve"> РСД:</w:t>
      </w:r>
    </w:p>
    <w:p w:rsidR="003F2BA0" w:rsidRPr="00171A80" w:rsidRDefault="003F2BA0" w:rsidP="003F2BA0">
      <w:pPr>
        <w:keepNext/>
        <w:widowControl w:val="0"/>
        <w:ind w:firstLine="0"/>
        <w:rPr>
          <w:rFonts w:asciiTheme="majorHAnsi" w:eastAsia="Calibri" w:hAnsiTheme="majorHAnsi" w:cs="Times New Roman"/>
          <w:bCs w:val="0"/>
          <w:color w:val="7F7F7F" w:themeColor="text1" w:themeTint="80"/>
          <w:sz w:val="18"/>
          <w:szCs w:val="18"/>
          <w:lang w:val="sr-Cyrl-RS"/>
        </w:rPr>
      </w:pPr>
      <w:r w:rsidRPr="00DD4986">
        <w:rPr>
          <w:rFonts w:asciiTheme="majorHAnsi" w:eastAsia="Calibri" w:hAnsiTheme="majorHAnsi" w:cs="Times New Roman"/>
          <w:b/>
          <w:bCs w:val="0"/>
          <w:color w:val="7F7F7F" w:themeColor="text1" w:themeTint="80"/>
          <w:sz w:val="18"/>
          <w:szCs w:val="18"/>
          <w:lang w:val="sr-Cyrl-RS"/>
        </w:rPr>
        <w:t>Извор:</w:t>
      </w:r>
      <w:r w:rsidRPr="00171A80">
        <w:rPr>
          <w:rFonts w:asciiTheme="majorHAnsi" w:eastAsia="Calibri" w:hAnsiTheme="majorHAnsi" w:cs="Times New Roman"/>
          <w:bCs w:val="0"/>
          <w:color w:val="7F7F7F" w:themeColor="text1" w:themeTint="80"/>
          <w:sz w:val="18"/>
          <w:szCs w:val="18"/>
          <w:lang w:val="sr-Cyrl-RS"/>
        </w:rPr>
        <w:t xml:space="preserve"> МФИН</w:t>
      </w:r>
    </w:p>
    <w:tbl>
      <w:tblPr>
        <w:tblStyle w:val="LightShading-Accent33"/>
        <w:tblpPr w:leftFromText="180" w:rightFromText="180" w:vertAnchor="text" w:horzAnchor="margin" w:tblpY="-367"/>
        <w:tblW w:w="4871" w:type="pct"/>
        <w:tblLayout w:type="fixed"/>
        <w:tblLook w:val="0420" w:firstRow="1" w:lastRow="0" w:firstColumn="0" w:lastColumn="0" w:noHBand="0" w:noVBand="1"/>
      </w:tblPr>
      <w:tblGrid>
        <w:gridCol w:w="3759"/>
        <w:gridCol w:w="1678"/>
        <w:gridCol w:w="1678"/>
        <w:gridCol w:w="1678"/>
      </w:tblGrid>
      <w:tr w:rsidR="003F2BA0" w:rsidRPr="00171A80" w:rsidTr="00CC5D84">
        <w:trPr>
          <w:cnfStyle w:val="100000000000" w:firstRow="1" w:lastRow="0" w:firstColumn="0" w:lastColumn="0" w:oddVBand="0" w:evenVBand="0" w:oddHBand="0" w:evenHBand="0" w:firstRowFirstColumn="0" w:firstRowLastColumn="0" w:lastRowFirstColumn="0" w:lastRowLastColumn="0"/>
          <w:trHeight w:val="700"/>
        </w:trPr>
        <w:tc>
          <w:tcPr>
            <w:tcW w:w="2137" w:type="pct"/>
            <w:noWrap/>
          </w:tcPr>
          <w:p w:rsidR="003F2BA0" w:rsidRPr="00171A80" w:rsidRDefault="003F2BA0" w:rsidP="003F2BA0">
            <w:pPr>
              <w:keepNext/>
              <w:widowControl w:val="0"/>
              <w:jc w:val="center"/>
              <w:rPr>
                <w:rFonts w:asciiTheme="majorHAnsi" w:eastAsia="Constantia" w:hAnsiTheme="majorHAnsi" w:cs="Times New Roman"/>
                <w:bCs/>
                <w:sz w:val="20"/>
                <w:szCs w:val="20"/>
                <w:lang w:val="sr-Cyrl-RS"/>
              </w:rPr>
            </w:pPr>
          </w:p>
        </w:tc>
        <w:tc>
          <w:tcPr>
            <w:tcW w:w="954" w:type="pct"/>
            <w:noWrap/>
            <w:vAlign w:val="center"/>
          </w:tcPr>
          <w:p w:rsidR="003F2BA0" w:rsidRPr="00171A80" w:rsidRDefault="003F2BA0" w:rsidP="000C6FC1">
            <w:pPr>
              <w:keepNext/>
              <w:widowControl w:val="0"/>
              <w:ind w:firstLine="0"/>
              <w:jc w:val="center"/>
              <w:rPr>
                <w:rFonts w:asciiTheme="majorHAnsi" w:eastAsia="Calibri" w:hAnsiTheme="majorHAnsi" w:cs="Times New Roman"/>
                <w:bCs/>
                <w:color w:val="7F7F7F" w:themeColor="text1" w:themeTint="80"/>
                <w:sz w:val="20"/>
                <w:szCs w:val="20"/>
                <w:lang w:val="sr-Cyrl-RS"/>
              </w:rPr>
            </w:pPr>
            <w:r w:rsidRPr="00171A80">
              <w:rPr>
                <w:rFonts w:asciiTheme="majorHAnsi" w:eastAsia="Calibri" w:hAnsiTheme="majorHAnsi" w:cs="Times New Roman"/>
                <w:bCs/>
                <w:color w:val="7F7F7F" w:themeColor="text1" w:themeTint="80"/>
                <w:sz w:val="20"/>
                <w:szCs w:val="20"/>
                <w:lang w:val="sr-Cyrl-RS"/>
              </w:rPr>
              <w:t>буџет</w:t>
            </w:r>
          </w:p>
        </w:tc>
        <w:tc>
          <w:tcPr>
            <w:tcW w:w="954" w:type="pct"/>
            <w:vAlign w:val="center"/>
          </w:tcPr>
          <w:p w:rsidR="000C6FC1" w:rsidRPr="00171A80" w:rsidRDefault="000C6FC1" w:rsidP="000C6FC1">
            <w:pPr>
              <w:keepNext/>
              <w:widowControl w:val="0"/>
              <w:ind w:firstLine="0"/>
              <w:jc w:val="center"/>
              <w:rPr>
                <w:rFonts w:asciiTheme="majorHAnsi" w:eastAsia="Calibri" w:hAnsiTheme="majorHAnsi" w:cs="Times New Roman"/>
                <w:bCs/>
                <w:color w:val="7F7F7F" w:themeColor="text1" w:themeTint="80"/>
                <w:sz w:val="20"/>
                <w:szCs w:val="20"/>
                <w:lang w:val="sr-Cyrl-RS"/>
              </w:rPr>
            </w:pPr>
            <w:r w:rsidRPr="00171A80">
              <w:rPr>
                <w:rFonts w:asciiTheme="majorHAnsi" w:eastAsia="Calibri" w:hAnsiTheme="majorHAnsi" w:cs="Times New Roman"/>
                <w:bCs/>
                <w:color w:val="7F7F7F" w:themeColor="text1" w:themeTint="80"/>
                <w:sz w:val="20"/>
                <w:szCs w:val="20"/>
                <w:lang w:val="sr-Cyrl-RS"/>
              </w:rPr>
              <w:t>п</w:t>
            </w:r>
            <w:r w:rsidR="003F2BA0" w:rsidRPr="00171A80">
              <w:rPr>
                <w:rFonts w:asciiTheme="majorHAnsi" w:eastAsia="Calibri" w:hAnsiTheme="majorHAnsi" w:cs="Times New Roman"/>
                <w:bCs/>
                <w:color w:val="7F7F7F" w:themeColor="text1" w:themeTint="80"/>
                <w:sz w:val="20"/>
                <w:szCs w:val="20"/>
                <w:lang w:val="sr-Cyrl-RS"/>
              </w:rPr>
              <w:t>роцена</w:t>
            </w:r>
          </w:p>
          <w:p w:rsidR="003F2BA0" w:rsidRPr="00171A80" w:rsidRDefault="000C6FC1" w:rsidP="000C6FC1">
            <w:pPr>
              <w:keepNext/>
              <w:widowControl w:val="0"/>
              <w:ind w:firstLine="0"/>
              <w:jc w:val="center"/>
              <w:rPr>
                <w:rFonts w:asciiTheme="majorHAnsi" w:eastAsia="Calibri" w:hAnsiTheme="majorHAnsi" w:cs="Times New Roman"/>
                <w:bCs/>
                <w:color w:val="7F7F7F" w:themeColor="text1" w:themeTint="80"/>
                <w:sz w:val="20"/>
                <w:szCs w:val="20"/>
                <w:lang w:val="sr-Cyrl-RS"/>
              </w:rPr>
            </w:pPr>
            <w:r w:rsidRPr="00171A80">
              <w:rPr>
                <w:rFonts w:asciiTheme="majorHAnsi" w:eastAsia="Calibri" w:hAnsiTheme="majorHAnsi" w:cs="Times New Roman"/>
                <w:bCs/>
                <w:color w:val="7F7F7F" w:themeColor="text1" w:themeTint="80"/>
                <w:sz w:val="20"/>
                <w:szCs w:val="20"/>
                <w:lang w:val="sr-Cyrl-RS"/>
              </w:rPr>
              <w:t>(на основу ребаланса)</w:t>
            </w:r>
          </w:p>
        </w:tc>
        <w:tc>
          <w:tcPr>
            <w:tcW w:w="954" w:type="pct"/>
            <w:vAlign w:val="center"/>
          </w:tcPr>
          <w:p w:rsidR="003F2BA0" w:rsidRPr="00171A80" w:rsidRDefault="003F2BA0" w:rsidP="000C6FC1">
            <w:pPr>
              <w:keepNext/>
              <w:widowControl w:val="0"/>
              <w:ind w:firstLine="0"/>
              <w:jc w:val="center"/>
              <w:rPr>
                <w:rFonts w:asciiTheme="majorHAnsi" w:eastAsia="Calibri" w:hAnsiTheme="majorHAnsi" w:cs="Times New Roman"/>
                <w:bCs/>
                <w:color w:val="7F7F7F" w:themeColor="text1" w:themeTint="80"/>
                <w:sz w:val="20"/>
                <w:szCs w:val="20"/>
                <w:lang w:val="sr-Cyrl-RS"/>
              </w:rPr>
            </w:pPr>
            <w:r w:rsidRPr="00171A80">
              <w:rPr>
                <w:rFonts w:asciiTheme="majorHAnsi" w:eastAsia="Calibri" w:hAnsiTheme="majorHAnsi" w:cs="Times New Roman"/>
                <w:bCs/>
                <w:color w:val="7F7F7F" w:themeColor="text1" w:themeTint="80"/>
                <w:sz w:val="20"/>
                <w:szCs w:val="20"/>
                <w:lang w:val="sr-Cyrl-RS"/>
              </w:rPr>
              <w:t>извршење јануар-октобар</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ЈАВНИ ПРИХОДИ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1.656,5</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1.589,2</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1.305,4</w:t>
            </w:r>
          </w:p>
        </w:tc>
      </w:tr>
      <w:tr w:rsidR="003F2BA0" w:rsidRPr="00171A80" w:rsidTr="00CC5D84">
        <w:trPr>
          <w:trHeight w:hRule="exact" w:val="246"/>
        </w:trPr>
        <w:tc>
          <w:tcPr>
            <w:tcW w:w="2137" w:type="pct"/>
            <w:noWrap/>
          </w:tcPr>
          <w:p w:rsidR="003F2BA0" w:rsidRPr="00171A80" w:rsidRDefault="003F2BA0" w:rsidP="003F2BA0">
            <w:pPr>
              <w:keepNext/>
              <w:widowControl w:val="0"/>
              <w:ind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Текући приходи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1.649,8</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1.580,2</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1.291,0</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left="113"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Порески приходи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1.492,3</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1.418,6</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1.172,3</w:t>
            </w:r>
          </w:p>
        </w:tc>
      </w:tr>
      <w:tr w:rsidR="003F2BA0" w:rsidRPr="00171A80" w:rsidTr="00CC5D84">
        <w:trPr>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Порез на доходак грађана</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156,2</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143,2</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117,3</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Порез на добит правних лица</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65,8</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75,5</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64,4</w:t>
            </w:r>
          </w:p>
        </w:tc>
      </w:tr>
      <w:tr w:rsidR="003F2BA0" w:rsidRPr="00171A80" w:rsidTr="00CC5D84">
        <w:trPr>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Порез на додату вредност</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430,0</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398,1</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335,0</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Акцизе</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227,6</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211,2</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171,5</w:t>
            </w:r>
          </w:p>
        </w:tc>
      </w:tr>
      <w:tr w:rsidR="003F2BA0" w:rsidRPr="00171A80" w:rsidTr="00CC5D84">
        <w:trPr>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Царине</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29,5</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31,0</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25,4</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Остали порески приходи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55,5</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54,3</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43,8</w:t>
            </w:r>
          </w:p>
        </w:tc>
      </w:tr>
      <w:tr w:rsidR="003F2BA0" w:rsidRPr="00171A80" w:rsidTr="00CC5D84">
        <w:trPr>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Доприноси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527,6</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505,4</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415,0</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Непорески приходи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157,5</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161,6</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125,8</w:t>
            </w:r>
          </w:p>
        </w:tc>
      </w:tr>
      <w:tr w:rsidR="003F2BA0" w:rsidRPr="00171A80" w:rsidTr="00CC5D84">
        <w:trPr>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Донације</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6,7</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9,0</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7,3</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ЈАВНИ РАСХОДИ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1.946,4</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1.897,5</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1.462,0</w:t>
            </w:r>
          </w:p>
        </w:tc>
      </w:tr>
      <w:tr w:rsidR="003F2BA0" w:rsidRPr="00171A80" w:rsidTr="00CC5D84">
        <w:trPr>
          <w:trHeight w:hRule="exact" w:val="246"/>
        </w:trPr>
        <w:tc>
          <w:tcPr>
            <w:tcW w:w="2137" w:type="pct"/>
            <w:noWrap/>
          </w:tcPr>
          <w:p w:rsidR="003F2BA0" w:rsidRPr="00171A80" w:rsidRDefault="003F2BA0" w:rsidP="003F2BA0">
            <w:pPr>
              <w:keepNext/>
              <w:widowControl w:val="0"/>
              <w:ind w:left="113"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Текући расходи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1.720,3</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1.711,5</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1.361,2</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Расходи за запослене</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486,9</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460,8</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378,0</w:t>
            </w:r>
          </w:p>
        </w:tc>
      </w:tr>
      <w:tr w:rsidR="003F2BA0" w:rsidRPr="00171A80" w:rsidTr="00CC5D84">
        <w:trPr>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Куповина робе и услуга</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263,9</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252,8</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190,7</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Отплата камата</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119,8</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118,4</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99,6</w:t>
            </w:r>
          </w:p>
        </w:tc>
      </w:tr>
      <w:tr w:rsidR="003F2BA0" w:rsidRPr="00171A80" w:rsidTr="00CC5D84">
        <w:trPr>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Субвенције</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103,1</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116,4</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77,8</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5"/>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Социјална помоћ и трансфери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706,2</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702,1</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573,9</w:t>
            </w:r>
          </w:p>
        </w:tc>
      </w:tr>
      <w:tr w:rsidR="003F2BA0" w:rsidRPr="00171A80" w:rsidTr="00CC5D84">
        <w:trPr>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од чега пензије</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512,6</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507,3</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423,0</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Остали текући расходи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40,3</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61,4</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41,2</w:t>
            </w:r>
          </w:p>
        </w:tc>
      </w:tr>
      <w:tr w:rsidR="003F2BA0" w:rsidRPr="00171A80" w:rsidTr="00CC5D84">
        <w:trPr>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Капитални расходи</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132,5</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102,4</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69,9</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Нето буџетске позајмице</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61,3</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50,7</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11,5</w:t>
            </w:r>
          </w:p>
        </w:tc>
      </w:tr>
      <w:tr w:rsidR="003F2BA0" w:rsidRPr="00171A80" w:rsidTr="00CC5D84">
        <w:trPr>
          <w:trHeight w:hRule="exact" w:val="246"/>
        </w:trPr>
        <w:tc>
          <w:tcPr>
            <w:tcW w:w="2137" w:type="pct"/>
            <w:noWrap/>
          </w:tcPr>
          <w:p w:rsidR="003F2BA0" w:rsidRPr="00171A80" w:rsidRDefault="003F2BA0" w:rsidP="003F2BA0">
            <w:pPr>
              <w:keepNext/>
              <w:widowControl w:val="0"/>
              <w:ind w:left="340"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Активиране гаранције</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32,3</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32,9</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19,4</w:t>
            </w:r>
          </w:p>
        </w:tc>
      </w:tr>
      <w:tr w:rsidR="003F2BA0" w:rsidRPr="00171A80" w:rsidTr="00CC5D84">
        <w:trPr>
          <w:cnfStyle w:val="000000100000" w:firstRow="0" w:lastRow="0" w:firstColumn="0" w:lastColumn="0" w:oddVBand="0" w:evenVBand="0" w:oddHBand="1" w:evenHBand="0" w:firstRowFirstColumn="0" w:firstRowLastColumn="0" w:lastRowFirstColumn="0" w:lastRowLastColumn="0"/>
          <w:trHeight w:hRule="exact" w:val="246"/>
        </w:trPr>
        <w:tc>
          <w:tcPr>
            <w:tcW w:w="2137" w:type="pct"/>
            <w:noWrap/>
          </w:tcPr>
          <w:p w:rsidR="003F2BA0" w:rsidRPr="00171A80" w:rsidRDefault="003F2BA0" w:rsidP="003F2BA0">
            <w:pPr>
              <w:keepNext/>
              <w:widowControl w:val="0"/>
              <w:ind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Резултат</w:t>
            </w:r>
          </w:p>
        </w:tc>
        <w:tc>
          <w:tcPr>
            <w:tcW w:w="954" w:type="pct"/>
            <w:noWrap/>
          </w:tcPr>
          <w:p w:rsidR="003F2BA0" w:rsidRPr="00171A80" w:rsidRDefault="003F2BA0" w:rsidP="003F2BA0">
            <w:pPr>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-289,9</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-308,3</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-156,6</w:t>
            </w:r>
          </w:p>
        </w:tc>
      </w:tr>
      <w:tr w:rsidR="003F2BA0" w:rsidRPr="00171A80" w:rsidTr="00CC5D84">
        <w:trPr>
          <w:trHeight w:hRule="exact" w:val="246"/>
        </w:trPr>
        <w:tc>
          <w:tcPr>
            <w:tcW w:w="2137" w:type="pct"/>
            <w:noWrap/>
          </w:tcPr>
          <w:p w:rsidR="003F2BA0" w:rsidRPr="00171A80" w:rsidRDefault="003F2BA0" w:rsidP="003F2BA0">
            <w:pPr>
              <w:keepNext/>
              <w:widowControl w:val="0"/>
              <w:ind w:firstLine="0"/>
              <w:jc w:val="lef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Резултат у % БДП</w:t>
            </w:r>
          </w:p>
        </w:tc>
        <w:tc>
          <w:tcPr>
            <w:tcW w:w="954" w:type="pct"/>
            <w:noWrap/>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-7,5</w:t>
            </w:r>
          </w:p>
        </w:tc>
        <w:tc>
          <w:tcPr>
            <w:tcW w:w="954" w:type="pct"/>
          </w:tcPr>
          <w:p w:rsidR="003F2BA0" w:rsidRPr="00171A80" w:rsidRDefault="003F2BA0" w:rsidP="003F2BA0">
            <w:pPr>
              <w:keepNext/>
              <w:widowControl w:val="0"/>
              <w:jc w:val="right"/>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-7,9</w:t>
            </w:r>
          </w:p>
        </w:tc>
        <w:tc>
          <w:tcPr>
            <w:tcW w:w="954" w:type="pct"/>
          </w:tcPr>
          <w:p w:rsidR="003F2BA0" w:rsidRPr="00171A80" w:rsidRDefault="003F2BA0" w:rsidP="003F2BA0">
            <w:pPr>
              <w:keepNext/>
              <w:widowControl w:val="0"/>
              <w:jc w:val="center"/>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w:t>
            </w:r>
          </w:p>
        </w:tc>
      </w:tr>
    </w:tbl>
    <w:p w:rsidR="003F2BA0" w:rsidRPr="00171A80" w:rsidRDefault="00181E08" w:rsidP="000C6FC1">
      <w:pPr>
        <w:ind w:firstLine="708"/>
        <w:rPr>
          <w:rFonts w:asciiTheme="majorHAnsi" w:eastAsia="Calibri" w:hAnsiTheme="majorHAnsi" w:cs="Times New Roman"/>
          <w:bCs w:val="0"/>
          <w:color w:val="7F7F7F" w:themeColor="text1" w:themeTint="80"/>
          <w:sz w:val="21"/>
          <w:szCs w:val="21"/>
          <w:lang w:val="sr-Cyrl-RS"/>
        </w:rPr>
      </w:pPr>
      <w:r w:rsidRPr="00181E08">
        <w:rPr>
          <w:rFonts w:asciiTheme="majorHAnsi" w:eastAsia="Calibri" w:hAnsiTheme="majorHAnsi" w:cs="Times New Roman"/>
          <w:bCs w:val="0"/>
          <w:color w:val="7F7F7F" w:themeColor="text1" w:themeTint="80"/>
          <w:sz w:val="21"/>
          <w:szCs w:val="21"/>
          <w:lang w:val="sr-Cyrl-RS"/>
        </w:rPr>
        <w:t>Према процени на основу ребаланса, консолидовани дефицит сектора државе ће бити већи за око 0,4% БДП од дефицита који је првобитно планиран за 2014. годину, пре свега због нижег остварења прихода од очекиваног. На ниже остварење прихода највише су утицали следећи фактори</w:t>
      </w:r>
      <w:r w:rsidR="00CC5D84" w:rsidRPr="00CC5D84">
        <w:rPr>
          <w:rFonts w:asciiTheme="majorHAnsi" w:eastAsia="Calibri" w:hAnsiTheme="majorHAnsi" w:cs="Times New Roman"/>
          <w:bCs w:val="0"/>
          <w:color w:val="7F7F7F" w:themeColor="text1" w:themeTint="80"/>
          <w:sz w:val="21"/>
          <w:szCs w:val="21"/>
          <w:lang w:val="sr-Cyrl-RS"/>
        </w:rPr>
        <w:t>:</w:t>
      </w:r>
    </w:p>
    <w:p w:rsidR="00CC5D84" w:rsidRPr="00CC5D84" w:rsidRDefault="00181E08" w:rsidP="001C4B30">
      <w:pPr>
        <w:pStyle w:val="ListParagraph"/>
        <w:numPr>
          <w:ilvl w:val="0"/>
          <w:numId w:val="28"/>
        </w:numPr>
        <w:spacing w:before="0"/>
        <w:ind w:left="714" w:hanging="357"/>
        <w:contextualSpacing w:val="0"/>
        <w:rPr>
          <w:rFonts w:asciiTheme="majorHAnsi" w:hAnsiTheme="majorHAnsi"/>
          <w:color w:val="7F7F7F" w:themeColor="text1" w:themeTint="80"/>
          <w:sz w:val="21"/>
          <w:szCs w:val="21"/>
          <w:lang w:val="sr-Cyrl-RS"/>
        </w:rPr>
      </w:pPr>
      <w:r w:rsidRPr="00181E08">
        <w:rPr>
          <w:rFonts w:asciiTheme="majorHAnsi" w:hAnsiTheme="majorHAnsi"/>
          <w:bCs/>
          <w:color w:val="7F7F7F" w:themeColor="text1" w:themeTint="80"/>
          <w:sz w:val="21"/>
          <w:szCs w:val="21"/>
          <w:lang w:val="sr-Cyrl-RS"/>
        </w:rPr>
        <w:t>спорији номинални раст личне потрошње делом изазван нижом инфлацијом</w:t>
      </w:r>
      <w:r w:rsidR="00CC5D84" w:rsidRPr="00CC5D84">
        <w:rPr>
          <w:rFonts w:asciiTheme="majorHAnsi" w:hAnsiTheme="majorHAnsi"/>
          <w:color w:val="7F7F7F" w:themeColor="text1" w:themeTint="80"/>
          <w:sz w:val="21"/>
          <w:szCs w:val="21"/>
          <w:lang w:val="sr-Cyrl-RS"/>
        </w:rPr>
        <w:t>;</w:t>
      </w:r>
    </w:p>
    <w:p w:rsidR="00CC5D84" w:rsidRPr="00CC5D84" w:rsidRDefault="00181E08" w:rsidP="001C4B30">
      <w:pPr>
        <w:pStyle w:val="ListParagraph"/>
        <w:numPr>
          <w:ilvl w:val="0"/>
          <w:numId w:val="28"/>
        </w:numPr>
        <w:spacing w:line="240" w:lineRule="auto"/>
        <w:ind w:left="714" w:hanging="357"/>
        <w:contextualSpacing w:val="0"/>
        <w:rPr>
          <w:rFonts w:asciiTheme="majorHAnsi" w:hAnsiTheme="majorHAnsi"/>
          <w:color w:val="7F7F7F" w:themeColor="text1" w:themeTint="80"/>
          <w:sz w:val="21"/>
          <w:szCs w:val="21"/>
          <w:lang w:val="sr-Cyrl-RS"/>
        </w:rPr>
      </w:pPr>
      <w:r w:rsidRPr="00181E08">
        <w:rPr>
          <w:rFonts w:asciiTheme="majorHAnsi" w:hAnsiTheme="majorHAnsi"/>
          <w:bCs/>
          <w:color w:val="7F7F7F" w:themeColor="text1" w:themeTint="80"/>
          <w:sz w:val="21"/>
          <w:szCs w:val="21"/>
          <w:lang w:val="sr-Cyrl-RS"/>
        </w:rPr>
        <w:t>неповољан развој макроекономског окружења чему су значајно допринеле поплаве из маја (процена за буџет је била реални раст БДП од 1%, а тренутна процена је пад од 2%</w:t>
      </w:r>
      <w:r w:rsidR="00CC5D84" w:rsidRPr="00CC5D84">
        <w:rPr>
          <w:rFonts w:asciiTheme="majorHAnsi" w:hAnsiTheme="majorHAnsi"/>
          <w:color w:val="7F7F7F" w:themeColor="text1" w:themeTint="80"/>
          <w:sz w:val="21"/>
          <w:szCs w:val="21"/>
          <w:lang w:val="sr-Cyrl-RS"/>
        </w:rPr>
        <w:t>);</w:t>
      </w:r>
    </w:p>
    <w:p w:rsidR="003F2BA0" w:rsidRPr="00171A80" w:rsidRDefault="00CC5D84" w:rsidP="00CC5D84">
      <w:pPr>
        <w:pStyle w:val="ListParagraph"/>
        <w:numPr>
          <w:ilvl w:val="0"/>
          <w:numId w:val="28"/>
        </w:numPr>
        <w:spacing w:before="0"/>
        <w:rPr>
          <w:rFonts w:asciiTheme="majorHAnsi" w:hAnsiTheme="majorHAnsi"/>
          <w:color w:val="7F7F7F" w:themeColor="text1" w:themeTint="80"/>
          <w:sz w:val="21"/>
          <w:szCs w:val="21"/>
          <w:lang w:val="sr-Cyrl-RS"/>
        </w:rPr>
      </w:pPr>
      <w:r w:rsidRPr="00CC5D84">
        <w:rPr>
          <w:rFonts w:asciiTheme="majorHAnsi" w:hAnsiTheme="majorHAnsi"/>
          <w:color w:val="7F7F7F" w:themeColor="text1" w:themeTint="80"/>
          <w:sz w:val="21"/>
          <w:szCs w:val="21"/>
          <w:lang w:val="sr-Cyrl-RS"/>
        </w:rPr>
        <w:t>раст активности на сивом тржишту, посебно</w:t>
      </w:r>
      <w:r>
        <w:rPr>
          <w:rFonts w:asciiTheme="majorHAnsi" w:hAnsiTheme="majorHAnsi"/>
          <w:color w:val="7F7F7F" w:themeColor="text1" w:themeTint="80"/>
          <w:sz w:val="21"/>
          <w:szCs w:val="21"/>
          <w:lang w:val="sr-Cyrl-RS"/>
        </w:rPr>
        <w:t xml:space="preserve"> на тржишту дуванских производа</w:t>
      </w:r>
      <w:r w:rsidR="00885174" w:rsidRPr="00171A80">
        <w:rPr>
          <w:rFonts w:asciiTheme="majorHAnsi" w:hAnsiTheme="majorHAnsi"/>
          <w:color w:val="7F7F7F" w:themeColor="text1" w:themeTint="80"/>
          <w:sz w:val="21"/>
          <w:szCs w:val="21"/>
          <w:lang w:val="sr-Cyrl-RS"/>
        </w:rPr>
        <w:t>.</w:t>
      </w:r>
    </w:p>
    <w:p w:rsidR="00CC5D84" w:rsidRPr="00CC5D84" w:rsidRDefault="00181E08" w:rsidP="00CC5D84">
      <w:pPr>
        <w:rPr>
          <w:rFonts w:asciiTheme="majorHAnsi" w:eastAsia="Calibri" w:hAnsiTheme="majorHAnsi" w:cs="Times New Roman"/>
          <w:bCs w:val="0"/>
          <w:color w:val="7F7F7F" w:themeColor="text1" w:themeTint="80"/>
          <w:sz w:val="21"/>
          <w:szCs w:val="21"/>
          <w:lang w:val="sr-Cyrl-RS"/>
        </w:rPr>
      </w:pPr>
      <w:r w:rsidRPr="00181E08">
        <w:rPr>
          <w:rFonts w:asciiTheme="majorHAnsi" w:eastAsia="Calibri" w:hAnsiTheme="majorHAnsi" w:cs="Times New Roman"/>
          <w:bCs w:val="0"/>
          <w:color w:val="7F7F7F" w:themeColor="text1" w:themeTint="80"/>
          <w:sz w:val="21"/>
          <w:szCs w:val="21"/>
          <w:lang w:val="sr-Cyrl-RS"/>
        </w:rPr>
        <w:t>Нижи приходи иницирали су потребу за прилагођавањем на расходној страни, с обзиром да ново повећање пореских стопа не би имало ефекта. Очекивани ефекат мера на расходној страни у 2014. години је смањење консолидованих расхода од око 1,3% БДП. Највеће смањење се очекује код капиталних расхода и буџетских кредита, расхода за запослене, пензија и расхода за куповину роба и услуга</w:t>
      </w:r>
      <w:r w:rsidR="00CC5D84" w:rsidRPr="00CC5D84">
        <w:rPr>
          <w:rFonts w:asciiTheme="majorHAnsi" w:eastAsia="Calibri" w:hAnsiTheme="majorHAnsi" w:cs="Times New Roman"/>
          <w:bCs w:val="0"/>
          <w:color w:val="7F7F7F" w:themeColor="text1" w:themeTint="80"/>
          <w:sz w:val="21"/>
          <w:szCs w:val="21"/>
          <w:lang w:val="sr-Cyrl-RS"/>
        </w:rPr>
        <w:t>.</w:t>
      </w:r>
    </w:p>
    <w:p w:rsidR="003F2BA0" w:rsidRPr="00171A80" w:rsidRDefault="00181E08" w:rsidP="005E5E59">
      <w:pPr>
        <w:rPr>
          <w:rFonts w:asciiTheme="majorHAnsi" w:eastAsia="Calibri" w:hAnsiTheme="majorHAnsi" w:cs="Times New Roman"/>
          <w:bCs w:val="0"/>
          <w:color w:val="7F7F7F" w:themeColor="text1" w:themeTint="80"/>
          <w:sz w:val="21"/>
          <w:szCs w:val="21"/>
          <w:lang w:val="sr-Cyrl-RS"/>
        </w:rPr>
      </w:pPr>
      <w:r w:rsidRPr="00181E08">
        <w:rPr>
          <w:rFonts w:asciiTheme="majorHAnsi" w:eastAsia="Calibri" w:hAnsiTheme="majorHAnsi" w:cs="Times New Roman"/>
          <w:bCs w:val="0"/>
          <w:color w:val="7F7F7F" w:themeColor="text1" w:themeTint="80"/>
          <w:sz w:val="21"/>
          <w:szCs w:val="21"/>
          <w:lang w:val="sr-Cyrl-RS"/>
        </w:rPr>
        <w:t xml:space="preserve">Што се тиче буџета Републике Србије, ребалансом су предвиђени већи расходи од око 0,2% БДП. Највећи пораст предвиђен је на субвенцијама, и то субвенцијама у привреди (субвенционисане камате) и код осталих текућих расхода (за трошкове избора и надокнаду штете због поплава). Смањењем стопе доприноса за здравствено осигурање са 12,3% на 10,3%, настала је потреба да се недостајућа средства надокнаде трансферима из буџета Републике Србије што је обухваћено ребалансом буџета за 2014. годину. Са друге стране, изменом стопа </w:t>
      </w:r>
      <w:r w:rsidRPr="00181E08">
        <w:rPr>
          <w:rFonts w:asciiTheme="majorHAnsi" w:eastAsia="Calibri" w:hAnsiTheme="majorHAnsi" w:cs="Times New Roman"/>
          <w:bCs w:val="0"/>
          <w:color w:val="7F7F7F" w:themeColor="text1" w:themeTint="80"/>
          <w:sz w:val="21"/>
          <w:szCs w:val="21"/>
          <w:lang w:val="sr-Cyrl-RS"/>
        </w:rPr>
        <w:lastRenderedPageBreak/>
        <w:t>доприноса за пензијско и инвалидско осигурање са 24% на 26% смањене су потребе за дотацијама Фонду ПИО из буџета, што је омогућило додатну уштеду од око 5 млрд динара. Пун ефекат мера на расходној страни се очекује у 2015. години</w:t>
      </w:r>
      <w:r w:rsidR="00CC5D84" w:rsidRPr="00CC5D84">
        <w:rPr>
          <w:rFonts w:asciiTheme="majorHAnsi" w:eastAsia="Calibri" w:hAnsiTheme="majorHAnsi" w:cs="Times New Roman"/>
          <w:bCs w:val="0"/>
          <w:color w:val="7F7F7F" w:themeColor="text1" w:themeTint="80"/>
          <w:sz w:val="21"/>
          <w:szCs w:val="21"/>
          <w:lang w:val="sr-Cyrl-RS"/>
        </w:rPr>
        <w:t>.</w:t>
      </w:r>
    </w:p>
    <w:p w:rsidR="00CF122C" w:rsidRPr="00171A80" w:rsidRDefault="00CF122C" w:rsidP="00544292">
      <w:pPr>
        <w:spacing w:after="0"/>
        <w:ind w:firstLine="0"/>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
          <w:bCs w:val="0"/>
          <w:i/>
          <w:noProof/>
          <w:color w:val="7F7F7F" w:themeColor="text1" w:themeTint="80"/>
          <w:szCs w:val="22"/>
          <w:lang w:val="en-US"/>
        </w:rPr>
        <mc:AlternateContent>
          <mc:Choice Requires="wps">
            <w:drawing>
              <wp:inline distT="0" distB="0" distL="0" distR="0" wp14:anchorId="43E9A954" wp14:editId="7611E503">
                <wp:extent cx="5686425" cy="123825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38250"/>
                        </a:xfrm>
                        <a:prstGeom prst="rect">
                          <a:avLst/>
                        </a:prstGeom>
                        <a:solidFill>
                          <a:srgbClr val="9BBB59">
                            <a:lumMod val="20000"/>
                            <a:lumOff val="80000"/>
                          </a:srgbClr>
                        </a:solidFill>
                        <a:ln w="9525">
                          <a:solidFill>
                            <a:srgbClr val="000000"/>
                          </a:solidFill>
                          <a:miter lim="800000"/>
                          <a:headEnd/>
                          <a:tailEnd/>
                        </a:ln>
                      </wps:spPr>
                      <wps:txbx>
                        <w:txbxContent>
                          <w:p w:rsidR="00F74EED" w:rsidRPr="00F742D2" w:rsidRDefault="00F74EED" w:rsidP="00CF122C">
                            <w:pPr>
                              <w:tabs>
                                <w:tab w:val="left" w:pos="709"/>
                              </w:tabs>
                              <w:ind w:firstLine="706"/>
                              <w:rPr>
                                <w:rFonts w:asciiTheme="majorHAnsi" w:eastAsia="Calibri" w:hAnsiTheme="majorHAnsi" w:cs="Times New Roman"/>
                                <w:bCs w:val="0"/>
                                <w:color w:val="7F7F7F" w:themeColor="text1" w:themeTint="80"/>
                                <w:sz w:val="21"/>
                                <w:szCs w:val="21"/>
                                <w:lang w:val="sr-Cyrl-RS"/>
                              </w:rPr>
                            </w:pPr>
                            <w:r>
                              <w:rPr>
                                <w:lang w:val="sr-Cyrl-RS"/>
                              </w:rPr>
                              <w:t xml:space="preserve"> </w:t>
                            </w:r>
                            <w:r w:rsidRPr="00181E08">
                              <w:rPr>
                                <w:rFonts w:asciiTheme="majorHAnsi" w:eastAsia="Calibri" w:hAnsiTheme="majorHAnsi" w:cs="Times New Roman"/>
                                <w:bCs w:val="0"/>
                                <w:color w:val="7F7F7F" w:themeColor="text1" w:themeTint="80"/>
                                <w:sz w:val="21"/>
                                <w:szCs w:val="21"/>
                                <w:lang w:val="sr-Cyrl-RS"/>
                              </w:rPr>
                              <w:t>Процена дефицита за 2014. годину урађена је у сарадњи са ММФ и базирана је на ребалансу републичког буџета из октобра. Фискална кретања из новембра и очекивања за децембар указују да ће дефицит опште државе бити знатно нижи од очекиваног, и да ће се наћи на нивоу од 6,5% БДП. Главни разлог за ово одступање је немогућност извршења буџетираних расхода, пре свега роба и услуга и капиталних издатака, услед кратких рокова за јавне набавке. Поред нижих расхода, очекује се да приходи буду нешто виши него што је планирано</w:t>
                            </w:r>
                            <w:r w:rsidRPr="00CC5D84">
                              <w:rPr>
                                <w:rFonts w:asciiTheme="majorHAnsi" w:eastAsia="Calibri" w:hAnsiTheme="majorHAnsi" w:cs="Times New Roman"/>
                                <w:bCs w:val="0"/>
                                <w:color w:val="7F7F7F" w:themeColor="text1" w:themeTint="80"/>
                                <w:sz w:val="21"/>
                                <w:szCs w:val="21"/>
                                <w:lang w:val="sr-Cyrl-RS"/>
                              </w:rPr>
                              <w:t>.</w:t>
                            </w:r>
                          </w:p>
                        </w:txbxContent>
                      </wps:txbx>
                      <wps:bodyPr rot="0" vert="horz" wrap="square" lIns="91440" tIns="45720" rIns="91440" bIns="45720" anchor="t" anchorCtr="0">
                        <a:noAutofit/>
                      </wps:bodyPr>
                    </wps:wsp>
                  </a:graphicData>
                </a:graphic>
              </wp:inline>
            </w:drawing>
          </mc:Choice>
          <mc:Fallback>
            <w:pict>
              <v:shape w14:anchorId="43E9A954" id="Text Box 2" o:spid="_x0000_s1035" type="#_x0000_t202" style="width:447.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" fillcolor="#ebf1de">
                <v:textbox>
                  <w:txbxContent>
                    <w:p w:rsidR="00F74EED" w:rsidRPr="00F742D2" w:rsidRDefault="00F74EED" w:rsidP="00CF122C">
                      <w:pPr>
                        <w:tabs>
                          <w:tab w:val="left" w:pos="709"/>
                        </w:tabs>
                        <w:ind w:firstLine="706"/>
                        <w:rPr>
                          <w:rFonts w:asciiTheme="majorHAnsi" w:eastAsia="Calibri" w:hAnsiTheme="majorHAnsi" w:cs="Times New Roman"/>
                          <w:bCs w:val="0"/>
                          <w:color w:val="7F7F7F" w:themeColor="text1" w:themeTint="80"/>
                          <w:sz w:val="21"/>
                          <w:szCs w:val="21"/>
                          <w:lang w:val="sr-Cyrl-RS"/>
                        </w:rPr>
                      </w:pPr>
                      <w:r>
                        <w:rPr>
                          <w:lang w:val="sr-Cyrl-RS"/>
                        </w:rPr>
                        <w:t xml:space="preserve"> </w:t>
                      </w:r>
                      <w:r w:rsidRPr="00181E08">
                        <w:rPr>
                          <w:rFonts w:asciiTheme="majorHAnsi" w:eastAsia="Calibri" w:hAnsiTheme="majorHAnsi" w:cs="Times New Roman"/>
                          <w:bCs w:val="0"/>
                          <w:color w:val="7F7F7F" w:themeColor="text1" w:themeTint="80"/>
                          <w:sz w:val="21"/>
                          <w:szCs w:val="21"/>
                          <w:lang w:val="sr-Cyrl-RS"/>
                        </w:rPr>
                        <w:t>Процена дефицита за 2014. годину урађена је у сарадњи са ММФ и базирана је на ребалансу републичког буџета из октобра. Фискална кретања из новембра и очекивања за децембар указују да ће дефицит опште државе бити знатно нижи од очекиваног, и да ће се наћи на нивоу од 6,5% БДП. Главни разлог за ово одступање је немогућност извршења буџетираних расхода, пре свега роба и услуга и капиталних издатака, услед кратких рокова за јавне набавке. Поред нижих расхода, очекује се да приходи буду нешто виши него што је планирано</w:t>
                      </w:r>
                      <w:r w:rsidRPr="00CC5D84">
                        <w:rPr>
                          <w:rFonts w:asciiTheme="majorHAnsi" w:eastAsia="Calibri" w:hAnsiTheme="majorHAnsi" w:cs="Times New Roman"/>
                          <w:bCs w:val="0"/>
                          <w:color w:val="7F7F7F" w:themeColor="text1" w:themeTint="80"/>
                          <w:sz w:val="21"/>
                          <w:szCs w:val="21"/>
                          <w:lang w:val="sr-Cyrl-RS"/>
                        </w:rPr>
                        <w:t>.</w:t>
                      </w:r>
                    </w:p>
                  </w:txbxContent>
                </v:textbox>
                <w10:anchorlock/>
              </v:shape>
            </w:pict>
          </mc:Fallback>
        </mc:AlternateContent>
      </w:r>
    </w:p>
    <w:p w:rsidR="003F2BA0" w:rsidRPr="00171A80" w:rsidRDefault="00181E08" w:rsidP="00544292">
      <w:pPr>
        <w:tabs>
          <w:tab w:val="left" w:pos="709"/>
        </w:tabs>
        <w:spacing w:before="120"/>
        <w:ind w:firstLine="720"/>
        <w:rPr>
          <w:rFonts w:asciiTheme="majorHAnsi" w:eastAsia="Calibri" w:hAnsiTheme="majorHAnsi" w:cs="Times New Roman"/>
          <w:bCs w:val="0"/>
          <w:color w:val="7F7F7F" w:themeColor="text1" w:themeTint="80"/>
          <w:sz w:val="21"/>
          <w:szCs w:val="21"/>
          <w:lang w:val="sr-Cyrl-RS"/>
        </w:rPr>
      </w:pPr>
      <w:r w:rsidRPr="00181E08">
        <w:rPr>
          <w:rFonts w:asciiTheme="majorHAnsi" w:eastAsia="Calibri" w:hAnsiTheme="majorHAnsi" w:cs="Times New Roman"/>
          <w:bCs w:val="0"/>
          <w:color w:val="7F7F7F" w:themeColor="text1" w:themeTint="80"/>
          <w:sz w:val="21"/>
          <w:szCs w:val="21"/>
          <w:lang w:val="sr-Cyrl-RS"/>
        </w:rPr>
        <w:t>Стање доцњи буџетских корисника и организација обавезног социјалног осигурања (у даљем тексту: ООСО) последњег дана септембра 2014. године боље је у односу на крај 2013. године. Корисници буџета и ЈП „Путеви Србије”, смањили су доцње у плаћању за 4,9 млрд динара, а организације обавезног социјалног осигурања, су смањиле доцње за 0,3 млрд динара</w:t>
      </w:r>
      <w:r w:rsidR="003F2BA0" w:rsidRPr="00171A80">
        <w:rPr>
          <w:rFonts w:asciiTheme="majorHAnsi" w:eastAsia="Calibri" w:hAnsiTheme="majorHAnsi" w:cs="Times New Roman"/>
          <w:bCs w:val="0"/>
          <w:color w:val="7F7F7F" w:themeColor="text1" w:themeTint="80"/>
          <w:sz w:val="21"/>
          <w:szCs w:val="21"/>
          <w:lang w:val="sr-Cyrl-RS"/>
        </w:rPr>
        <w:t>.</w:t>
      </w:r>
    </w:p>
    <w:p w:rsidR="003F6B80" w:rsidRPr="00171A80" w:rsidRDefault="003F6B80" w:rsidP="00544292">
      <w:pPr>
        <w:keepNext/>
        <w:tabs>
          <w:tab w:val="left" w:pos="709"/>
        </w:tabs>
        <w:spacing w:after="0"/>
        <w:ind w:firstLine="0"/>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
          <w:bCs w:val="0"/>
          <w:color w:val="4F6228" w:themeColor="accent3" w:themeShade="80"/>
          <w:sz w:val="21"/>
          <w:szCs w:val="21"/>
          <w:lang w:val="sr-Cyrl-RS"/>
        </w:rPr>
        <w:t>Табела 6</w:t>
      </w:r>
      <w:r w:rsidR="003F2BA0" w:rsidRPr="00171A80">
        <w:rPr>
          <w:rFonts w:asciiTheme="majorHAnsi" w:eastAsia="Calibri" w:hAnsiTheme="majorHAnsi" w:cs="Times New Roman"/>
          <w:b/>
          <w:bCs w:val="0"/>
          <w:color w:val="4F6228" w:themeColor="accent3" w:themeShade="80"/>
          <w:sz w:val="21"/>
          <w:szCs w:val="21"/>
          <w:lang w:val="sr-Cyrl-RS"/>
        </w:rPr>
        <w:t>. Стање доцњи у плаћању буџетских корисника и ООСО</w:t>
      </w:r>
      <w:r w:rsidR="003F2BA0" w:rsidRPr="00171A80">
        <w:rPr>
          <w:rFonts w:asciiTheme="majorHAnsi" w:eastAsia="Calibri" w:hAnsiTheme="majorHAnsi" w:cs="Times New Roman"/>
          <w:bCs w:val="0"/>
          <w:color w:val="7F7F7F" w:themeColor="text1" w:themeTint="80"/>
          <w:sz w:val="21"/>
          <w:szCs w:val="21"/>
          <w:lang w:val="sr-Cyrl-RS"/>
        </w:rPr>
        <w:tab/>
      </w:r>
      <w:r w:rsidR="003F2BA0" w:rsidRPr="00171A80">
        <w:rPr>
          <w:rFonts w:asciiTheme="majorHAnsi" w:eastAsia="Calibri" w:hAnsiTheme="majorHAnsi" w:cs="Times New Roman"/>
          <w:bCs w:val="0"/>
          <w:color w:val="7F7F7F" w:themeColor="text1" w:themeTint="80"/>
          <w:sz w:val="21"/>
          <w:szCs w:val="21"/>
          <w:lang w:val="sr-Cyrl-RS"/>
        </w:rPr>
        <w:tab/>
      </w:r>
      <w:r w:rsidR="003F2BA0" w:rsidRPr="00171A80">
        <w:rPr>
          <w:rFonts w:asciiTheme="majorHAnsi" w:eastAsia="Calibri" w:hAnsiTheme="majorHAnsi" w:cs="Times New Roman"/>
          <w:bCs w:val="0"/>
          <w:color w:val="7F7F7F" w:themeColor="text1" w:themeTint="80"/>
          <w:sz w:val="21"/>
          <w:szCs w:val="21"/>
          <w:lang w:val="sr-Cyrl-RS"/>
        </w:rPr>
        <w:tab/>
      </w:r>
    </w:p>
    <w:p w:rsidR="003F2BA0" w:rsidRPr="00171A80" w:rsidRDefault="003F2BA0" w:rsidP="00FC4747">
      <w:pPr>
        <w:keepNext/>
        <w:tabs>
          <w:tab w:val="left" w:pos="709"/>
        </w:tabs>
        <w:spacing w:after="0"/>
        <w:ind w:firstLine="0"/>
        <w:jc w:val="right"/>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color w:val="7F7F7F" w:themeColor="text1" w:themeTint="80"/>
          <w:sz w:val="21"/>
          <w:szCs w:val="21"/>
          <w:lang w:val="sr-Cyrl-RS"/>
        </w:rPr>
        <w:t>млрд динара</w:t>
      </w:r>
    </w:p>
    <w:tbl>
      <w:tblPr>
        <w:tblStyle w:val="LightShading-Accent33"/>
        <w:tblpPr w:leftFromText="180" w:rightFromText="180" w:vertAnchor="text" w:horzAnchor="margin" w:tblpY="274"/>
        <w:tblW w:w="9056" w:type="dxa"/>
        <w:tblLayout w:type="fixed"/>
        <w:tblLook w:val="04A0" w:firstRow="1" w:lastRow="0" w:firstColumn="1" w:lastColumn="0" w:noHBand="0" w:noVBand="1"/>
      </w:tblPr>
      <w:tblGrid>
        <w:gridCol w:w="5074"/>
        <w:gridCol w:w="1991"/>
        <w:gridCol w:w="1991"/>
      </w:tblGrid>
      <w:tr w:rsidR="003F2BA0" w:rsidRPr="00171A80" w:rsidTr="003F2BA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4" w:type="dxa"/>
            <w:noWrap/>
            <w:hideMark/>
          </w:tcPr>
          <w:p w:rsidR="003F2BA0" w:rsidRPr="00171A80" w:rsidRDefault="003F2BA0" w:rsidP="003F2BA0">
            <w:pPr>
              <w:spacing w:after="0"/>
              <w:contextualSpacing/>
              <w:rPr>
                <w:rFonts w:asciiTheme="majorHAnsi" w:eastAsia="Calibri" w:hAnsiTheme="majorHAnsi" w:cs="Times New Roman"/>
                <w:b w:val="0"/>
                <w:color w:val="7F7F7F" w:themeColor="text1" w:themeTint="80"/>
                <w:sz w:val="20"/>
                <w:szCs w:val="20"/>
                <w:lang w:val="sr-Cyrl-RS"/>
              </w:rPr>
            </w:pPr>
            <w:r w:rsidRPr="00171A80">
              <w:rPr>
                <w:rFonts w:asciiTheme="majorHAnsi" w:eastAsia="Calibri" w:hAnsiTheme="majorHAnsi" w:cs="Times New Roman"/>
                <w:b w:val="0"/>
                <w:color w:val="7F7F7F" w:themeColor="text1" w:themeTint="80"/>
                <w:sz w:val="20"/>
                <w:szCs w:val="20"/>
                <w:lang w:val="sr-Cyrl-RS"/>
              </w:rPr>
              <w:t> </w:t>
            </w:r>
          </w:p>
        </w:tc>
        <w:tc>
          <w:tcPr>
            <w:tcW w:w="1991" w:type="dxa"/>
            <w:hideMark/>
          </w:tcPr>
          <w:p w:rsidR="003F2BA0" w:rsidRPr="00171A80" w:rsidRDefault="003F2BA0" w:rsidP="00DA57DA">
            <w:pPr>
              <w:spacing w:after="0"/>
              <w:ind w:firstLine="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31.12.2013.</w:t>
            </w:r>
          </w:p>
        </w:tc>
        <w:tc>
          <w:tcPr>
            <w:tcW w:w="1991" w:type="dxa"/>
            <w:hideMark/>
          </w:tcPr>
          <w:p w:rsidR="003F2BA0" w:rsidRPr="00171A80" w:rsidRDefault="003F2BA0" w:rsidP="00DA57DA">
            <w:pPr>
              <w:spacing w:after="0"/>
              <w:ind w:firstLine="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30.9.2014.</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4" w:type="dxa"/>
            <w:noWrap/>
            <w:hideMark/>
          </w:tcPr>
          <w:p w:rsidR="003F2BA0" w:rsidRPr="00171A80" w:rsidRDefault="003F2BA0" w:rsidP="003F2BA0">
            <w:pPr>
              <w:spacing w:after="0"/>
              <w:ind w:firstLine="0"/>
              <w:contextualSpacing/>
              <w:rPr>
                <w:rFonts w:asciiTheme="majorHAnsi" w:eastAsia="Calibri" w:hAnsiTheme="majorHAnsi" w:cs="Times New Roman"/>
                <w:b w:val="0"/>
                <w:color w:val="7F7F7F" w:themeColor="text1" w:themeTint="80"/>
                <w:sz w:val="20"/>
                <w:szCs w:val="20"/>
                <w:lang w:val="sr-Cyrl-RS"/>
              </w:rPr>
            </w:pPr>
            <w:r w:rsidRPr="00171A80">
              <w:rPr>
                <w:rFonts w:asciiTheme="majorHAnsi" w:eastAsia="Calibri" w:hAnsiTheme="majorHAnsi" w:cs="Times New Roman"/>
                <w:b w:val="0"/>
                <w:color w:val="7F7F7F" w:themeColor="text1" w:themeTint="80"/>
                <w:sz w:val="20"/>
                <w:szCs w:val="20"/>
                <w:lang w:val="sr-Cyrl-RS"/>
              </w:rPr>
              <w:t>Буџетски корисници и ЈП „Путеви Србије“</w:t>
            </w:r>
          </w:p>
        </w:tc>
        <w:tc>
          <w:tcPr>
            <w:tcW w:w="1991" w:type="dxa"/>
            <w:noWrap/>
            <w:hideMark/>
          </w:tcPr>
          <w:p w:rsidR="003F2BA0" w:rsidRPr="00171A80" w:rsidRDefault="003F2BA0" w:rsidP="00DA57DA">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15,9</w:t>
            </w:r>
          </w:p>
        </w:tc>
        <w:tc>
          <w:tcPr>
            <w:tcW w:w="1991" w:type="dxa"/>
            <w:noWrap/>
            <w:hideMark/>
          </w:tcPr>
          <w:p w:rsidR="003F2BA0" w:rsidRPr="00171A80" w:rsidRDefault="003F2BA0" w:rsidP="00DA57DA">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11,0</w:t>
            </w:r>
          </w:p>
        </w:tc>
      </w:tr>
      <w:tr w:rsidR="003F2BA0" w:rsidRPr="00171A80" w:rsidTr="003F2BA0">
        <w:trPr>
          <w:trHeight w:val="260"/>
        </w:trPr>
        <w:tc>
          <w:tcPr>
            <w:cnfStyle w:val="001000000000" w:firstRow="0" w:lastRow="0" w:firstColumn="1" w:lastColumn="0" w:oddVBand="0" w:evenVBand="0" w:oddHBand="0" w:evenHBand="0" w:firstRowFirstColumn="0" w:firstRowLastColumn="0" w:lastRowFirstColumn="0" w:lastRowLastColumn="0"/>
            <w:tcW w:w="5074" w:type="dxa"/>
            <w:noWrap/>
            <w:hideMark/>
          </w:tcPr>
          <w:p w:rsidR="003F2BA0" w:rsidRPr="00171A80" w:rsidRDefault="003F2BA0" w:rsidP="003F2BA0">
            <w:pPr>
              <w:spacing w:after="0"/>
              <w:ind w:firstLine="0"/>
              <w:contextualSpacing/>
              <w:rPr>
                <w:rFonts w:asciiTheme="majorHAnsi" w:eastAsia="Calibri" w:hAnsiTheme="majorHAnsi" w:cs="Times New Roman"/>
                <w:b w:val="0"/>
                <w:color w:val="7F7F7F" w:themeColor="text1" w:themeTint="80"/>
                <w:sz w:val="20"/>
                <w:szCs w:val="20"/>
                <w:lang w:val="sr-Cyrl-RS"/>
              </w:rPr>
            </w:pPr>
            <w:r w:rsidRPr="00171A80">
              <w:rPr>
                <w:rFonts w:asciiTheme="majorHAnsi" w:eastAsia="Calibri" w:hAnsiTheme="majorHAnsi" w:cs="Times New Roman"/>
                <w:b w:val="0"/>
                <w:color w:val="7F7F7F" w:themeColor="text1" w:themeTint="80"/>
                <w:sz w:val="20"/>
                <w:szCs w:val="20"/>
                <w:lang w:val="sr-Cyrl-RS"/>
              </w:rPr>
              <w:t>Фондови социјалног осигурања</w:t>
            </w:r>
          </w:p>
        </w:tc>
        <w:tc>
          <w:tcPr>
            <w:tcW w:w="1991" w:type="dxa"/>
            <w:noWrap/>
            <w:hideMark/>
          </w:tcPr>
          <w:p w:rsidR="003F2BA0" w:rsidRPr="00171A80" w:rsidRDefault="003F2BA0" w:rsidP="00DA57DA">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3,5</w:t>
            </w:r>
          </w:p>
        </w:tc>
        <w:tc>
          <w:tcPr>
            <w:tcW w:w="1991" w:type="dxa"/>
            <w:noWrap/>
            <w:hideMark/>
          </w:tcPr>
          <w:p w:rsidR="003F2BA0" w:rsidRPr="00171A80" w:rsidRDefault="003F2BA0" w:rsidP="00DA57DA">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3,2</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4" w:type="dxa"/>
            <w:noWrap/>
            <w:hideMark/>
          </w:tcPr>
          <w:p w:rsidR="003F2BA0" w:rsidRPr="00171A80" w:rsidRDefault="003F2BA0" w:rsidP="003F2BA0">
            <w:pPr>
              <w:spacing w:after="0"/>
              <w:ind w:firstLine="0"/>
              <w:contextualSpacing/>
              <w:rPr>
                <w:rFonts w:asciiTheme="majorHAnsi" w:eastAsia="Calibri" w:hAnsiTheme="majorHAnsi" w:cs="Times New Roman"/>
                <w:b w:val="0"/>
                <w:color w:val="7F7F7F" w:themeColor="text1" w:themeTint="80"/>
                <w:sz w:val="20"/>
                <w:szCs w:val="20"/>
                <w:lang w:val="sr-Cyrl-RS"/>
              </w:rPr>
            </w:pPr>
            <w:r w:rsidRPr="00171A80">
              <w:rPr>
                <w:rFonts w:asciiTheme="majorHAnsi" w:eastAsia="Calibri" w:hAnsiTheme="majorHAnsi" w:cs="Times New Roman"/>
                <w:b w:val="0"/>
                <w:color w:val="7F7F7F" w:themeColor="text1" w:themeTint="80"/>
                <w:sz w:val="20"/>
                <w:szCs w:val="20"/>
                <w:lang w:val="sr-Cyrl-RS"/>
              </w:rPr>
              <w:t>Укупно</w:t>
            </w:r>
          </w:p>
        </w:tc>
        <w:tc>
          <w:tcPr>
            <w:tcW w:w="1991" w:type="dxa"/>
            <w:noWrap/>
            <w:hideMark/>
          </w:tcPr>
          <w:p w:rsidR="003F2BA0" w:rsidRPr="00171A80" w:rsidRDefault="003F2BA0" w:rsidP="00DA57DA">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19,4</w:t>
            </w:r>
          </w:p>
        </w:tc>
        <w:tc>
          <w:tcPr>
            <w:tcW w:w="1991" w:type="dxa"/>
            <w:noWrap/>
            <w:hideMark/>
          </w:tcPr>
          <w:p w:rsidR="003F2BA0" w:rsidRPr="00171A80" w:rsidRDefault="003F2BA0" w:rsidP="00DA57DA">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14,2</w:t>
            </w:r>
          </w:p>
        </w:tc>
      </w:tr>
    </w:tbl>
    <w:p w:rsidR="003F2BA0" w:rsidRPr="00171A80" w:rsidRDefault="003F2BA0" w:rsidP="003F2BA0">
      <w:pPr>
        <w:spacing w:after="0"/>
        <w:ind w:firstLine="0"/>
        <w:contextualSpacing/>
        <w:rPr>
          <w:rFonts w:asciiTheme="majorHAnsi" w:eastAsia="Calibri" w:hAnsiTheme="majorHAnsi" w:cs="Times New Roman"/>
          <w:bCs w:val="0"/>
          <w:color w:val="7F7F7F" w:themeColor="text1" w:themeTint="80"/>
          <w:sz w:val="21"/>
          <w:szCs w:val="21"/>
          <w:lang w:val="sr-Cyrl-RS"/>
        </w:rPr>
      </w:pPr>
    </w:p>
    <w:p w:rsidR="005A473C" w:rsidRPr="004B356E" w:rsidRDefault="003F2BA0" w:rsidP="004B356E">
      <w:pPr>
        <w:ind w:firstLine="0"/>
        <w:jc w:val="left"/>
        <w:rPr>
          <w:rFonts w:asciiTheme="majorHAnsi" w:eastAsia="Calibri" w:hAnsiTheme="majorHAnsi" w:cs="Times New Roman"/>
          <w:bCs w:val="0"/>
          <w:sz w:val="18"/>
          <w:szCs w:val="18"/>
          <w:lang w:val="sr-Cyrl-RS"/>
        </w:rPr>
      </w:pPr>
      <w:r w:rsidRPr="00BA299D">
        <w:rPr>
          <w:rFonts w:asciiTheme="majorHAnsi" w:eastAsia="Calibri" w:hAnsiTheme="majorHAnsi" w:cs="Times New Roman"/>
          <w:b/>
          <w:bCs w:val="0"/>
          <w:color w:val="7F7F7F" w:themeColor="text1" w:themeTint="80"/>
          <w:sz w:val="18"/>
          <w:szCs w:val="18"/>
          <w:lang w:val="sr-Cyrl-RS"/>
        </w:rPr>
        <w:t>Извор:</w:t>
      </w:r>
      <w:r w:rsidRPr="00171A80">
        <w:rPr>
          <w:rFonts w:asciiTheme="majorHAnsi" w:eastAsia="Calibri" w:hAnsiTheme="majorHAnsi" w:cs="Times New Roman"/>
          <w:bCs w:val="0"/>
          <w:color w:val="7F7F7F" w:themeColor="text1" w:themeTint="80"/>
          <w:sz w:val="18"/>
          <w:szCs w:val="18"/>
          <w:lang w:val="sr-Cyrl-RS"/>
        </w:rPr>
        <w:t xml:space="preserve"> МФИН</w:t>
      </w:r>
    </w:p>
    <w:p w:rsidR="005A473C" w:rsidRPr="002911F7" w:rsidRDefault="005A473C" w:rsidP="002911F7">
      <w:pPr>
        <w:ind w:firstLine="0"/>
        <w:rPr>
          <w:rFonts w:asciiTheme="majorHAnsi" w:eastAsia="Calibri" w:hAnsiTheme="majorHAnsi" w:cs="Times New Roman"/>
          <w:b/>
          <w:bCs w:val="0"/>
          <w:i/>
          <w:color w:val="4F6228" w:themeColor="accent3" w:themeShade="80"/>
          <w:szCs w:val="22"/>
          <w:lang w:val="sr-Cyrl-RS"/>
        </w:rPr>
      </w:pPr>
      <w:r w:rsidRPr="00171A80">
        <w:rPr>
          <w:rFonts w:asciiTheme="majorHAnsi" w:eastAsia="Calibri" w:hAnsiTheme="majorHAnsi" w:cs="Times New Roman"/>
          <w:b/>
          <w:bCs w:val="0"/>
          <w:i/>
          <w:color w:val="4F6228" w:themeColor="accent3" w:themeShade="80"/>
          <w:szCs w:val="22"/>
          <w:lang w:val="sr-Cyrl-RS"/>
        </w:rPr>
        <w:t>Јавне финансије у земљама ЕУ у 201</w:t>
      </w:r>
      <w:r w:rsidR="00C37371" w:rsidRPr="00171A80">
        <w:rPr>
          <w:rFonts w:asciiTheme="majorHAnsi" w:eastAsia="Calibri" w:hAnsiTheme="majorHAnsi" w:cs="Times New Roman"/>
          <w:b/>
          <w:bCs w:val="0"/>
          <w:i/>
          <w:color w:val="4F6228" w:themeColor="accent3" w:themeShade="80"/>
          <w:szCs w:val="22"/>
          <w:lang w:val="sr-Cyrl-RS"/>
        </w:rPr>
        <w:t>3</w:t>
      </w:r>
      <w:r w:rsidRPr="00171A80">
        <w:rPr>
          <w:rFonts w:asciiTheme="majorHAnsi" w:eastAsia="Calibri" w:hAnsiTheme="majorHAnsi" w:cs="Times New Roman"/>
          <w:b/>
          <w:bCs w:val="0"/>
          <w:i/>
          <w:color w:val="4F6228" w:themeColor="accent3" w:themeShade="80"/>
          <w:szCs w:val="22"/>
          <w:lang w:val="sr-Cyrl-RS"/>
        </w:rPr>
        <w:t>. и 201</w:t>
      </w:r>
      <w:r w:rsidR="00C37371" w:rsidRPr="00171A80">
        <w:rPr>
          <w:rFonts w:asciiTheme="majorHAnsi" w:eastAsia="Calibri" w:hAnsiTheme="majorHAnsi" w:cs="Times New Roman"/>
          <w:b/>
          <w:bCs w:val="0"/>
          <w:i/>
          <w:color w:val="4F6228" w:themeColor="accent3" w:themeShade="80"/>
          <w:szCs w:val="22"/>
          <w:lang w:val="sr-Cyrl-RS"/>
        </w:rPr>
        <w:t>4</w:t>
      </w:r>
      <w:r w:rsidR="002911F7">
        <w:rPr>
          <w:rFonts w:asciiTheme="majorHAnsi" w:eastAsia="Calibri" w:hAnsiTheme="majorHAnsi" w:cs="Times New Roman"/>
          <w:b/>
          <w:bCs w:val="0"/>
          <w:i/>
          <w:color w:val="4F6228" w:themeColor="accent3" w:themeShade="80"/>
          <w:szCs w:val="22"/>
          <w:lang w:val="sr-Cyrl-RS"/>
        </w:rPr>
        <w:t>. години</w:t>
      </w:r>
    </w:p>
    <w:p w:rsidR="003F2BA0" w:rsidRPr="00171A80" w:rsidRDefault="00DA57DA" w:rsidP="003F2BA0">
      <w:pPr>
        <w:rPr>
          <w:rFonts w:asciiTheme="majorHAnsi" w:eastAsia="Calibri" w:hAnsiTheme="majorHAnsi" w:cs="Times New Roman"/>
          <w:bCs w:val="0"/>
          <w:color w:val="7F7F7F" w:themeColor="text1" w:themeTint="80"/>
          <w:sz w:val="21"/>
          <w:szCs w:val="21"/>
          <w:lang w:val="sr-Cyrl-RS"/>
        </w:rPr>
      </w:pPr>
      <w:r w:rsidRPr="00DA57DA">
        <w:rPr>
          <w:rFonts w:asciiTheme="majorHAnsi" w:eastAsia="Calibri" w:hAnsiTheme="majorHAnsi" w:cs="Times New Roman"/>
          <w:bCs w:val="0"/>
          <w:color w:val="7F7F7F" w:themeColor="text1" w:themeTint="80"/>
          <w:sz w:val="21"/>
          <w:szCs w:val="21"/>
          <w:lang w:val="sr-Cyrl-RS"/>
        </w:rPr>
        <w:t>Економска и финансијска криза је довела до значајног нарушавања фискалних позиција у готово свим земљама ЕУ. Фискална политика је дискреционим мерама (стимулативне мере за опоравак привреде) и деловањем аутоматских стабилизатора настојала да одигра кључну улогу у стабилизовању ЕУ економија. Враћање јавних финансија, дефицита и дуга у одрживе оквире је велики изазов за земље ЕУ с обзиром на макроекономска кретања и политичке турбуленције, пре свега украјинску кризу. Опоравак економије ЕУ ће се наставити, али спорије него што се очекивало, а успорен економски раст нема потенцијала да значајније утиче на незапосленост као један од најзначајнијих економских проблема ЕУ</w:t>
      </w:r>
      <w:r w:rsidR="00CC5D84" w:rsidRPr="00CC5D84">
        <w:rPr>
          <w:rFonts w:asciiTheme="majorHAnsi" w:eastAsia="Calibri" w:hAnsiTheme="majorHAnsi" w:cs="Times New Roman"/>
          <w:bCs w:val="0"/>
          <w:color w:val="7F7F7F" w:themeColor="text1" w:themeTint="80"/>
          <w:sz w:val="21"/>
          <w:szCs w:val="21"/>
          <w:lang w:val="sr-Cyrl-RS"/>
        </w:rPr>
        <w:t>.</w:t>
      </w:r>
      <w:r w:rsidR="003F2BA0" w:rsidRPr="00171A80">
        <w:rPr>
          <w:rFonts w:asciiTheme="majorHAnsi" w:eastAsia="Calibri" w:hAnsiTheme="majorHAnsi" w:cs="Times New Roman"/>
          <w:bCs w:val="0"/>
          <w:color w:val="7F7F7F" w:themeColor="text1" w:themeTint="80"/>
          <w:sz w:val="21"/>
          <w:szCs w:val="21"/>
          <w:lang w:val="sr-Cyrl-RS"/>
        </w:rPr>
        <w:t xml:space="preserve"> </w:t>
      </w:r>
    </w:p>
    <w:p w:rsidR="003F2BA0" w:rsidRPr="00171A80" w:rsidRDefault="003F2BA0">
      <w:pPr>
        <w:spacing w:after="0"/>
        <w:ind w:firstLine="0"/>
        <w:jc w:val="left"/>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color w:val="7F7F7F" w:themeColor="text1" w:themeTint="80"/>
          <w:sz w:val="21"/>
          <w:szCs w:val="21"/>
          <w:lang w:val="sr-Cyrl-RS"/>
        </w:rPr>
        <w:br w:type="page"/>
      </w:r>
    </w:p>
    <w:p w:rsidR="003F2BA0" w:rsidRPr="00171A80" w:rsidRDefault="003F6B80" w:rsidP="003F2BA0">
      <w:pPr>
        <w:spacing w:after="0"/>
        <w:ind w:firstLine="0"/>
        <w:jc w:val="center"/>
        <w:rPr>
          <w:rFonts w:asciiTheme="majorHAnsi" w:eastAsia="Calibri" w:hAnsiTheme="majorHAnsi" w:cs="Times New Roman"/>
          <w:b/>
          <w:bCs w:val="0"/>
          <w:color w:val="7F7F7F" w:themeColor="text1" w:themeTint="80"/>
          <w:sz w:val="21"/>
          <w:szCs w:val="21"/>
          <w:lang w:val="sr-Cyrl-RS"/>
        </w:rPr>
      </w:pPr>
      <w:r w:rsidRPr="00171A80">
        <w:rPr>
          <w:rFonts w:asciiTheme="majorHAnsi" w:eastAsia="Calibri" w:hAnsiTheme="majorHAnsi" w:cs="Times New Roman"/>
          <w:b/>
          <w:bCs w:val="0"/>
          <w:color w:val="7F7F7F" w:themeColor="text1" w:themeTint="80"/>
          <w:sz w:val="21"/>
          <w:szCs w:val="21"/>
          <w:lang w:val="sr-Cyrl-RS"/>
        </w:rPr>
        <w:lastRenderedPageBreak/>
        <w:t>Графикон 9</w:t>
      </w:r>
      <w:r w:rsidR="003F2BA0" w:rsidRPr="00171A80">
        <w:rPr>
          <w:rFonts w:asciiTheme="majorHAnsi" w:eastAsia="Calibri" w:hAnsiTheme="majorHAnsi" w:cs="Times New Roman"/>
          <w:b/>
          <w:bCs w:val="0"/>
          <w:color w:val="7F7F7F" w:themeColor="text1" w:themeTint="80"/>
          <w:sz w:val="21"/>
          <w:szCs w:val="21"/>
          <w:lang w:val="sr-Cyrl-RS"/>
        </w:rPr>
        <w:t>. Дефицит и јавни дуг у Србији и земљама ЕУ у 2013. години, у % БДП</w:t>
      </w:r>
    </w:p>
    <w:p w:rsidR="003F2BA0" w:rsidRPr="00171A80" w:rsidRDefault="003F2BA0" w:rsidP="003F2BA0">
      <w:pPr>
        <w:rPr>
          <w:rFonts w:asciiTheme="majorHAnsi" w:eastAsia="Calibri" w:hAnsiTheme="majorHAnsi" w:cs="Times New Roman"/>
          <w:bCs w:val="0"/>
          <w:sz w:val="21"/>
          <w:szCs w:val="21"/>
          <w:lang w:val="sr-Cyrl-RS"/>
        </w:rPr>
      </w:pPr>
      <w:r w:rsidRPr="00171A80">
        <w:rPr>
          <w:rFonts w:asciiTheme="majorHAnsi" w:hAnsiTheme="majorHAnsi"/>
          <w:noProof/>
          <w:lang w:val="en-US"/>
        </w:rPr>
        <w:drawing>
          <wp:inline distT="0" distB="0" distL="0" distR="0" wp14:anchorId="278B9AB4" wp14:editId="31BAB38C">
            <wp:extent cx="2552700" cy="42386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171A80">
        <w:rPr>
          <w:rFonts w:asciiTheme="majorHAnsi" w:hAnsiTheme="majorHAnsi" w:cs="Times New Roman"/>
          <w:noProof/>
          <w:lang w:val="sr-Cyrl-RS"/>
        </w:rPr>
        <w:t xml:space="preserve"> </w:t>
      </w:r>
      <w:r w:rsidRPr="00171A80">
        <w:rPr>
          <w:rFonts w:asciiTheme="majorHAnsi" w:hAnsiTheme="majorHAnsi" w:cs="Times New Roman"/>
          <w:noProof/>
          <w:lang w:val="en-US"/>
        </w:rPr>
        <w:drawing>
          <wp:inline distT="0" distB="0" distL="0" distR="0" wp14:anchorId="6286D8A0" wp14:editId="6A315900">
            <wp:extent cx="2647950" cy="421195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57DA" w:rsidRPr="00DA57DA" w:rsidRDefault="00CC5D84" w:rsidP="00DA57DA">
      <w:pPr>
        <w:tabs>
          <w:tab w:val="left" w:pos="709"/>
        </w:tabs>
        <w:ind w:firstLine="0"/>
        <w:rPr>
          <w:rFonts w:asciiTheme="majorHAnsi" w:eastAsia="Calibri" w:hAnsiTheme="majorHAnsi" w:cs="Times New Roman"/>
          <w:bCs w:val="0"/>
          <w:color w:val="7F7F7F" w:themeColor="text1" w:themeTint="80"/>
          <w:sz w:val="21"/>
          <w:szCs w:val="21"/>
          <w:lang w:val="sr-Cyrl-RS"/>
        </w:rPr>
      </w:pPr>
      <w:r>
        <w:rPr>
          <w:rFonts w:asciiTheme="majorHAnsi" w:eastAsia="Calibri" w:hAnsiTheme="majorHAnsi" w:cs="Times New Roman"/>
          <w:bCs w:val="0"/>
          <w:color w:val="7F7F7F" w:themeColor="text1" w:themeTint="80"/>
          <w:sz w:val="21"/>
          <w:szCs w:val="21"/>
          <w:lang w:val="sr-Cyrl-RS"/>
        </w:rPr>
        <w:tab/>
      </w:r>
      <w:r w:rsidR="00DA57DA" w:rsidRPr="00DA57DA">
        <w:rPr>
          <w:rFonts w:asciiTheme="majorHAnsi" w:eastAsia="Calibri" w:hAnsiTheme="majorHAnsi" w:cs="Times New Roman"/>
          <w:bCs w:val="0"/>
          <w:color w:val="7F7F7F" w:themeColor="text1" w:themeTint="80"/>
          <w:sz w:val="21"/>
          <w:szCs w:val="21"/>
          <w:lang w:val="sr-Cyrl-RS"/>
        </w:rPr>
        <w:t>Дефицит у земљама ЕУ (ЕУ 28) у 2013. години износио је у просеку 3,2% БДП, што је у складу са раније пројектованим дефицитом за 2013. годину. На основу мера фискалне консолидације, заједно са очекиваним постепеним економским опоравком очекује се даљи пад дефицита током 2014. и 2015. године, на ниво од 3,0% и 2,8% БДП, респективно.</w:t>
      </w:r>
    </w:p>
    <w:p w:rsidR="003F2BA0" w:rsidRPr="00171A80" w:rsidRDefault="00DA57DA" w:rsidP="00DA57DA">
      <w:pPr>
        <w:tabs>
          <w:tab w:val="left" w:pos="709"/>
        </w:tabs>
        <w:ind w:firstLine="0"/>
        <w:rPr>
          <w:rFonts w:asciiTheme="majorHAnsi" w:eastAsia="Calibri" w:hAnsiTheme="majorHAnsi" w:cs="Times New Roman"/>
          <w:bCs w:val="0"/>
          <w:color w:val="7F7F7F" w:themeColor="text1" w:themeTint="80"/>
          <w:sz w:val="21"/>
          <w:szCs w:val="21"/>
          <w:lang w:val="sr-Cyrl-RS"/>
        </w:rPr>
      </w:pPr>
      <w:r w:rsidRPr="00DA57DA">
        <w:rPr>
          <w:rFonts w:asciiTheme="majorHAnsi" w:eastAsia="Calibri" w:hAnsiTheme="majorHAnsi" w:cs="Times New Roman"/>
          <w:bCs w:val="0"/>
          <w:color w:val="7F7F7F" w:themeColor="text1" w:themeTint="80"/>
          <w:sz w:val="21"/>
          <w:szCs w:val="21"/>
          <w:lang w:val="sr-Cyrl-RS"/>
        </w:rPr>
        <w:tab/>
        <w:t>Растуће потребе за финансирањем дефицита довеле су до повећања учешћа дуга у БДП у готово свим земљама ЕУ. Учешће дуга у БДП (ЕУ 28) у 2013. години износило је 87,1%. Пројекције за наредни период указују на даљи раст односа дуга и БДП и то 88,1% у 2014. години и 88,3% у 2015. години. Овако висок нивоа дуга у БДП указује на неопходност повратка јавних финансија на одрживи ниво, истовремено делујући и као препрека евентуално бржем расту</w:t>
      </w:r>
      <w:r w:rsidR="003F2BA0" w:rsidRPr="00171A80">
        <w:rPr>
          <w:rFonts w:asciiTheme="majorHAnsi" w:eastAsia="Calibri" w:hAnsiTheme="majorHAnsi" w:cs="Times New Roman"/>
          <w:bCs w:val="0"/>
          <w:color w:val="7F7F7F" w:themeColor="text1" w:themeTint="80"/>
          <w:sz w:val="21"/>
          <w:szCs w:val="21"/>
          <w:lang w:val="sr-Cyrl-RS"/>
        </w:rPr>
        <w:t>.</w:t>
      </w:r>
    </w:p>
    <w:p w:rsidR="003F2BA0" w:rsidRPr="00171A80" w:rsidRDefault="003F2BA0" w:rsidP="003F2BA0">
      <w:pPr>
        <w:rPr>
          <w:rFonts w:asciiTheme="majorHAnsi" w:eastAsia="Calibri" w:hAnsiTheme="majorHAnsi" w:cs="Times New Roman"/>
          <w:bCs w:val="0"/>
          <w:color w:val="7F7F7F" w:themeColor="text1" w:themeTint="80"/>
          <w:sz w:val="21"/>
          <w:szCs w:val="21"/>
          <w:lang w:val="sr-Cyrl-RS"/>
        </w:rPr>
      </w:pPr>
    </w:p>
    <w:p w:rsidR="003F2BA0" w:rsidRPr="00171A80" w:rsidRDefault="003F2BA0" w:rsidP="003F2BA0">
      <w:pPr>
        <w:rPr>
          <w:rFonts w:asciiTheme="majorHAnsi" w:eastAsia="Calibri" w:hAnsiTheme="majorHAnsi" w:cs="Times New Roman"/>
          <w:bCs w:val="0"/>
          <w:sz w:val="21"/>
          <w:szCs w:val="21"/>
          <w:lang w:val="sr-Cyrl-RS"/>
        </w:rPr>
      </w:pPr>
    </w:p>
    <w:p w:rsidR="003F2BA0" w:rsidRPr="00171A80" w:rsidRDefault="003F2BA0" w:rsidP="003F2BA0">
      <w:pPr>
        <w:rPr>
          <w:rFonts w:asciiTheme="majorHAnsi" w:eastAsia="Calibri" w:hAnsiTheme="majorHAnsi" w:cs="Times New Roman"/>
          <w:sz w:val="21"/>
          <w:szCs w:val="21"/>
          <w:lang w:val="sr-Cyrl-RS"/>
        </w:rPr>
      </w:pPr>
    </w:p>
    <w:p w:rsidR="003F2BA0" w:rsidRPr="00171A80" w:rsidRDefault="003F2BA0" w:rsidP="003F2BA0">
      <w:pPr>
        <w:rPr>
          <w:rFonts w:asciiTheme="majorHAnsi" w:eastAsia="Calibri" w:hAnsiTheme="majorHAnsi" w:cs="Times New Roman"/>
          <w:sz w:val="21"/>
          <w:szCs w:val="21"/>
          <w:lang w:val="sr-Cyrl-RS"/>
        </w:rPr>
      </w:pPr>
    </w:p>
    <w:p w:rsidR="003F2BA0" w:rsidRPr="00171A80" w:rsidRDefault="003F2BA0" w:rsidP="003F2BA0">
      <w:pPr>
        <w:rPr>
          <w:rFonts w:asciiTheme="majorHAnsi" w:eastAsia="Calibri" w:hAnsiTheme="majorHAnsi" w:cs="Times New Roman"/>
          <w:sz w:val="21"/>
          <w:szCs w:val="21"/>
          <w:lang w:val="sr-Cyrl-RS"/>
        </w:rPr>
      </w:pPr>
    </w:p>
    <w:p w:rsidR="003F2BA0" w:rsidRPr="00171A80" w:rsidRDefault="003F2BA0" w:rsidP="003F2BA0">
      <w:pPr>
        <w:rPr>
          <w:rFonts w:asciiTheme="majorHAnsi" w:eastAsia="Calibri" w:hAnsiTheme="majorHAnsi" w:cs="Times New Roman"/>
          <w:sz w:val="21"/>
          <w:szCs w:val="21"/>
          <w:lang w:val="sr-Cyrl-RS"/>
        </w:rPr>
      </w:pPr>
    </w:p>
    <w:p w:rsidR="003F2BA0" w:rsidRPr="00171A80" w:rsidRDefault="003F2BA0" w:rsidP="003F2BA0">
      <w:pPr>
        <w:rPr>
          <w:rFonts w:asciiTheme="majorHAnsi" w:eastAsia="Calibri" w:hAnsiTheme="majorHAnsi" w:cs="Times New Roman"/>
          <w:sz w:val="21"/>
          <w:szCs w:val="21"/>
          <w:lang w:val="sr-Cyrl-RS"/>
        </w:rPr>
      </w:pPr>
    </w:p>
    <w:p w:rsidR="003F2BA0" w:rsidRPr="00171A80" w:rsidRDefault="003F2BA0" w:rsidP="003F2BA0">
      <w:pPr>
        <w:spacing w:after="0"/>
        <w:ind w:firstLine="0"/>
        <w:jc w:val="left"/>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color w:val="7F7F7F" w:themeColor="text1" w:themeTint="80"/>
          <w:sz w:val="21"/>
          <w:szCs w:val="21"/>
          <w:lang w:val="sr-Cyrl-RS"/>
        </w:rPr>
        <w:br w:type="page"/>
      </w:r>
    </w:p>
    <w:p w:rsidR="003F2BA0" w:rsidRPr="00171A80" w:rsidRDefault="003F6B80" w:rsidP="00C07453">
      <w:pPr>
        <w:tabs>
          <w:tab w:val="left" w:pos="709"/>
        </w:tabs>
        <w:ind w:firstLine="0"/>
        <w:jc w:val="center"/>
        <w:rPr>
          <w:rFonts w:asciiTheme="majorHAnsi" w:eastAsia="Calibri" w:hAnsiTheme="majorHAnsi" w:cs="Times New Roman"/>
          <w:b/>
          <w:bCs w:val="0"/>
          <w:color w:val="7F7F7F" w:themeColor="text1" w:themeTint="80"/>
          <w:sz w:val="21"/>
          <w:szCs w:val="21"/>
          <w:lang w:val="sr-Cyrl-RS"/>
        </w:rPr>
      </w:pPr>
      <w:r w:rsidRPr="00171A80">
        <w:rPr>
          <w:rFonts w:asciiTheme="majorHAnsi" w:eastAsia="Calibri" w:hAnsiTheme="majorHAnsi" w:cs="Times New Roman"/>
          <w:b/>
          <w:bCs w:val="0"/>
          <w:color w:val="7F7F7F" w:themeColor="text1" w:themeTint="80"/>
          <w:sz w:val="21"/>
          <w:szCs w:val="21"/>
          <w:lang w:val="sr-Cyrl-RS"/>
        </w:rPr>
        <w:lastRenderedPageBreak/>
        <w:t>Графикон 10</w:t>
      </w:r>
      <w:r w:rsidR="003F2BA0" w:rsidRPr="00171A80">
        <w:rPr>
          <w:rFonts w:asciiTheme="majorHAnsi" w:eastAsia="Calibri" w:hAnsiTheme="majorHAnsi" w:cs="Times New Roman"/>
          <w:b/>
          <w:bCs w:val="0"/>
          <w:color w:val="7F7F7F" w:themeColor="text1" w:themeTint="80"/>
          <w:sz w:val="21"/>
          <w:szCs w:val="21"/>
          <w:lang w:val="sr-Cyrl-RS"/>
        </w:rPr>
        <w:t>. Дефицит и јавни дуг у Србији и земљама ЕУ у 2014. години, у % БДП</w:t>
      </w:r>
    </w:p>
    <w:p w:rsidR="005A473C" w:rsidRPr="004B356E" w:rsidRDefault="003F2BA0" w:rsidP="004B356E">
      <w:pPr>
        <w:rPr>
          <w:rFonts w:asciiTheme="majorHAnsi" w:eastAsia="Calibri" w:hAnsiTheme="majorHAnsi" w:cs="Times New Roman"/>
          <w:bCs w:val="0"/>
          <w:sz w:val="21"/>
          <w:szCs w:val="21"/>
          <w:lang w:val="sr-Cyrl-RS"/>
        </w:rPr>
      </w:pPr>
      <w:r w:rsidRPr="00171A80">
        <w:rPr>
          <w:rFonts w:asciiTheme="majorHAnsi" w:hAnsiTheme="majorHAnsi"/>
          <w:noProof/>
          <w:lang w:val="en-US"/>
        </w:rPr>
        <w:drawing>
          <wp:inline distT="0" distB="0" distL="0" distR="0" wp14:anchorId="02303DE7" wp14:editId="0FC385C9">
            <wp:extent cx="2552700" cy="46196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71A80">
        <w:rPr>
          <w:rFonts w:asciiTheme="majorHAnsi" w:hAnsiTheme="majorHAnsi" w:cs="Times New Roman"/>
          <w:noProof/>
          <w:lang w:val="sr-Cyrl-RS"/>
        </w:rPr>
        <w:t xml:space="preserve"> </w:t>
      </w:r>
      <w:r w:rsidRPr="00171A80">
        <w:rPr>
          <w:rFonts w:asciiTheme="majorHAnsi" w:hAnsiTheme="majorHAnsi" w:cs="Times New Roman"/>
          <w:noProof/>
          <w:lang w:val="en-US"/>
        </w:rPr>
        <w:drawing>
          <wp:inline distT="0" distB="0" distL="0" distR="0" wp14:anchorId="5AF032B5" wp14:editId="4BD62D8F">
            <wp:extent cx="2677795" cy="4619625"/>
            <wp:effectExtent l="0" t="0" r="825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1B27" w:rsidRPr="00171A80" w:rsidRDefault="00A71B27" w:rsidP="00D95226">
      <w:pPr>
        <w:pStyle w:val="Heading3"/>
        <w:numPr>
          <w:ilvl w:val="1"/>
          <w:numId w:val="2"/>
        </w:numPr>
        <w:rPr>
          <w:rFonts w:asciiTheme="majorHAnsi" w:hAnsiTheme="majorHAnsi"/>
          <w:b w:val="0"/>
          <w:lang w:val="sr-Cyrl-RS"/>
        </w:rPr>
      </w:pPr>
      <w:bookmarkStart w:id="34" w:name="_Toc293498374"/>
      <w:bookmarkStart w:id="35" w:name="_Toc337117123"/>
      <w:bookmarkStart w:id="36" w:name="_Toc407617165"/>
      <w:r w:rsidRPr="00171A80">
        <w:rPr>
          <w:rFonts w:asciiTheme="majorHAnsi" w:hAnsiTheme="majorHAnsi"/>
          <w:b w:val="0"/>
          <w:lang w:val="sr-Cyrl-RS"/>
        </w:rPr>
        <w:t>Фискалне пројекције у периоду од 201</w:t>
      </w:r>
      <w:r w:rsidR="00C37371" w:rsidRPr="00171A80">
        <w:rPr>
          <w:rFonts w:asciiTheme="majorHAnsi" w:hAnsiTheme="majorHAnsi"/>
          <w:b w:val="0"/>
          <w:lang w:val="sr-Cyrl-RS"/>
        </w:rPr>
        <w:t>5</w:t>
      </w:r>
      <w:r w:rsidRPr="00171A80">
        <w:rPr>
          <w:rFonts w:asciiTheme="majorHAnsi" w:hAnsiTheme="majorHAnsi"/>
          <w:b w:val="0"/>
          <w:lang w:val="sr-Cyrl-RS"/>
        </w:rPr>
        <w:t>. до 201</w:t>
      </w:r>
      <w:r w:rsidR="00C37371" w:rsidRPr="00171A80">
        <w:rPr>
          <w:rFonts w:asciiTheme="majorHAnsi" w:hAnsiTheme="majorHAnsi"/>
          <w:b w:val="0"/>
          <w:lang w:val="sr-Cyrl-RS"/>
        </w:rPr>
        <w:t>7</w:t>
      </w:r>
      <w:r w:rsidRPr="00171A80">
        <w:rPr>
          <w:rFonts w:asciiTheme="majorHAnsi" w:hAnsiTheme="majorHAnsi"/>
          <w:b w:val="0"/>
          <w:lang w:val="sr-Cyrl-RS"/>
        </w:rPr>
        <w:t>. године</w:t>
      </w:r>
      <w:bookmarkEnd w:id="34"/>
      <w:bookmarkEnd w:id="35"/>
      <w:bookmarkEnd w:id="36"/>
    </w:p>
    <w:p w:rsidR="003F2BA0" w:rsidRPr="00171A80" w:rsidRDefault="003F2BA0" w:rsidP="004B356E">
      <w:pPr>
        <w:spacing w:after="0"/>
        <w:ind w:firstLine="0"/>
        <w:rPr>
          <w:rFonts w:asciiTheme="majorHAnsi" w:hAnsiTheme="majorHAnsi"/>
          <w:lang w:val="sr-Cyrl-RS"/>
        </w:rPr>
      </w:pPr>
    </w:p>
    <w:p w:rsidR="003F2BA0" w:rsidRPr="00171A80" w:rsidRDefault="00DA57DA" w:rsidP="00B62A49">
      <w:pPr>
        <w:ind w:firstLine="706"/>
        <w:rPr>
          <w:rFonts w:asciiTheme="majorHAnsi" w:eastAsia="Calibri" w:hAnsiTheme="majorHAnsi" w:cs="Times New Roman"/>
          <w:bCs w:val="0"/>
          <w:color w:val="7F7F7F" w:themeColor="text1" w:themeTint="80"/>
          <w:sz w:val="21"/>
          <w:szCs w:val="21"/>
          <w:lang w:val="sr-Cyrl-RS"/>
        </w:rPr>
      </w:pPr>
      <w:r w:rsidRPr="00DA57DA">
        <w:rPr>
          <w:rFonts w:asciiTheme="majorHAnsi" w:eastAsia="Calibri" w:hAnsiTheme="majorHAnsi" w:cs="Times New Roman"/>
          <w:bCs w:val="0"/>
          <w:color w:val="7F7F7F" w:themeColor="text1" w:themeTint="80"/>
          <w:sz w:val="21"/>
          <w:szCs w:val="21"/>
          <w:lang w:val="sr-Cyrl-RS"/>
        </w:rPr>
        <w:t xml:space="preserve">У наредној табели приказани су пројектовани износи дефицита под претпоставком да у наредном средњорочном периоду нису примењене мере фискалне консолидације. Између осталог, приказан је </w:t>
      </w:r>
      <w:r w:rsidRPr="001206CD">
        <w:rPr>
          <w:rFonts w:asciiTheme="majorHAnsi" w:eastAsia="Calibri" w:hAnsiTheme="majorHAnsi" w:cs="Times New Roman"/>
          <w:b/>
          <w:bCs w:val="0"/>
          <w:color w:val="7F7F7F" w:themeColor="text1" w:themeTint="80"/>
          <w:sz w:val="21"/>
          <w:szCs w:val="21"/>
          <w:lang w:val="sr-Cyrl-RS"/>
        </w:rPr>
        <w:t>примарни резултат</w:t>
      </w:r>
      <w:r w:rsidRPr="00DA57DA">
        <w:rPr>
          <w:rFonts w:asciiTheme="majorHAnsi" w:eastAsia="Calibri" w:hAnsiTheme="majorHAnsi" w:cs="Times New Roman"/>
          <w:bCs w:val="0"/>
          <w:color w:val="7F7F7F" w:themeColor="text1" w:themeTint="80"/>
          <w:sz w:val="21"/>
          <w:szCs w:val="21"/>
          <w:lang w:val="sr-Cyrl-RS"/>
        </w:rPr>
        <w:t xml:space="preserve">, који се добија када се укупан резултат умањи за приходе и расходе по основу наплаћених/плаћених камата. Однос између примарног дефицита и производног јаза представља један од показатеља карактера фискалне политике. С обзиром да је од средине 2009. године забележен пад овог показатеља може се рећи да одређени степен консолидације постоји. Са друге стране, растући тренд учешћа расхода за камате постаје све већи проблем. </w:t>
      </w:r>
      <w:r w:rsidRPr="001206CD">
        <w:rPr>
          <w:rFonts w:asciiTheme="majorHAnsi" w:eastAsia="Calibri" w:hAnsiTheme="majorHAnsi" w:cs="Times New Roman"/>
          <w:b/>
          <w:bCs w:val="0"/>
          <w:color w:val="7F7F7F" w:themeColor="text1" w:themeTint="80"/>
          <w:sz w:val="21"/>
          <w:szCs w:val="21"/>
          <w:lang w:val="sr-Cyrl-RS"/>
        </w:rPr>
        <w:t>Консолидовани фискални резултат</w:t>
      </w:r>
      <w:r w:rsidRPr="00DA57DA">
        <w:rPr>
          <w:rFonts w:asciiTheme="majorHAnsi" w:eastAsia="Calibri" w:hAnsiTheme="majorHAnsi" w:cs="Times New Roman"/>
          <w:bCs w:val="0"/>
          <w:color w:val="7F7F7F" w:themeColor="text1" w:themeTint="80"/>
          <w:sz w:val="21"/>
          <w:szCs w:val="21"/>
          <w:lang w:val="sr-Cyrl-RS"/>
        </w:rPr>
        <w:t xml:space="preserve"> представља фискални резултат у који су на расходној страни укључене финансијске трансакције државе као што су плаћање активираних гаранција, докапитализације банака (чији су биланси негативни) и предузећа, преузимање дуга других државних ентитета и друго. Иако ови издаци нису до сада били третирани као ставка расхода, самим тим и као део дефицита, њихова реализација је заправо била рефлектована у повећању нивоа јавног дуга. Укључивањем ових издатака у расходе успоставља се чвршћа веза између оствареног фискалног резултата и нето-промене у стању јавног дуга</w:t>
      </w:r>
      <w:r w:rsidR="00CF0897" w:rsidRPr="00171A80">
        <w:rPr>
          <w:rFonts w:asciiTheme="majorHAnsi" w:eastAsia="Calibri" w:hAnsiTheme="majorHAnsi" w:cs="Times New Roman"/>
          <w:bCs w:val="0"/>
          <w:color w:val="7F7F7F" w:themeColor="text1" w:themeTint="80"/>
          <w:sz w:val="21"/>
          <w:szCs w:val="21"/>
          <w:lang w:val="sr-Cyrl-RS"/>
        </w:rPr>
        <w:t>.</w:t>
      </w:r>
    </w:p>
    <w:p w:rsidR="00CF0897" w:rsidRPr="00171A80" w:rsidRDefault="00CF0897">
      <w:pPr>
        <w:spacing w:after="0"/>
        <w:ind w:firstLine="0"/>
        <w:jc w:val="left"/>
        <w:rPr>
          <w:rFonts w:asciiTheme="majorHAnsi" w:eastAsia="Calibri" w:hAnsiTheme="majorHAnsi" w:cs="Times New Roman"/>
          <w:bCs w:val="0"/>
          <w:color w:val="FF0000"/>
          <w:sz w:val="21"/>
          <w:szCs w:val="22"/>
          <w:lang w:val="sr-Cyrl-RS"/>
        </w:rPr>
      </w:pPr>
      <w:r w:rsidRPr="00171A80">
        <w:rPr>
          <w:rFonts w:asciiTheme="majorHAnsi" w:eastAsia="Calibri" w:hAnsiTheme="majorHAnsi" w:cs="Times New Roman"/>
          <w:bCs w:val="0"/>
          <w:color w:val="FF0000"/>
          <w:sz w:val="21"/>
          <w:szCs w:val="22"/>
          <w:lang w:val="sr-Cyrl-RS"/>
        </w:rPr>
        <w:br w:type="page"/>
      </w:r>
    </w:p>
    <w:p w:rsidR="003F2BA0" w:rsidRPr="00171A80" w:rsidRDefault="003F2BA0" w:rsidP="003F2BA0">
      <w:pPr>
        <w:ind w:firstLine="0"/>
        <w:jc w:val="left"/>
        <w:rPr>
          <w:rFonts w:asciiTheme="majorHAnsi" w:eastAsia="Calibri" w:hAnsiTheme="majorHAnsi" w:cs="Times New Roman"/>
          <w:bCs w:val="0"/>
          <w:color w:val="808080" w:themeColor="background1" w:themeShade="80"/>
          <w:sz w:val="21"/>
          <w:szCs w:val="21"/>
          <w:lang w:val="sr-Cyrl-RS"/>
        </w:rPr>
      </w:pPr>
      <w:r w:rsidRPr="00171A80">
        <w:rPr>
          <w:rFonts w:asciiTheme="majorHAnsi" w:eastAsia="Calibri" w:hAnsiTheme="majorHAnsi" w:cs="Times New Roman"/>
          <w:b/>
          <w:bCs w:val="0"/>
          <w:color w:val="808080" w:themeColor="background1" w:themeShade="80"/>
          <w:sz w:val="21"/>
          <w:szCs w:val="22"/>
          <w:lang w:val="sr-Cyrl-RS"/>
        </w:rPr>
        <w:lastRenderedPageBreak/>
        <w:t xml:space="preserve">Табела </w:t>
      </w:r>
      <w:r w:rsidR="003F6B80" w:rsidRPr="00171A80">
        <w:rPr>
          <w:rFonts w:asciiTheme="majorHAnsi" w:eastAsia="Calibri" w:hAnsiTheme="majorHAnsi" w:cs="Times New Roman"/>
          <w:b/>
          <w:bCs w:val="0"/>
          <w:color w:val="808080" w:themeColor="background1" w:themeShade="80"/>
          <w:sz w:val="21"/>
          <w:szCs w:val="22"/>
          <w:lang w:val="sr-Cyrl-RS"/>
        </w:rPr>
        <w:t>7</w:t>
      </w:r>
      <w:r w:rsidRPr="00171A80">
        <w:rPr>
          <w:rFonts w:asciiTheme="majorHAnsi" w:eastAsia="Calibri" w:hAnsiTheme="majorHAnsi" w:cs="Times New Roman"/>
          <w:b/>
          <w:bCs w:val="0"/>
          <w:color w:val="808080" w:themeColor="background1" w:themeShade="80"/>
          <w:sz w:val="21"/>
          <w:szCs w:val="22"/>
          <w:lang w:val="sr-Cyrl-RS"/>
        </w:rPr>
        <w:t>.</w:t>
      </w:r>
      <w:r w:rsidRPr="00171A80">
        <w:rPr>
          <w:rFonts w:asciiTheme="majorHAnsi" w:eastAsia="Calibri" w:hAnsiTheme="majorHAnsi" w:cs="Times New Roman"/>
          <w:bCs w:val="0"/>
          <w:color w:val="808080" w:themeColor="background1" w:themeShade="80"/>
          <w:sz w:val="21"/>
          <w:szCs w:val="22"/>
          <w:lang w:val="sr-Cyrl-RS"/>
        </w:rPr>
        <w:t xml:space="preserve"> Ф</w:t>
      </w:r>
      <w:r w:rsidR="00885174" w:rsidRPr="00171A80">
        <w:rPr>
          <w:rFonts w:asciiTheme="majorHAnsi" w:eastAsia="Calibri" w:hAnsiTheme="majorHAnsi" w:cs="Times New Roman"/>
          <w:bCs w:val="0"/>
          <w:color w:val="808080" w:themeColor="background1" w:themeShade="80"/>
          <w:sz w:val="21"/>
          <w:szCs w:val="22"/>
          <w:lang w:val="sr-Cyrl-RS"/>
        </w:rPr>
        <w:t>искални агрегати у периоду 2014</w:t>
      </w:r>
      <w:r w:rsidRPr="00171A80">
        <w:rPr>
          <w:rFonts w:asciiTheme="majorHAnsi" w:eastAsia="Calibri" w:hAnsiTheme="majorHAnsi" w:cs="Times New Roman"/>
          <w:bCs w:val="0"/>
          <w:color w:val="808080" w:themeColor="background1" w:themeShade="80"/>
          <w:sz w:val="21"/>
          <w:szCs w:val="22"/>
          <w:lang w:val="sr-Cyrl-RS"/>
        </w:rPr>
        <w:t xml:space="preserve">-2017. године, у % БДП, сценарио </w:t>
      </w:r>
      <w:r w:rsidRPr="00171A80">
        <w:rPr>
          <w:rFonts w:asciiTheme="majorHAnsi" w:eastAsia="Calibri" w:hAnsiTheme="majorHAnsi" w:cs="Times New Roman"/>
          <w:b/>
          <w:bCs w:val="0"/>
          <w:color w:val="808080" w:themeColor="background1" w:themeShade="80"/>
          <w:sz w:val="21"/>
          <w:szCs w:val="22"/>
          <w:lang w:val="sr-Cyrl-RS"/>
        </w:rPr>
        <w:t>без примене мера</w:t>
      </w:r>
      <w:r w:rsidR="00CF0897" w:rsidRPr="00171A80">
        <w:rPr>
          <w:rFonts w:asciiTheme="majorHAnsi" w:eastAsia="Calibri" w:hAnsiTheme="majorHAnsi" w:cs="Times New Roman"/>
          <w:b/>
          <w:bCs w:val="0"/>
          <w:color w:val="808080" w:themeColor="background1" w:themeShade="80"/>
          <w:sz w:val="21"/>
          <w:szCs w:val="22"/>
          <w:lang w:val="sr-Cyrl-RS"/>
        </w:rPr>
        <w:t xml:space="preserve"> фискалне</w:t>
      </w:r>
      <w:r w:rsidRPr="00171A80">
        <w:rPr>
          <w:rFonts w:asciiTheme="majorHAnsi" w:eastAsia="Calibri" w:hAnsiTheme="majorHAnsi" w:cs="Times New Roman"/>
          <w:b/>
          <w:bCs w:val="0"/>
          <w:color w:val="808080" w:themeColor="background1" w:themeShade="80"/>
          <w:sz w:val="21"/>
          <w:szCs w:val="22"/>
          <w:lang w:val="sr-Cyrl-RS"/>
        </w:rPr>
        <w:t xml:space="preserve"> консолидације</w:t>
      </w:r>
    </w:p>
    <w:tbl>
      <w:tblPr>
        <w:tblStyle w:val="LightShading-Accent331"/>
        <w:tblW w:w="5035" w:type="pct"/>
        <w:tblLook w:val="0420" w:firstRow="1" w:lastRow="0" w:firstColumn="0" w:lastColumn="0" w:noHBand="0" w:noVBand="1"/>
      </w:tblPr>
      <w:tblGrid>
        <w:gridCol w:w="5018"/>
        <w:gridCol w:w="1332"/>
        <w:gridCol w:w="913"/>
        <w:gridCol w:w="913"/>
        <w:gridCol w:w="913"/>
      </w:tblGrid>
      <w:tr w:rsidR="003F2BA0" w:rsidRPr="00171A80" w:rsidTr="003F2BA0">
        <w:trPr>
          <w:cnfStyle w:val="100000000000" w:firstRow="1" w:lastRow="0" w:firstColumn="0" w:lastColumn="0" w:oddVBand="0" w:evenVBand="0" w:oddHBand="0" w:evenHBand="0" w:firstRowFirstColumn="0" w:firstRowLastColumn="0" w:lastRowFirstColumn="0" w:lastRowLastColumn="0"/>
          <w:trHeight w:val="23"/>
        </w:trPr>
        <w:tc>
          <w:tcPr>
            <w:tcW w:w="2761" w:type="pct"/>
            <w:noWrap/>
          </w:tcPr>
          <w:p w:rsidR="003F2BA0" w:rsidRPr="00171A80" w:rsidRDefault="003F2BA0" w:rsidP="003F2BA0">
            <w:pPr>
              <w:keepNext/>
              <w:widowControl w:val="0"/>
              <w:spacing w:after="0"/>
              <w:ind w:firstLine="0"/>
              <w:rPr>
                <w:rFonts w:asciiTheme="majorHAnsi" w:hAnsiTheme="majorHAnsi"/>
                <w:b w:val="0"/>
                <w:bCs/>
                <w:color w:val="7F7F7F" w:themeColor="text1" w:themeTint="80"/>
                <w:sz w:val="20"/>
                <w:szCs w:val="20"/>
                <w:lang w:val="sr-Cyrl-RS"/>
              </w:rPr>
            </w:pPr>
          </w:p>
        </w:tc>
        <w:tc>
          <w:tcPr>
            <w:tcW w:w="733" w:type="pct"/>
          </w:tcPr>
          <w:p w:rsidR="003F2BA0" w:rsidRPr="00171A80" w:rsidRDefault="003F2BA0" w:rsidP="003F2BA0">
            <w:pPr>
              <w:keepNext/>
              <w:widowControl w:val="0"/>
              <w:spacing w:after="0"/>
              <w:ind w:firstLine="0"/>
              <w:jc w:val="center"/>
              <w:rPr>
                <w:rFonts w:asciiTheme="majorHAnsi" w:hAnsiTheme="majorHAnsi"/>
                <w:bCs/>
                <w:color w:val="7F7F7F" w:themeColor="text1" w:themeTint="80"/>
                <w:sz w:val="20"/>
                <w:szCs w:val="20"/>
                <w:lang w:val="sr-Cyrl-RS"/>
              </w:rPr>
            </w:pPr>
            <w:r w:rsidRPr="00171A80">
              <w:rPr>
                <w:rFonts w:asciiTheme="majorHAnsi" w:hAnsiTheme="majorHAnsi"/>
                <w:bCs/>
                <w:color w:val="7F7F7F" w:themeColor="text1" w:themeTint="80"/>
                <w:sz w:val="20"/>
                <w:szCs w:val="20"/>
                <w:lang w:val="sr-Cyrl-RS"/>
              </w:rPr>
              <w:t>процена</w:t>
            </w:r>
          </w:p>
        </w:tc>
        <w:tc>
          <w:tcPr>
            <w:tcW w:w="1506" w:type="pct"/>
            <w:gridSpan w:val="3"/>
          </w:tcPr>
          <w:p w:rsidR="003F2BA0" w:rsidRPr="00171A80" w:rsidRDefault="003F2BA0" w:rsidP="003F2BA0">
            <w:pPr>
              <w:keepNext/>
              <w:widowControl w:val="0"/>
              <w:spacing w:after="0"/>
              <w:ind w:firstLine="0"/>
              <w:jc w:val="center"/>
              <w:rPr>
                <w:rFonts w:asciiTheme="majorHAnsi" w:hAnsiTheme="majorHAnsi"/>
                <w:bCs/>
                <w:color w:val="7F7F7F" w:themeColor="text1" w:themeTint="80"/>
                <w:sz w:val="20"/>
                <w:szCs w:val="20"/>
                <w:lang w:val="sr-Cyrl-RS"/>
              </w:rPr>
            </w:pPr>
            <w:r w:rsidRPr="00171A80">
              <w:rPr>
                <w:rFonts w:asciiTheme="majorHAnsi" w:hAnsiTheme="majorHAnsi"/>
                <w:bCs/>
                <w:color w:val="7F7F7F" w:themeColor="text1" w:themeTint="80"/>
                <w:sz w:val="20"/>
                <w:szCs w:val="20"/>
                <w:lang w:val="sr-Cyrl-RS"/>
              </w:rPr>
              <w:t>пројекција</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3"/>
        </w:trPr>
        <w:tc>
          <w:tcPr>
            <w:tcW w:w="2761" w:type="pct"/>
            <w:noWrap/>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w:t>
            </w:r>
          </w:p>
        </w:tc>
        <w:tc>
          <w:tcPr>
            <w:tcW w:w="733" w:type="pct"/>
          </w:tcPr>
          <w:p w:rsidR="003F2BA0" w:rsidRPr="00DC77E8" w:rsidRDefault="003F2BA0" w:rsidP="003F2BA0">
            <w:pPr>
              <w:keepNext/>
              <w:widowControl w:val="0"/>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2014</w:t>
            </w:r>
          </w:p>
        </w:tc>
        <w:tc>
          <w:tcPr>
            <w:tcW w:w="502" w:type="pct"/>
          </w:tcPr>
          <w:p w:rsidR="003F2BA0" w:rsidRPr="00DC77E8" w:rsidRDefault="003F2BA0" w:rsidP="003F2BA0">
            <w:pPr>
              <w:keepNext/>
              <w:widowControl w:val="0"/>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2015</w:t>
            </w:r>
          </w:p>
        </w:tc>
        <w:tc>
          <w:tcPr>
            <w:tcW w:w="502" w:type="pct"/>
          </w:tcPr>
          <w:p w:rsidR="003F2BA0" w:rsidRPr="00DC77E8" w:rsidRDefault="003F2BA0" w:rsidP="003F2BA0">
            <w:pPr>
              <w:keepNext/>
              <w:widowControl w:val="0"/>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2016</w:t>
            </w:r>
          </w:p>
        </w:tc>
        <w:tc>
          <w:tcPr>
            <w:tcW w:w="502" w:type="pct"/>
          </w:tcPr>
          <w:p w:rsidR="003F2BA0" w:rsidRPr="00DC77E8" w:rsidRDefault="003F2BA0" w:rsidP="003F2BA0">
            <w:pPr>
              <w:keepNext/>
              <w:widowControl w:val="0"/>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2017</w:t>
            </w:r>
          </w:p>
        </w:tc>
      </w:tr>
      <w:tr w:rsidR="003F2BA0" w:rsidRPr="00171A80" w:rsidTr="003F2BA0">
        <w:trPr>
          <w:trHeight w:val="23"/>
        </w:trPr>
        <w:tc>
          <w:tcPr>
            <w:tcW w:w="2761"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Јавни приходи</w:t>
            </w:r>
          </w:p>
        </w:tc>
        <w:tc>
          <w:tcPr>
            <w:tcW w:w="733"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40,9</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40,3</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39,5</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39,1</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3"/>
        </w:trPr>
        <w:tc>
          <w:tcPr>
            <w:tcW w:w="2761"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Јавни расходи</w:t>
            </w:r>
          </w:p>
        </w:tc>
        <w:tc>
          <w:tcPr>
            <w:tcW w:w="733"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49,0</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47,6</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46,3</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45,9</w:t>
            </w:r>
          </w:p>
        </w:tc>
      </w:tr>
      <w:tr w:rsidR="003F2BA0" w:rsidRPr="00171A80" w:rsidTr="003F2BA0">
        <w:trPr>
          <w:trHeight w:val="23"/>
        </w:trPr>
        <w:tc>
          <w:tcPr>
            <w:tcW w:w="2761"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Консолидовани фискални резултат</w:t>
            </w:r>
          </w:p>
        </w:tc>
        <w:tc>
          <w:tcPr>
            <w:tcW w:w="733"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-8,1</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-7,3</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-6,8</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-6,8</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3"/>
        </w:trPr>
        <w:tc>
          <w:tcPr>
            <w:tcW w:w="2761"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Примарни консолидовани резултат</w:t>
            </w:r>
          </w:p>
        </w:tc>
        <w:tc>
          <w:tcPr>
            <w:tcW w:w="733"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-5,1</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-2,9</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-2,6</w:t>
            </w:r>
          </w:p>
        </w:tc>
      </w:tr>
      <w:tr w:rsidR="003F2BA0" w:rsidRPr="00171A80" w:rsidTr="003F2BA0">
        <w:trPr>
          <w:trHeight w:val="23"/>
        </w:trPr>
        <w:tc>
          <w:tcPr>
            <w:tcW w:w="2761"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p>
        </w:tc>
        <w:tc>
          <w:tcPr>
            <w:tcW w:w="733"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3"/>
        </w:trPr>
        <w:tc>
          <w:tcPr>
            <w:tcW w:w="2761"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Дуг сектора државе</w:t>
            </w:r>
          </w:p>
        </w:tc>
        <w:tc>
          <w:tcPr>
            <w:tcW w:w="733"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69,9</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78,7</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83,1</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86,1</w:t>
            </w:r>
          </w:p>
        </w:tc>
      </w:tr>
      <w:tr w:rsidR="003F2BA0" w:rsidRPr="00171A80" w:rsidTr="003F2BA0">
        <w:trPr>
          <w:trHeight w:val="23"/>
        </w:trPr>
        <w:tc>
          <w:tcPr>
            <w:tcW w:w="2761"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Реална стопа раста БДП</w:t>
            </w:r>
          </w:p>
        </w:tc>
        <w:tc>
          <w:tcPr>
            <w:tcW w:w="733"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-2,0%</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1,0%</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1,3%</w:t>
            </w:r>
          </w:p>
        </w:tc>
        <w:tc>
          <w:tcPr>
            <w:tcW w:w="502" w:type="pct"/>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1,8%</w:t>
            </w:r>
          </w:p>
        </w:tc>
      </w:tr>
    </w:tbl>
    <w:p w:rsidR="003F2BA0" w:rsidRPr="00171A80" w:rsidRDefault="003F2BA0" w:rsidP="003F2BA0">
      <w:pPr>
        <w:keepNext/>
        <w:widowControl w:val="0"/>
        <w:ind w:firstLine="0"/>
        <w:rPr>
          <w:rFonts w:asciiTheme="majorHAnsi" w:eastAsia="Calibri" w:hAnsiTheme="majorHAnsi" w:cs="Times New Roman"/>
          <w:bCs w:val="0"/>
          <w:color w:val="7F7F7F" w:themeColor="text1" w:themeTint="80"/>
          <w:sz w:val="18"/>
          <w:szCs w:val="18"/>
          <w:lang w:val="sr-Cyrl-RS"/>
        </w:rPr>
      </w:pPr>
      <w:r w:rsidRPr="00BA299D">
        <w:rPr>
          <w:rFonts w:asciiTheme="majorHAnsi" w:eastAsia="Calibri" w:hAnsiTheme="majorHAnsi" w:cs="Times New Roman"/>
          <w:b/>
          <w:bCs w:val="0"/>
          <w:color w:val="7F7F7F" w:themeColor="text1" w:themeTint="80"/>
          <w:sz w:val="18"/>
          <w:szCs w:val="18"/>
          <w:lang w:val="sr-Cyrl-RS"/>
        </w:rPr>
        <w:t>Извор:</w:t>
      </w:r>
      <w:r w:rsidRPr="00171A80">
        <w:rPr>
          <w:rFonts w:asciiTheme="majorHAnsi" w:eastAsia="Calibri" w:hAnsiTheme="majorHAnsi" w:cs="Times New Roman"/>
          <w:bCs w:val="0"/>
          <w:color w:val="7F7F7F" w:themeColor="text1" w:themeTint="80"/>
          <w:sz w:val="18"/>
          <w:szCs w:val="18"/>
          <w:lang w:val="sr-Cyrl-RS"/>
        </w:rPr>
        <w:t xml:space="preserve"> МФИН</w:t>
      </w:r>
    </w:p>
    <w:p w:rsidR="00B360CD" w:rsidRPr="00B360CD" w:rsidRDefault="00B360CD" w:rsidP="00B360CD">
      <w:pPr>
        <w:keepNext/>
        <w:widowControl w:val="0"/>
        <w:ind w:firstLine="706"/>
        <w:rPr>
          <w:rFonts w:asciiTheme="majorHAnsi" w:eastAsia="Calibri" w:hAnsiTheme="majorHAnsi" w:cs="Times New Roman"/>
          <w:bCs w:val="0"/>
          <w:color w:val="7F7F7F" w:themeColor="text1" w:themeTint="80"/>
          <w:sz w:val="21"/>
          <w:szCs w:val="22"/>
          <w:lang w:val="sr-Cyrl-RS"/>
        </w:rPr>
      </w:pPr>
      <w:r w:rsidRPr="00B360CD">
        <w:rPr>
          <w:rFonts w:asciiTheme="majorHAnsi" w:eastAsia="Calibri" w:hAnsiTheme="majorHAnsi" w:cs="Times New Roman"/>
          <w:bCs w:val="0"/>
          <w:color w:val="7F7F7F" w:themeColor="text1" w:themeTint="80"/>
          <w:sz w:val="21"/>
          <w:szCs w:val="22"/>
          <w:lang w:val="sr-Cyrl-RS"/>
        </w:rPr>
        <w:t xml:space="preserve">Претходна табела приказује какво би било кретање учешћа прихода, расхода, дефицита и јавног дуга у периоду од 2014. до 2017. године, да Влада већ крајем </w:t>
      </w:r>
      <w:r w:rsidR="00F74EED">
        <w:rPr>
          <w:rFonts w:asciiTheme="majorHAnsi" w:eastAsia="Calibri" w:hAnsiTheme="majorHAnsi" w:cs="Times New Roman"/>
          <w:bCs w:val="0"/>
          <w:color w:val="7F7F7F" w:themeColor="text1" w:themeTint="80"/>
          <w:sz w:val="21"/>
          <w:szCs w:val="22"/>
          <w:lang w:val="sr-Cyrl-RS"/>
        </w:rPr>
        <w:t>2014.</w:t>
      </w:r>
      <w:r w:rsidRPr="00B360CD">
        <w:rPr>
          <w:rFonts w:asciiTheme="majorHAnsi" w:eastAsia="Calibri" w:hAnsiTheme="majorHAnsi" w:cs="Times New Roman"/>
          <w:bCs w:val="0"/>
          <w:color w:val="7F7F7F" w:themeColor="text1" w:themeTint="80"/>
          <w:sz w:val="21"/>
          <w:szCs w:val="22"/>
          <w:lang w:val="sr-Cyrl-RS"/>
        </w:rPr>
        <w:t xml:space="preserve"> године није ребалансом усвојила нове мере фискалне консолидације. И поред смањења фискалног дефицита, услед постојања мера које су усвојене у претходном периоду, дуг задржава растући тренд. </w:t>
      </w:r>
    </w:p>
    <w:p w:rsidR="003F2BA0" w:rsidRPr="00B360CD" w:rsidRDefault="00B360CD" w:rsidP="00B360CD">
      <w:pPr>
        <w:keepNext/>
        <w:widowControl w:val="0"/>
        <w:ind w:firstLine="706"/>
        <w:rPr>
          <w:rFonts w:asciiTheme="majorHAnsi" w:eastAsia="Calibri" w:hAnsiTheme="majorHAnsi" w:cs="Times New Roman"/>
          <w:color w:val="7F7F7F" w:themeColor="text1" w:themeTint="80"/>
          <w:sz w:val="21"/>
          <w:szCs w:val="22"/>
          <w:lang w:val="sr-Latn-RS"/>
        </w:rPr>
      </w:pPr>
      <w:r w:rsidRPr="00B360CD">
        <w:rPr>
          <w:rFonts w:asciiTheme="majorHAnsi" w:eastAsia="Calibri" w:hAnsiTheme="majorHAnsi" w:cs="Times New Roman"/>
          <w:bCs w:val="0"/>
          <w:color w:val="7F7F7F" w:themeColor="text1" w:themeTint="80"/>
          <w:sz w:val="21"/>
          <w:szCs w:val="22"/>
          <w:lang w:val="sr-Cyrl-RS"/>
        </w:rPr>
        <w:t>Средњорочни фискални оквир са предложеним мерама фискалне консолидације предвиђа значајно смањење дефицита опште државе на 3,8% БДП до 2017. године, уз стабилизацију нивоа јавног дуга и преокретање његовог тренда (78,7% БДП у 2017. години). Ово подразумева кумулативно прилагођавање на дефициту од 4% БДП. Кумулативно прилагођавање је рачунато као разлика у дефициту 2014. године без мера и пројектованом дефициту у 2017. години са мерама</w:t>
      </w:r>
      <w:r>
        <w:rPr>
          <w:rFonts w:asciiTheme="majorHAnsi" w:eastAsia="Calibri" w:hAnsiTheme="majorHAnsi" w:cs="Times New Roman"/>
          <w:bCs w:val="0"/>
          <w:color w:val="7F7F7F" w:themeColor="text1" w:themeTint="80"/>
          <w:sz w:val="21"/>
          <w:szCs w:val="22"/>
          <w:lang w:val="sr-Latn-RS"/>
        </w:rPr>
        <w:t>.</w:t>
      </w:r>
    </w:p>
    <w:p w:rsidR="003F2BA0" w:rsidRPr="00171A80" w:rsidRDefault="003F6B80" w:rsidP="003F2BA0">
      <w:pPr>
        <w:keepNext/>
        <w:widowControl w:val="0"/>
        <w:ind w:firstLine="0"/>
        <w:rPr>
          <w:rFonts w:asciiTheme="majorHAnsi" w:eastAsia="Calibri" w:hAnsiTheme="majorHAnsi" w:cs="Times New Roman"/>
          <w:b/>
          <w:bCs w:val="0"/>
          <w:color w:val="808080" w:themeColor="background1" w:themeShade="80"/>
          <w:sz w:val="21"/>
          <w:szCs w:val="22"/>
          <w:lang w:val="sr-Cyrl-RS"/>
        </w:rPr>
      </w:pPr>
      <w:r w:rsidRPr="00171A80">
        <w:rPr>
          <w:rFonts w:asciiTheme="majorHAnsi" w:eastAsia="Calibri" w:hAnsiTheme="majorHAnsi" w:cs="Times New Roman"/>
          <w:b/>
          <w:bCs w:val="0"/>
          <w:color w:val="808080" w:themeColor="background1" w:themeShade="80"/>
          <w:sz w:val="21"/>
          <w:szCs w:val="22"/>
          <w:lang w:val="sr-Cyrl-RS"/>
        </w:rPr>
        <w:t>Табела 8.</w:t>
      </w:r>
      <w:r w:rsidR="003F2BA0" w:rsidRPr="00171A80">
        <w:rPr>
          <w:rFonts w:asciiTheme="majorHAnsi" w:eastAsia="Calibri" w:hAnsiTheme="majorHAnsi" w:cs="Times New Roman"/>
          <w:bCs w:val="0"/>
          <w:color w:val="808080" w:themeColor="background1" w:themeShade="80"/>
          <w:sz w:val="21"/>
          <w:szCs w:val="22"/>
          <w:lang w:val="sr-Cyrl-RS"/>
        </w:rPr>
        <w:t xml:space="preserve"> Основни фискални агрегати у периоду 2014-2017. године, у % БДП, сценарио </w:t>
      </w:r>
      <w:r w:rsidR="003F2BA0" w:rsidRPr="00171A80">
        <w:rPr>
          <w:rFonts w:asciiTheme="majorHAnsi" w:eastAsia="Calibri" w:hAnsiTheme="majorHAnsi" w:cs="Times New Roman"/>
          <w:b/>
          <w:bCs w:val="0"/>
          <w:color w:val="808080" w:themeColor="background1" w:themeShade="80"/>
          <w:sz w:val="21"/>
          <w:szCs w:val="22"/>
          <w:lang w:val="sr-Cyrl-RS"/>
        </w:rPr>
        <w:t>са применом мера фискалне консолидације</w:t>
      </w:r>
    </w:p>
    <w:tbl>
      <w:tblPr>
        <w:tblStyle w:val="LightShading-Accent331"/>
        <w:tblW w:w="5061" w:type="pct"/>
        <w:tblLook w:val="0420" w:firstRow="1" w:lastRow="0" w:firstColumn="0" w:lastColumn="0" w:noHBand="0" w:noVBand="1"/>
      </w:tblPr>
      <w:tblGrid>
        <w:gridCol w:w="3672"/>
        <w:gridCol w:w="1432"/>
        <w:gridCol w:w="1299"/>
        <w:gridCol w:w="1367"/>
        <w:gridCol w:w="1366"/>
      </w:tblGrid>
      <w:tr w:rsidR="003F2BA0" w:rsidRPr="00171A80" w:rsidTr="00885174">
        <w:trPr>
          <w:cnfStyle w:val="100000000000" w:firstRow="1" w:lastRow="0" w:firstColumn="0" w:lastColumn="0" w:oddVBand="0" w:evenVBand="0" w:oddHBand="0" w:evenHBand="0" w:firstRowFirstColumn="0" w:firstRowLastColumn="0" w:lastRowFirstColumn="0" w:lastRowLastColumn="0"/>
          <w:trHeight w:val="25"/>
        </w:trPr>
        <w:tc>
          <w:tcPr>
            <w:tcW w:w="2010" w:type="pct"/>
            <w:noWrap/>
          </w:tcPr>
          <w:p w:rsidR="003F2BA0" w:rsidRPr="00171A80" w:rsidRDefault="003F2BA0" w:rsidP="003F2BA0">
            <w:pPr>
              <w:keepNext/>
              <w:widowControl w:val="0"/>
              <w:spacing w:after="0"/>
              <w:ind w:firstLine="0"/>
              <w:rPr>
                <w:rFonts w:asciiTheme="majorHAnsi" w:hAnsiTheme="majorHAnsi"/>
                <w:b w:val="0"/>
                <w:bCs/>
                <w:color w:val="7F7F7F" w:themeColor="text1" w:themeTint="80"/>
                <w:sz w:val="20"/>
                <w:szCs w:val="20"/>
                <w:lang w:val="sr-Cyrl-RS"/>
              </w:rPr>
            </w:pPr>
          </w:p>
        </w:tc>
        <w:tc>
          <w:tcPr>
            <w:tcW w:w="784" w:type="pct"/>
          </w:tcPr>
          <w:p w:rsidR="003F2BA0" w:rsidRPr="00171A80" w:rsidRDefault="003F2BA0" w:rsidP="003F2BA0">
            <w:pPr>
              <w:keepNext/>
              <w:widowControl w:val="0"/>
              <w:spacing w:after="0"/>
              <w:ind w:firstLine="0"/>
              <w:jc w:val="center"/>
              <w:rPr>
                <w:rFonts w:asciiTheme="majorHAnsi" w:hAnsiTheme="majorHAnsi"/>
                <w:bCs/>
                <w:color w:val="7F7F7F" w:themeColor="text1" w:themeTint="80"/>
                <w:sz w:val="20"/>
                <w:szCs w:val="20"/>
                <w:lang w:val="sr-Cyrl-RS"/>
              </w:rPr>
            </w:pPr>
            <w:r w:rsidRPr="00171A80">
              <w:rPr>
                <w:rFonts w:asciiTheme="majorHAnsi" w:hAnsiTheme="majorHAnsi"/>
                <w:bCs/>
                <w:color w:val="7F7F7F" w:themeColor="text1" w:themeTint="80"/>
                <w:sz w:val="20"/>
                <w:szCs w:val="20"/>
                <w:lang w:val="sr-Cyrl-RS"/>
              </w:rPr>
              <w:t>процена</w:t>
            </w:r>
          </w:p>
        </w:tc>
        <w:tc>
          <w:tcPr>
            <w:tcW w:w="2206" w:type="pct"/>
            <w:gridSpan w:val="3"/>
          </w:tcPr>
          <w:p w:rsidR="003F2BA0" w:rsidRPr="00171A80" w:rsidRDefault="003F2BA0" w:rsidP="003F2BA0">
            <w:pPr>
              <w:keepNext/>
              <w:widowControl w:val="0"/>
              <w:spacing w:after="0"/>
              <w:ind w:firstLine="0"/>
              <w:jc w:val="center"/>
              <w:rPr>
                <w:rFonts w:asciiTheme="majorHAnsi" w:hAnsiTheme="majorHAnsi"/>
                <w:bCs/>
                <w:color w:val="7F7F7F" w:themeColor="text1" w:themeTint="80"/>
                <w:sz w:val="20"/>
                <w:szCs w:val="20"/>
                <w:lang w:val="sr-Cyrl-RS"/>
              </w:rPr>
            </w:pPr>
            <w:r w:rsidRPr="00171A80">
              <w:rPr>
                <w:rFonts w:asciiTheme="majorHAnsi" w:hAnsiTheme="majorHAnsi"/>
                <w:bCs/>
                <w:color w:val="7F7F7F" w:themeColor="text1" w:themeTint="80"/>
                <w:sz w:val="20"/>
                <w:szCs w:val="20"/>
                <w:lang w:val="sr-Cyrl-RS"/>
              </w:rPr>
              <w:t>пројекција</w:t>
            </w:r>
          </w:p>
        </w:tc>
      </w:tr>
      <w:tr w:rsidR="003F2BA0" w:rsidRPr="00171A80" w:rsidTr="00885174">
        <w:trPr>
          <w:cnfStyle w:val="000000100000" w:firstRow="0" w:lastRow="0" w:firstColumn="0" w:lastColumn="0" w:oddVBand="0" w:evenVBand="0" w:oddHBand="1" w:evenHBand="0" w:firstRowFirstColumn="0" w:firstRowLastColumn="0" w:lastRowFirstColumn="0" w:lastRowLastColumn="0"/>
          <w:trHeight w:val="25"/>
        </w:trPr>
        <w:tc>
          <w:tcPr>
            <w:tcW w:w="2010" w:type="pct"/>
            <w:noWrap/>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w:t>
            </w:r>
          </w:p>
        </w:tc>
        <w:tc>
          <w:tcPr>
            <w:tcW w:w="784" w:type="pct"/>
          </w:tcPr>
          <w:p w:rsidR="003F2BA0" w:rsidRPr="00DC77E8" w:rsidRDefault="003F2BA0" w:rsidP="00DC77E8">
            <w:pPr>
              <w:keepNext/>
              <w:widowControl w:val="0"/>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2014</w:t>
            </w:r>
          </w:p>
        </w:tc>
        <w:tc>
          <w:tcPr>
            <w:tcW w:w="711" w:type="pct"/>
          </w:tcPr>
          <w:p w:rsidR="003F2BA0" w:rsidRPr="00DC77E8" w:rsidRDefault="003F2BA0" w:rsidP="00DC77E8">
            <w:pPr>
              <w:keepNext/>
              <w:widowControl w:val="0"/>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2015</w:t>
            </w:r>
          </w:p>
        </w:tc>
        <w:tc>
          <w:tcPr>
            <w:tcW w:w="748" w:type="pct"/>
          </w:tcPr>
          <w:p w:rsidR="003F2BA0" w:rsidRPr="00DC77E8" w:rsidRDefault="003F2BA0" w:rsidP="00DC77E8">
            <w:pPr>
              <w:keepNext/>
              <w:widowControl w:val="0"/>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2016</w:t>
            </w:r>
          </w:p>
        </w:tc>
        <w:tc>
          <w:tcPr>
            <w:tcW w:w="748" w:type="pct"/>
          </w:tcPr>
          <w:p w:rsidR="003F2BA0" w:rsidRPr="00DC77E8" w:rsidRDefault="003F2BA0" w:rsidP="00DC77E8">
            <w:pPr>
              <w:keepNext/>
              <w:widowControl w:val="0"/>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2017</w:t>
            </w:r>
          </w:p>
        </w:tc>
      </w:tr>
      <w:tr w:rsidR="003F2BA0" w:rsidRPr="00171A80" w:rsidTr="00885174">
        <w:trPr>
          <w:trHeight w:val="25"/>
        </w:trPr>
        <w:tc>
          <w:tcPr>
            <w:tcW w:w="2010"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Јавни приходи</w:t>
            </w:r>
          </w:p>
        </w:tc>
        <w:tc>
          <w:tcPr>
            <w:tcW w:w="784" w:type="pct"/>
          </w:tcPr>
          <w:p w:rsidR="003F2BA0" w:rsidRPr="00171A80" w:rsidRDefault="003F2BA0" w:rsidP="003F2BA0">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40,9</w:t>
            </w:r>
          </w:p>
        </w:tc>
        <w:tc>
          <w:tcPr>
            <w:tcW w:w="711" w:type="pct"/>
          </w:tcPr>
          <w:p w:rsidR="003F2BA0" w:rsidRPr="00171A80" w:rsidRDefault="001A4477"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40,3</w:t>
            </w:r>
          </w:p>
        </w:tc>
        <w:tc>
          <w:tcPr>
            <w:tcW w:w="748" w:type="pct"/>
          </w:tcPr>
          <w:p w:rsidR="003F2BA0" w:rsidRPr="00171A80" w:rsidRDefault="001A4477"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39,1</w:t>
            </w:r>
          </w:p>
        </w:tc>
        <w:tc>
          <w:tcPr>
            <w:tcW w:w="748" w:type="pct"/>
          </w:tcPr>
          <w:p w:rsidR="003F2BA0" w:rsidRPr="00171A80" w:rsidRDefault="001A4477"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38,2</w:t>
            </w:r>
          </w:p>
        </w:tc>
      </w:tr>
      <w:tr w:rsidR="003F2BA0" w:rsidRPr="00171A80" w:rsidTr="00885174">
        <w:trPr>
          <w:cnfStyle w:val="000000100000" w:firstRow="0" w:lastRow="0" w:firstColumn="0" w:lastColumn="0" w:oddVBand="0" w:evenVBand="0" w:oddHBand="1" w:evenHBand="0" w:firstRowFirstColumn="0" w:firstRowLastColumn="0" w:lastRowFirstColumn="0" w:lastRowLastColumn="0"/>
          <w:trHeight w:val="25"/>
        </w:trPr>
        <w:tc>
          <w:tcPr>
            <w:tcW w:w="2010"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Јавни расходи</w:t>
            </w:r>
          </w:p>
        </w:tc>
        <w:tc>
          <w:tcPr>
            <w:tcW w:w="784" w:type="pct"/>
          </w:tcPr>
          <w:p w:rsidR="003F2BA0" w:rsidRPr="00171A80" w:rsidRDefault="003F2BA0" w:rsidP="003F2BA0">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48,9</w:t>
            </w:r>
          </w:p>
        </w:tc>
        <w:tc>
          <w:tcPr>
            <w:tcW w:w="711" w:type="pct"/>
          </w:tcPr>
          <w:p w:rsidR="003F2BA0" w:rsidRPr="00171A80" w:rsidRDefault="001A4477"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46,1</w:t>
            </w:r>
          </w:p>
        </w:tc>
        <w:tc>
          <w:tcPr>
            <w:tcW w:w="748" w:type="pct"/>
          </w:tcPr>
          <w:p w:rsidR="003F2BA0" w:rsidRPr="00171A80" w:rsidRDefault="001A4477"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43,8</w:t>
            </w:r>
          </w:p>
        </w:tc>
        <w:tc>
          <w:tcPr>
            <w:tcW w:w="748" w:type="pct"/>
          </w:tcPr>
          <w:p w:rsidR="003F2BA0" w:rsidRPr="00171A80" w:rsidRDefault="001A4477"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41,9</w:t>
            </w:r>
          </w:p>
        </w:tc>
      </w:tr>
      <w:tr w:rsidR="003F2BA0" w:rsidRPr="00171A80" w:rsidTr="00885174">
        <w:trPr>
          <w:trHeight w:val="25"/>
        </w:trPr>
        <w:tc>
          <w:tcPr>
            <w:tcW w:w="2010"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Консолидовани фискални резултат</w:t>
            </w:r>
          </w:p>
        </w:tc>
        <w:tc>
          <w:tcPr>
            <w:tcW w:w="784" w:type="pct"/>
          </w:tcPr>
          <w:p w:rsidR="003F2BA0" w:rsidRPr="00171A80" w:rsidRDefault="003F2BA0" w:rsidP="003F2BA0">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-7,9</w:t>
            </w:r>
          </w:p>
        </w:tc>
        <w:tc>
          <w:tcPr>
            <w:tcW w:w="711"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-5,9</w:t>
            </w:r>
          </w:p>
        </w:tc>
        <w:tc>
          <w:tcPr>
            <w:tcW w:w="748"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-4,7</w:t>
            </w:r>
          </w:p>
        </w:tc>
        <w:tc>
          <w:tcPr>
            <w:tcW w:w="748"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-3,8</w:t>
            </w:r>
          </w:p>
        </w:tc>
      </w:tr>
      <w:tr w:rsidR="003F2BA0" w:rsidRPr="00171A80" w:rsidTr="00885174">
        <w:trPr>
          <w:cnfStyle w:val="000000100000" w:firstRow="0" w:lastRow="0" w:firstColumn="0" w:lastColumn="0" w:oddVBand="0" w:evenVBand="0" w:oddHBand="1" w:evenHBand="0" w:firstRowFirstColumn="0" w:firstRowLastColumn="0" w:lastRowFirstColumn="0" w:lastRowLastColumn="0"/>
          <w:trHeight w:val="25"/>
        </w:trPr>
        <w:tc>
          <w:tcPr>
            <w:tcW w:w="2010"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Примарни консолидовани резултат</w:t>
            </w:r>
          </w:p>
        </w:tc>
        <w:tc>
          <w:tcPr>
            <w:tcW w:w="784" w:type="pct"/>
          </w:tcPr>
          <w:p w:rsidR="003F2BA0" w:rsidRPr="00171A80" w:rsidRDefault="003F2BA0" w:rsidP="003F2BA0">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-4,9</w:t>
            </w:r>
          </w:p>
        </w:tc>
        <w:tc>
          <w:tcPr>
            <w:tcW w:w="711"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-2,5</w:t>
            </w:r>
          </w:p>
        </w:tc>
        <w:tc>
          <w:tcPr>
            <w:tcW w:w="748"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-0,9</w:t>
            </w:r>
          </w:p>
        </w:tc>
        <w:tc>
          <w:tcPr>
            <w:tcW w:w="748"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0,2</w:t>
            </w:r>
          </w:p>
        </w:tc>
      </w:tr>
      <w:tr w:rsidR="003F2BA0" w:rsidRPr="00171A80" w:rsidTr="00885174">
        <w:trPr>
          <w:trHeight w:val="25"/>
        </w:trPr>
        <w:tc>
          <w:tcPr>
            <w:tcW w:w="2010"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p>
        </w:tc>
        <w:tc>
          <w:tcPr>
            <w:tcW w:w="784" w:type="pct"/>
          </w:tcPr>
          <w:p w:rsidR="003F2BA0" w:rsidRPr="00171A80" w:rsidRDefault="003F2BA0" w:rsidP="003F2BA0">
            <w:pPr>
              <w:keepNext/>
              <w:widowControl w:val="0"/>
              <w:spacing w:after="0"/>
              <w:jc w:val="right"/>
              <w:rPr>
                <w:rFonts w:asciiTheme="majorHAnsi" w:hAnsiTheme="majorHAnsi"/>
                <w:color w:val="7F7F7F" w:themeColor="text1" w:themeTint="80"/>
                <w:sz w:val="20"/>
                <w:szCs w:val="20"/>
                <w:lang w:val="sr-Cyrl-RS"/>
              </w:rPr>
            </w:pPr>
          </w:p>
        </w:tc>
        <w:tc>
          <w:tcPr>
            <w:tcW w:w="711"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p>
        </w:tc>
        <w:tc>
          <w:tcPr>
            <w:tcW w:w="748"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p>
        </w:tc>
        <w:tc>
          <w:tcPr>
            <w:tcW w:w="748"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p>
        </w:tc>
      </w:tr>
      <w:tr w:rsidR="003F2BA0" w:rsidRPr="00171A80" w:rsidTr="00885174">
        <w:trPr>
          <w:cnfStyle w:val="000000100000" w:firstRow="0" w:lastRow="0" w:firstColumn="0" w:lastColumn="0" w:oddVBand="0" w:evenVBand="0" w:oddHBand="1" w:evenHBand="0" w:firstRowFirstColumn="0" w:firstRowLastColumn="0" w:lastRowFirstColumn="0" w:lastRowLastColumn="0"/>
          <w:trHeight w:val="25"/>
        </w:trPr>
        <w:tc>
          <w:tcPr>
            <w:tcW w:w="2010"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Дуг сектора државе</w:t>
            </w:r>
          </w:p>
        </w:tc>
        <w:tc>
          <w:tcPr>
            <w:tcW w:w="784" w:type="pct"/>
          </w:tcPr>
          <w:p w:rsidR="003F2BA0" w:rsidRPr="00171A80" w:rsidRDefault="003F2BA0" w:rsidP="003F2BA0">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69,9</w:t>
            </w:r>
          </w:p>
        </w:tc>
        <w:tc>
          <w:tcPr>
            <w:tcW w:w="711"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77,7</w:t>
            </w:r>
          </w:p>
        </w:tc>
        <w:tc>
          <w:tcPr>
            <w:tcW w:w="748"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79,2</w:t>
            </w:r>
          </w:p>
        </w:tc>
        <w:tc>
          <w:tcPr>
            <w:tcW w:w="748"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78,7</w:t>
            </w:r>
          </w:p>
        </w:tc>
      </w:tr>
      <w:tr w:rsidR="003F2BA0" w:rsidRPr="00171A80" w:rsidTr="00885174">
        <w:trPr>
          <w:trHeight w:val="25"/>
        </w:trPr>
        <w:tc>
          <w:tcPr>
            <w:tcW w:w="2010"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Реална стопа раста БДП</w:t>
            </w:r>
          </w:p>
        </w:tc>
        <w:tc>
          <w:tcPr>
            <w:tcW w:w="784" w:type="pct"/>
          </w:tcPr>
          <w:p w:rsidR="003F2BA0" w:rsidRPr="00171A80" w:rsidRDefault="00885174" w:rsidP="003F2BA0">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w:t>
            </w:r>
            <w:r w:rsidR="003F2BA0" w:rsidRPr="00171A80">
              <w:rPr>
                <w:rFonts w:asciiTheme="majorHAnsi" w:hAnsiTheme="majorHAnsi"/>
                <w:color w:val="7F7F7F" w:themeColor="text1" w:themeTint="80"/>
                <w:sz w:val="20"/>
                <w:szCs w:val="20"/>
                <w:lang w:val="sr-Cyrl-RS"/>
              </w:rPr>
              <w:t>2,0%</w:t>
            </w:r>
          </w:p>
        </w:tc>
        <w:tc>
          <w:tcPr>
            <w:tcW w:w="711" w:type="pct"/>
          </w:tcPr>
          <w:p w:rsidR="003F2BA0" w:rsidRPr="00171A80" w:rsidRDefault="003F2BA0" w:rsidP="00B62A49">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xml:space="preserve"> -0,5%</w:t>
            </w:r>
          </w:p>
        </w:tc>
        <w:tc>
          <w:tcPr>
            <w:tcW w:w="748" w:type="pct"/>
          </w:tcPr>
          <w:p w:rsidR="003F2BA0" w:rsidRPr="00171A80" w:rsidRDefault="003F2BA0"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1,5%</w:t>
            </w:r>
          </w:p>
        </w:tc>
        <w:tc>
          <w:tcPr>
            <w:tcW w:w="748" w:type="pct"/>
          </w:tcPr>
          <w:p w:rsidR="003F2BA0" w:rsidRPr="00171A80" w:rsidRDefault="00AA4BAD" w:rsidP="00B62A49">
            <w:pPr>
              <w:keepNext/>
              <w:widowControl w:val="0"/>
              <w:spacing w:after="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2,0</w:t>
            </w:r>
            <w:r w:rsidR="003F2BA0" w:rsidRPr="00171A80">
              <w:rPr>
                <w:rFonts w:asciiTheme="majorHAnsi" w:hAnsiTheme="majorHAnsi"/>
                <w:color w:val="7F7F7F" w:themeColor="text1" w:themeTint="80"/>
                <w:sz w:val="20"/>
                <w:szCs w:val="20"/>
                <w:lang w:val="sr-Cyrl-RS"/>
              </w:rPr>
              <w:t>%</w:t>
            </w:r>
          </w:p>
        </w:tc>
      </w:tr>
    </w:tbl>
    <w:p w:rsidR="003F2BA0" w:rsidRPr="00171A80" w:rsidRDefault="003F2BA0" w:rsidP="003F2BA0">
      <w:pPr>
        <w:keepNext/>
        <w:widowControl w:val="0"/>
        <w:ind w:firstLine="0"/>
        <w:rPr>
          <w:rFonts w:asciiTheme="majorHAnsi" w:eastAsia="Calibri" w:hAnsiTheme="majorHAnsi" w:cs="Times New Roman"/>
          <w:bCs w:val="0"/>
          <w:color w:val="7F7F7F" w:themeColor="text1" w:themeTint="80"/>
          <w:sz w:val="18"/>
          <w:szCs w:val="18"/>
          <w:lang w:val="sr-Cyrl-RS"/>
        </w:rPr>
      </w:pPr>
      <w:r w:rsidRPr="00BA299D">
        <w:rPr>
          <w:rFonts w:asciiTheme="majorHAnsi" w:eastAsia="Calibri" w:hAnsiTheme="majorHAnsi" w:cs="Times New Roman"/>
          <w:b/>
          <w:bCs w:val="0"/>
          <w:color w:val="7F7F7F" w:themeColor="text1" w:themeTint="80"/>
          <w:sz w:val="18"/>
          <w:szCs w:val="18"/>
          <w:lang w:val="sr-Cyrl-RS"/>
        </w:rPr>
        <w:t>Извор:</w:t>
      </w:r>
      <w:r w:rsidRPr="00171A80">
        <w:rPr>
          <w:rFonts w:asciiTheme="majorHAnsi" w:eastAsia="Calibri" w:hAnsiTheme="majorHAnsi" w:cs="Times New Roman"/>
          <w:bCs w:val="0"/>
          <w:color w:val="7F7F7F" w:themeColor="text1" w:themeTint="80"/>
          <w:sz w:val="18"/>
          <w:szCs w:val="18"/>
          <w:lang w:val="sr-Cyrl-RS"/>
        </w:rPr>
        <w:t xml:space="preserve"> МФИН</w:t>
      </w:r>
    </w:p>
    <w:p w:rsidR="003F2BA0" w:rsidRPr="00171A80" w:rsidRDefault="00B360CD" w:rsidP="003F2BA0">
      <w:pPr>
        <w:rPr>
          <w:rFonts w:asciiTheme="majorHAnsi" w:eastAsia="Calibri" w:hAnsiTheme="majorHAnsi" w:cs="Times New Roman"/>
          <w:bCs w:val="0"/>
          <w:color w:val="7F7F7F" w:themeColor="text1" w:themeTint="80"/>
          <w:sz w:val="21"/>
          <w:szCs w:val="22"/>
          <w:lang w:val="sr-Cyrl-RS"/>
        </w:rPr>
      </w:pPr>
      <w:r w:rsidRPr="00B360CD">
        <w:rPr>
          <w:rFonts w:asciiTheme="majorHAnsi" w:eastAsia="Calibri" w:hAnsiTheme="majorHAnsi" w:cs="Times New Roman"/>
          <w:bCs w:val="0"/>
          <w:color w:val="7F7F7F" w:themeColor="text1" w:themeTint="80"/>
          <w:sz w:val="21"/>
          <w:szCs w:val="22"/>
          <w:lang w:val="sr-Cyrl-RS"/>
        </w:rPr>
        <w:t>Циљани дефицит у 2017. години је 3,8% БДП. Након снажног смањења дефицита у 2015. години од око 2% БДП у преостале две године прилагођавање ће бити нешто ниже. Треба напоменути да примена одређених мера доводи до повећања одређених расхода што умањује ефекте прилагођавања. Наиме, рационализација јавног сектора захтева већа средства по основу социјалних давања као што су отпремнине и накнаде за незапосленост, у годинама када се мере примењују. Пројекције фискалних агрегата у периоду 2015 - 2017. године заснивају се на пројекцијама макроекономских показатеља за наведени период, планираној пореској политици која подразумева даље усаглашавање са законима и директивама ЕУ и одговарајућим мерама на приходној и расходној страни, укључујући и реформе великих јавних предузећа</w:t>
      </w:r>
      <w:r w:rsidR="00331EFB" w:rsidRPr="00331EFB">
        <w:rPr>
          <w:rFonts w:asciiTheme="majorHAnsi" w:eastAsia="Calibri" w:hAnsiTheme="majorHAnsi" w:cs="Times New Roman"/>
          <w:bCs w:val="0"/>
          <w:color w:val="7F7F7F" w:themeColor="text1" w:themeTint="80"/>
          <w:sz w:val="21"/>
          <w:szCs w:val="22"/>
          <w:lang w:val="sr-Cyrl-RS"/>
        </w:rPr>
        <w:t>.</w:t>
      </w:r>
    </w:p>
    <w:p w:rsidR="003F2BA0" w:rsidRPr="00171A80" w:rsidRDefault="003F2BA0" w:rsidP="003F6B80">
      <w:pPr>
        <w:spacing w:after="0"/>
        <w:ind w:firstLine="0"/>
        <w:jc w:val="center"/>
        <w:rPr>
          <w:rFonts w:asciiTheme="majorHAnsi" w:eastAsia="Calibri" w:hAnsiTheme="majorHAnsi" w:cs="Times New Roman"/>
          <w:b/>
          <w:bCs w:val="0"/>
          <w:color w:val="7F7F7F" w:themeColor="text1" w:themeTint="80"/>
          <w:sz w:val="21"/>
          <w:szCs w:val="22"/>
          <w:lang w:val="sr-Cyrl-RS"/>
        </w:rPr>
      </w:pPr>
      <w:r w:rsidRPr="00171A80">
        <w:rPr>
          <w:rFonts w:asciiTheme="majorHAnsi" w:eastAsia="Calibri" w:hAnsiTheme="majorHAnsi" w:cs="Times New Roman"/>
          <w:bCs w:val="0"/>
          <w:color w:val="7F7F7F" w:themeColor="text1" w:themeTint="80"/>
          <w:sz w:val="21"/>
          <w:szCs w:val="22"/>
          <w:lang w:val="sr-Cyrl-RS"/>
        </w:rPr>
        <w:br w:type="page"/>
      </w:r>
      <w:r w:rsidR="003F6B80" w:rsidRPr="00171A80">
        <w:rPr>
          <w:rFonts w:asciiTheme="majorHAnsi" w:hAnsiTheme="majorHAnsi"/>
          <w:b/>
          <w:color w:val="808080" w:themeColor="background1" w:themeShade="80"/>
          <w:sz w:val="21"/>
          <w:szCs w:val="21"/>
          <w:lang w:val="sr-Cyrl-RS"/>
        </w:rPr>
        <w:lastRenderedPageBreak/>
        <w:t>Графикон 11</w:t>
      </w:r>
      <w:r w:rsidR="009B4941" w:rsidRPr="00171A80">
        <w:rPr>
          <w:rFonts w:asciiTheme="majorHAnsi" w:hAnsiTheme="majorHAnsi"/>
          <w:b/>
          <w:color w:val="808080" w:themeColor="background1" w:themeShade="80"/>
          <w:sz w:val="21"/>
          <w:szCs w:val="21"/>
          <w:lang w:val="sr-Cyrl-RS"/>
        </w:rPr>
        <w:t>.</w:t>
      </w:r>
      <w:r w:rsidRPr="00171A80">
        <w:rPr>
          <w:rFonts w:asciiTheme="majorHAnsi" w:hAnsiTheme="majorHAnsi"/>
          <w:b/>
          <w:color w:val="808080" w:themeColor="background1" w:themeShade="80"/>
          <w:sz w:val="21"/>
          <w:szCs w:val="21"/>
          <w:lang w:val="sr-Cyrl-RS"/>
        </w:rPr>
        <w:t xml:space="preserve"> </w:t>
      </w:r>
      <w:r w:rsidRPr="00171A80">
        <w:rPr>
          <w:rFonts w:asciiTheme="majorHAnsi" w:hAnsiTheme="majorHAnsi"/>
          <w:b/>
          <w:color w:val="7F7F7F" w:themeColor="text1" w:themeTint="80"/>
          <w:sz w:val="21"/>
          <w:szCs w:val="21"/>
          <w:lang w:val="sr-Cyrl-RS"/>
        </w:rPr>
        <w:t>Дуг и дефицит у % БДП</w:t>
      </w:r>
    </w:p>
    <w:p w:rsidR="003F2BA0" w:rsidRPr="00171A80" w:rsidRDefault="003F2BA0" w:rsidP="009B4941">
      <w:pPr>
        <w:ind w:firstLine="0"/>
        <w:jc w:val="center"/>
        <w:rPr>
          <w:rFonts w:asciiTheme="majorHAnsi" w:hAnsiTheme="majorHAnsi"/>
          <w:lang w:val="sr-Cyrl-RS"/>
        </w:rPr>
      </w:pPr>
      <w:r w:rsidRPr="00171A80">
        <w:rPr>
          <w:rFonts w:asciiTheme="majorHAnsi" w:hAnsiTheme="majorHAnsi"/>
          <w:noProof/>
          <w:lang w:val="en-US"/>
        </w:rPr>
        <w:drawing>
          <wp:inline distT="0" distB="0" distL="0" distR="0" wp14:anchorId="729E9EB0" wp14:editId="4A3ABAAD">
            <wp:extent cx="5731510" cy="3895725"/>
            <wp:effectExtent l="0" t="0" r="254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473C" w:rsidRPr="00171A80" w:rsidRDefault="005A473C" w:rsidP="009B4941">
      <w:pPr>
        <w:ind w:firstLine="0"/>
        <w:rPr>
          <w:rFonts w:asciiTheme="majorHAnsi" w:eastAsia="Calibri" w:hAnsiTheme="majorHAnsi" w:cs="Times New Roman"/>
          <w:b/>
          <w:i/>
          <w:color w:val="4F6228" w:themeColor="accent3" w:themeShade="80"/>
          <w:lang w:val="sr-Cyrl-RS"/>
        </w:rPr>
      </w:pPr>
      <w:bookmarkStart w:id="37" w:name="_Toc370377588"/>
      <w:bookmarkStart w:id="38" w:name="_Toc370469494"/>
      <w:bookmarkStart w:id="39" w:name="_Toc370719268"/>
      <w:bookmarkStart w:id="40" w:name="_Toc337117124"/>
      <w:r w:rsidRPr="00171A80">
        <w:rPr>
          <w:rFonts w:asciiTheme="majorHAnsi" w:eastAsia="Calibri" w:hAnsiTheme="majorHAnsi"/>
          <w:b/>
          <w:i/>
          <w:color w:val="4F6228" w:themeColor="accent3" w:themeShade="80"/>
          <w:lang w:val="sr-Cyrl-RS"/>
        </w:rPr>
        <w:t>Мере</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фискалне</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консолидације</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у</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периоду</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од</w:t>
      </w:r>
      <w:r w:rsidRPr="00171A80">
        <w:rPr>
          <w:rFonts w:asciiTheme="majorHAnsi" w:eastAsia="Calibri" w:hAnsiTheme="majorHAnsi" w:cs="Times New Roman"/>
          <w:b/>
          <w:i/>
          <w:color w:val="4F6228" w:themeColor="accent3" w:themeShade="80"/>
          <w:lang w:val="sr-Cyrl-RS"/>
        </w:rPr>
        <w:t xml:space="preserve"> 201</w:t>
      </w:r>
      <w:r w:rsidR="00C37371" w:rsidRPr="00171A80">
        <w:rPr>
          <w:rFonts w:asciiTheme="majorHAnsi" w:eastAsia="Calibri" w:hAnsiTheme="majorHAnsi" w:cs="Times New Roman"/>
          <w:b/>
          <w:i/>
          <w:color w:val="4F6228" w:themeColor="accent3" w:themeShade="80"/>
          <w:lang w:val="sr-Cyrl-RS"/>
        </w:rPr>
        <w:t>5</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до</w:t>
      </w:r>
      <w:r w:rsidRPr="00171A80">
        <w:rPr>
          <w:rFonts w:asciiTheme="majorHAnsi" w:eastAsia="Calibri" w:hAnsiTheme="majorHAnsi" w:cs="Times New Roman"/>
          <w:b/>
          <w:i/>
          <w:color w:val="4F6228" w:themeColor="accent3" w:themeShade="80"/>
          <w:lang w:val="sr-Cyrl-RS"/>
        </w:rPr>
        <w:t xml:space="preserve"> 201</w:t>
      </w:r>
      <w:r w:rsidR="00C37371" w:rsidRPr="00171A80">
        <w:rPr>
          <w:rFonts w:asciiTheme="majorHAnsi" w:eastAsia="Calibri" w:hAnsiTheme="majorHAnsi" w:cs="Times New Roman"/>
          <w:b/>
          <w:i/>
          <w:color w:val="4F6228" w:themeColor="accent3" w:themeShade="80"/>
          <w:lang w:val="sr-Cyrl-RS"/>
        </w:rPr>
        <w:t>7</w:t>
      </w:r>
      <w:r w:rsidRPr="00171A80">
        <w:rPr>
          <w:rFonts w:asciiTheme="majorHAnsi" w:eastAsia="Calibri" w:hAnsiTheme="majorHAnsi" w:cs="Times New Roman"/>
          <w:b/>
          <w:i/>
          <w:color w:val="4F6228" w:themeColor="accent3" w:themeShade="80"/>
          <w:lang w:val="sr-Cyrl-RS"/>
        </w:rPr>
        <w:t xml:space="preserve">. </w:t>
      </w:r>
      <w:r w:rsidR="00AF1DAF" w:rsidRPr="00171A80">
        <w:rPr>
          <w:rFonts w:asciiTheme="majorHAnsi" w:eastAsia="Calibri" w:hAnsiTheme="majorHAnsi"/>
          <w:b/>
          <w:i/>
          <w:color w:val="4F6228" w:themeColor="accent3" w:themeShade="80"/>
          <w:lang w:val="sr-Cyrl-RS"/>
        </w:rPr>
        <w:t>г</w:t>
      </w:r>
      <w:r w:rsidRPr="00171A80">
        <w:rPr>
          <w:rFonts w:asciiTheme="majorHAnsi" w:eastAsia="Calibri" w:hAnsiTheme="majorHAnsi"/>
          <w:b/>
          <w:i/>
          <w:color w:val="4F6228" w:themeColor="accent3" w:themeShade="80"/>
          <w:lang w:val="sr-Cyrl-RS"/>
        </w:rPr>
        <w:t>одине</w:t>
      </w:r>
      <w:bookmarkEnd w:id="37"/>
      <w:bookmarkEnd w:id="38"/>
      <w:bookmarkEnd w:id="39"/>
    </w:p>
    <w:p w:rsidR="00B360CD" w:rsidRPr="00B360CD" w:rsidRDefault="00B360CD" w:rsidP="00B360CD">
      <w:pPr>
        <w:rPr>
          <w:rFonts w:asciiTheme="majorHAnsi" w:eastAsia="Calibri" w:hAnsiTheme="majorHAnsi" w:cs="Times New Roman"/>
          <w:bCs w:val="0"/>
          <w:color w:val="7F7F7F" w:themeColor="text1" w:themeTint="80"/>
          <w:sz w:val="21"/>
          <w:szCs w:val="22"/>
          <w:lang w:val="sr-Cyrl-RS"/>
        </w:rPr>
      </w:pPr>
      <w:r w:rsidRPr="00B360CD">
        <w:rPr>
          <w:rFonts w:asciiTheme="majorHAnsi" w:eastAsia="Calibri" w:hAnsiTheme="majorHAnsi" w:cs="Times New Roman"/>
          <w:bCs w:val="0"/>
          <w:color w:val="7F7F7F" w:themeColor="text1" w:themeTint="80"/>
          <w:sz w:val="21"/>
          <w:szCs w:val="22"/>
          <w:lang w:val="sr-Cyrl-RS"/>
        </w:rPr>
        <w:t xml:space="preserve">Кретање фискалних агрегата у наредном средњорочном периоду у највећој мери је резултат примене мера фискалне консолидације. Неке од мера имају за последицу привремено повећање одређених категорија расхода. Завршетак процеса реструктурирања и рационализација јавног сектора изискују додатне расходе у виду неопходних средстава за отпремнине и накнаде за незапосленост. Са друге стране, присутан је ефекат деловања смањења плата и пензија на агрегатну тражњу и одређено смањење прихода по том основу. Ови додатни ефекти узети су у обзир при пројектовању фискалног оквира до 2017. године. </w:t>
      </w:r>
    </w:p>
    <w:p w:rsidR="00B360CD" w:rsidRPr="00B360CD" w:rsidRDefault="00B360CD" w:rsidP="00B360CD">
      <w:pPr>
        <w:rPr>
          <w:rFonts w:asciiTheme="majorHAnsi" w:eastAsia="Calibri" w:hAnsiTheme="majorHAnsi" w:cs="Times New Roman"/>
          <w:bCs w:val="0"/>
          <w:color w:val="7F7F7F" w:themeColor="text1" w:themeTint="80"/>
          <w:sz w:val="21"/>
          <w:szCs w:val="22"/>
          <w:lang w:val="sr-Cyrl-RS"/>
        </w:rPr>
      </w:pPr>
      <w:r w:rsidRPr="00B360CD">
        <w:rPr>
          <w:rFonts w:asciiTheme="majorHAnsi" w:eastAsia="Calibri" w:hAnsiTheme="majorHAnsi" w:cs="Times New Roman"/>
          <w:bCs w:val="0"/>
          <w:color w:val="7F7F7F" w:themeColor="text1" w:themeTint="80"/>
          <w:sz w:val="21"/>
          <w:szCs w:val="22"/>
          <w:lang w:val="sr-Cyrl-RS"/>
        </w:rPr>
        <w:t>Две најзначајније мере, смањење зарада у јавном сектору и пензија, примењене су још током усвајања ребаланса буџета за 2014. годину тако да се ефекат ових мера јавља у децембру 2014. године. Осим тога, у складу са законском регулативом, изостала је индексација зарада и пензија у октобру 2014. године. На тај начин су остварене додатне уштеде од неколико милијарди динара.</w:t>
      </w:r>
    </w:p>
    <w:p w:rsidR="003F2BA0" w:rsidRPr="00171A80" w:rsidRDefault="00B360CD" w:rsidP="00B360CD">
      <w:pPr>
        <w:rPr>
          <w:rFonts w:asciiTheme="majorHAnsi" w:eastAsia="Calibri" w:hAnsiTheme="majorHAnsi" w:cs="Times New Roman"/>
          <w:bCs w:val="0"/>
          <w:color w:val="7F7F7F" w:themeColor="text1" w:themeTint="80"/>
          <w:sz w:val="21"/>
          <w:szCs w:val="21"/>
          <w:lang w:val="sr-Cyrl-RS"/>
        </w:rPr>
      </w:pPr>
      <w:r w:rsidRPr="00B360CD">
        <w:rPr>
          <w:rFonts w:asciiTheme="majorHAnsi" w:eastAsia="Calibri" w:hAnsiTheme="majorHAnsi" w:cs="Times New Roman"/>
          <w:bCs w:val="0"/>
          <w:i/>
          <w:color w:val="7F7F7F" w:themeColor="text1" w:themeTint="80"/>
          <w:sz w:val="21"/>
          <w:szCs w:val="22"/>
          <w:lang w:val="sr-Cyrl-RS"/>
        </w:rPr>
        <w:t xml:space="preserve">1) </w:t>
      </w:r>
      <w:r w:rsidRPr="00B360CD">
        <w:rPr>
          <w:rFonts w:asciiTheme="majorHAnsi" w:eastAsia="Calibri" w:hAnsiTheme="majorHAnsi" w:cs="Times New Roman"/>
          <w:b/>
          <w:bCs w:val="0"/>
          <w:i/>
          <w:color w:val="7F7F7F" w:themeColor="text1" w:themeTint="80"/>
          <w:sz w:val="21"/>
          <w:szCs w:val="22"/>
          <w:lang w:val="sr-Cyrl-RS"/>
        </w:rPr>
        <w:t>Смањење плата запослених у јавном сектору</w:t>
      </w:r>
      <w:r w:rsidRPr="00B360CD">
        <w:rPr>
          <w:rFonts w:asciiTheme="majorHAnsi" w:eastAsia="Calibri" w:hAnsiTheme="majorHAnsi" w:cs="Times New Roman"/>
          <w:bCs w:val="0"/>
          <w:color w:val="7F7F7F" w:themeColor="text1" w:themeTint="80"/>
          <w:sz w:val="21"/>
          <w:szCs w:val="22"/>
          <w:lang w:val="sr-Cyrl-RS"/>
        </w:rPr>
        <w:t xml:space="preserve"> - Предвиђено је линеарно умањење 10% од износа нето зарада запослених у јавном сектору који примају преко 25.000 динара. Ова мера ће се односити на целокупни јавни сектор, укључујући све кориснике буџета, јавна предузећа, локалну администрацију и остале ентитете који се сврставају у јавни сектор. Запосленима који остварују зараду до 25.000 динара она неће бити смањивана. За запослене који примају између 25.000 и 27.500 динара, предвиђено је да зарада након смањења буде 25.000 динара</w:t>
      </w:r>
      <w:r w:rsidR="003F2BA0" w:rsidRPr="00171A80">
        <w:rPr>
          <w:rFonts w:asciiTheme="majorHAnsi" w:eastAsia="Calibri" w:hAnsiTheme="majorHAnsi" w:cs="Times New Roman"/>
          <w:bCs w:val="0"/>
          <w:color w:val="7F7F7F" w:themeColor="text1" w:themeTint="80"/>
          <w:sz w:val="21"/>
          <w:szCs w:val="21"/>
          <w:lang w:val="sr-Cyrl-RS"/>
        </w:rPr>
        <w:t>.</w:t>
      </w:r>
    </w:p>
    <w:p w:rsidR="003F2BA0" w:rsidRPr="00171A80" w:rsidRDefault="003F2BA0" w:rsidP="00D86BDA">
      <w:pPr>
        <w:ind w:firstLine="0"/>
        <w:jc w:val="left"/>
        <w:rPr>
          <w:rFonts w:asciiTheme="majorHAnsi" w:eastAsia="Calibri" w:hAnsiTheme="majorHAnsi" w:cs="Times New Roman"/>
          <w:b/>
          <w:bCs w:val="0"/>
          <w:color w:val="7F7F7F" w:themeColor="text1" w:themeTint="80"/>
          <w:sz w:val="21"/>
          <w:szCs w:val="21"/>
          <w:lang w:val="sr-Cyrl-RS"/>
        </w:rPr>
      </w:pPr>
      <w:r w:rsidRPr="00171A80">
        <w:rPr>
          <w:rFonts w:asciiTheme="majorHAnsi" w:eastAsia="Calibri" w:hAnsiTheme="majorHAnsi" w:cs="Times New Roman"/>
          <w:bCs w:val="0"/>
          <w:color w:val="7F7F7F" w:themeColor="text1" w:themeTint="80"/>
          <w:sz w:val="21"/>
          <w:szCs w:val="21"/>
          <w:lang w:val="sr-Cyrl-RS"/>
        </w:rPr>
        <w:br w:type="page"/>
      </w:r>
      <w:r w:rsidRPr="00171A80">
        <w:rPr>
          <w:rFonts w:asciiTheme="majorHAnsi" w:eastAsia="Calibri" w:hAnsiTheme="majorHAnsi" w:cs="Times New Roman"/>
          <w:b/>
          <w:bCs w:val="0"/>
          <w:color w:val="7F7F7F" w:themeColor="text1" w:themeTint="80"/>
          <w:sz w:val="21"/>
          <w:szCs w:val="21"/>
          <w:lang w:val="sr-Cyrl-RS"/>
        </w:rPr>
        <w:lastRenderedPageBreak/>
        <w:t>Табела</w:t>
      </w:r>
      <w:r w:rsidR="003F6B80" w:rsidRPr="00171A80">
        <w:rPr>
          <w:rFonts w:asciiTheme="majorHAnsi" w:eastAsia="Calibri" w:hAnsiTheme="majorHAnsi" w:cs="Times New Roman"/>
          <w:b/>
          <w:bCs w:val="0"/>
          <w:color w:val="7F7F7F" w:themeColor="text1" w:themeTint="80"/>
          <w:sz w:val="21"/>
          <w:szCs w:val="21"/>
          <w:lang w:val="sr-Cyrl-RS"/>
        </w:rPr>
        <w:t xml:space="preserve"> 9.</w:t>
      </w:r>
      <w:r w:rsidRPr="00171A80">
        <w:rPr>
          <w:rFonts w:asciiTheme="majorHAnsi" w:eastAsia="Calibri" w:hAnsiTheme="majorHAnsi" w:cs="Times New Roman"/>
          <w:b/>
          <w:bCs w:val="0"/>
          <w:color w:val="7F7F7F" w:themeColor="text1" w:themeTint="80"/>
          <w:sz w:val="21"/>
          <w:szCs w:val="21"/>
          <w:lang w:val="sr-Cyrl-RS"/>
        </w:rPr>
        <w:t xml:space="preserve"> Пример обрачуна умањења примања у јавном сектору у динарима</w:t>
      </w:r>
    </w:p>
    <w:tbl>
      <w:tblPr>
        <w:tblStyle w:val="LightShading-Accent332"/>
        <w:tblW w:w="5000" w:type="pct"/>
        <w:tblLook w:val="04A0" w:firstRow="1" w:lastRow="0" w:firstColumn="1" w:lastColumn="0" w:noHBand="0" w:noVBand="1"/>
      </w:tblPr>
      <w:tblGrid>
        <w:gridCol w:w="3008"/>
        <w:gridCol w:w="3007"/>
        <w:gridCol w:w="3011"/>
      </w:tblGrid>
      <w:tr w:rsidR="003F2BA0" w:rsidRPr="00171A80" w:rsidTr="00B62A49">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666" w:type="pct"/>
            <w:hideMark/>
          </w:tcPr>
          <w:p w:rsidR="003F2BA0" w:rsidRPr="00171A80" w:rsidRDefault="003F2BA0" w:rsidP="003F2BA0">
            <w:pPr>
              <w:spacing w:after="0"/>
              <w:ind w:firstLine="0"/>
              <w:jc w:val="center"/>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Нето плата у јавном сектору пре увођења смањења</w:t>
            </w:r>
          </w:p>
        </w:tc>
        <w:tc>
          <w:tcPr>
            <w:tcW w:w="1666" w:type="pct"/>
            <w:hideMark/>
          </w:tcPr>
          <w:p w:rsidR="003F2BA0" w:rsidRPr="00171A80" w:rsidRDefault="003F2BA0" w:rsidP="003F2BA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Смањење нето плате</w:t>
            </w:r>
          </w:p>
        </w:tc>
        <w:tc>
          <w:tcPr>
            <w:tcW w:w="1668" w:type="pct"/>
            <w:hideMark/>
          </w:tcPr>
          <w:p w:rsidR="003F2BA0" w:rsidRPr="00171A80" w:rsidRDefault="003F2BA0" w:rsidP="003F2BA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Нето плата у јавном сектору након смањења</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66" w:type="pct"/>
            <w:noWrap/>
            <w:hideMark/>
          </w:tcPr>
          <w:p w:rsidR="003F2BA0" w:rsidRPr="00171A80" w:rsidRDefault="003F2BA0" w:rsidP="003F2BA0">
            <w:pPr>
              <w:spacing w:after="0"/>
              <w:ind w:left="568"/>
              <w:jc w:val="left"/>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25.000</w:t>
            </w:r>
          </w:p>
        </w:tc>
        <w:tc>
          <w:tcPr>
            <w:tcW w:w="1666" w:type="pct"/>
            <w:noWrap/>
            <w:hideMark/>
          </w:tcPr>
          <w:p w:rsidR="003F2BA0" w:rsidRPr="00171A80" w:rsidRDefault="003F2BA0" w:rsidP="003F2BA0">
            <w:pPr>
              <w:spacing w:after="0"/>
              <w:ind w:left="568"/>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0</w:t>
            </w:r>
          </w:p>
        </w:tc>
        <w:tc>
          <w:tcPr>
            <w:tcW w:w="1668" w:type="pct"/>
            <w:noWrap/>
            <w:hideMark/>
          </w:tcPr>
          <w:p w:rsidR="003F2BA0" w:rsidRPr="00171A80" w:rsidRDefault="003F2BA0" w:rsidP="003F2BA0">
            <w:pPr>
              <w:spacing w:after="0"/>
              <w:ind w:left="568"/>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25.000</w:t>
            </w:r>
          </w:p>
        </w:tc>
      </w:tr>
      <w:tr w:rsidR="003F2BA0" w:rsidRPr="00171A80" w:rsidTr="003F2BA0">
        <w:trPr>
          <w:trHeight w:val="304"/>
        </w:trPr>
        <w:tc>
          <w:tcPr>
            <w:cnfStyle w:val="001000000000" w:firstRow="0" w:lastRow="0" w:firstColumn="1" w:lastColumn="0" w:oddVBand="0" w:evenVBand="0" w:oddHBand="0" w:evenHBand="0" w:firstRowFirstColumn="0" w:firstRowLastColumn="0" w:lastRowFirstColumn="0" w:lastRowLastColumn="0"/>
            <w:tcW w:w="1666" w:type="pct"/>
            <w:noWrap/>
            <w:hideMark/>
          </w:tcPr>
          <w:p w:rsidR="003F2BA0" w:rsidRPr="00171A80" w:rsidRDefault="003F2BA0" w:rsidP="003F2BA0">
            <w:pPr>
              <w:spacing w:after="0"/>
              <w:ind w:left="568"/>
              <w:jc w:val="left"/>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50.000</w:t>
            </w:r>
          </w:p>
        </w:tc>
        <w:tc>
          <w:tcPr>
            <w:tcW w:w="1666" w:type="pct"/>
            <w:noWrap/>
            <w:hideMark/>
          </w:tcPr>
          <w:p w:rsidR="003F2BA0" w:rsidRPr="00171A80" w:rsidRDefault="003F2BA0" w:rsidP="003F2BA0">
            <w:pPr>
              <w:spacing w:after="0"/>
              <w:ind w:left="568"/>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5.000</w:t>
            </w:r>
          </w:p>
        </w:tc>
        <w:tc>
          <w:tcPr>
            <w:tcW w:w="1668" w:type="pct"/>
            <w:noWrap/>
            <w:hideMark/>
          </w:tcPr>
          <w:p w:rsidR="003F2BA0" w:rsidRPr="00171A80" w:rsidRDefault="003F2BA0" w:rsidP="003F2BA0">
            <w:pPr>
              <w:spacing w:after="0"/>
              <w:ind w:left="568"/>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45.000</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66" w:type="pct"/>
            <w:noWrap/>
            <w:hideMark/>
          </w:tcPr>
          <w:p w:rsidR="003F2BA0" w:rsidRPr="00171A80" w:rsidRDefault="003F2BA0" w:rsidP="003F2BA0">
            <w:pPr>
              <w:spacing w:after="0"/>
              <w:ind w:left="568"/>
              <w:jc w:val="left"/>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100.000</w:t>
            </w:r>
          </w:p>
        </w:tc>
        <w:tc>
          <w:tcPr>
            <w:tcW w:w="1666" w:type="pct"/>
            <w:noWrap/>
            <w:hideMark/>
          </w:tcPr>
          <w:p w:rsidR="003F2BA0" w:rsidRPr="00171A80" w:rsidRDefault="003F2BA0" w:rsidP="003F2BA0">
            <w:pPr>
              <w:spacing w:after="0"/>
              <w:ind w:left="568"/>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10.000</w:t>
            </w:r>
          </w:p>
        </w:tc>
        <w:tc>
          <w:tcPr>
            <w:tcW w:w="1668" w:type="pct"/>
            <w:noWrap/>
            <w:hideMark/>
          </w:tcPr>
          <w:p w:rsidR="003F2BA0" w:rsidRPr="00171A80" w:rsidRDefault="003F2BA0" w:rsidP="003F2BA0">
            <w:pPr>
              <w:spacing w:after="0"/>
              <w:ind w:left="568"/>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90.000</w:t>
            </w:r>
          </w:p>
        </w:tc>
      </w:tr>
    </w:tbl>
    <w:p w:rsidR="00EE5FC0" w:rsidRDefault="00EE5FC0" w:rsidP="00F87228">
      <w:pPr>
        <w:spacing w:after="0"/>
        <w:ind w:firstLine="0"/>
        <w:rPr>
          <w:rFonts w:asciiTheme="majorHAnsi" w:eastAsia="Calibri" w:hAnsiTheme="majorHAnsi" w:cs="Times New Roman"/>
          <w:bCs w:val="0"/>
          <w:color w:val="7F7F7F" w:themeColor="text1" w:themeTint="80"/>
          <w:sz w:val="21"/>
          <w:szCs w:val="22"/>
          <w:lang w:val="sr-Cyrl-RS"/>
        </w:rPr>
      </w:pPr>
    </w:p>
    <w:p w:rsidR="003F2BA0" w:rsidRPr="00171A80" w:rsidRDefault="009114CC" w:rsidP="003F2BA0">
      <w:pPr>
        <w:rPr>
          <w:rFonts w:asciiTheme="majorHAnsi" w:eastAsia="Calibri" w:hAnsiTheme="majorHAnsi" w:cs="Times New Roman"/>
          <w:bCs w:val="0"/>
          <w:color w:val="7F7F7F" w:themeColor="text1" w:themeTint="80"/>
          <w:sz w:val="21"/>
          <w:szCs w:val="22"/>
          <w:lang w:val="sr-Cyrl-RS"/>
        </w:rPr>
      </w:pPr>
      <w:r w:rsidRPr="009114CC">
        <w:rPr>
          <w:rFonts w:asciiTheme="majorHAnsi" w:eastAsia="Calibri" w:hAnsiTheme="majorHAnsi" w:cs="Times New Roman"/>
          <w:bCs w:val="0"/>
          <w:color w:val="7F7F7F" w:themeColor="text1" w:themeTint="80"/>
          <w:sz w:val="21"/>
          <w:szCs w:val="22"/>
          <w:lang w:val="sr-Cyrl-RS"/>
        </w:rPr>
        <w:t>Уштеда по овом основу би на нивоу опште државе требало да износи око 0,5% БДП годишње. Да би се спречило нерационално трошење ових средстава, али и да би се обезбедило пуно ефектуирање ове мере на свим нивоима, предвиђено је да све институције и предузећа која нису део опште државе, као и локалне самоуправе, средства од умањења зарада уплате у републички буџет. У републичком буџету ова средстава биће исказивана као облик непореског прихода. Мањак расположивих средстава становништва по основу смањења зарада одразиће се на мању личну потрошњу и приход по основу пореза на потрошњу. Ове претпоставке су директно узете у обзир при полазној пројекцији кретања бруто наплате ПДВ и осталих индиректних пореза у наредном периоду</w:t>
      </w:r>
      <w:r w:rsidR="003F2BA0" w:rsidRPr="00171A80">
        <w:rPr>
          <w:rFonts w:asciiTheme="majorHAnsi" w:eastAsia="Calibri" w:hAnsiTheme="majorHAnsi" w:cs="Times New Roman"/>
          <w:bCs w:val="0"/>
          <w:color w:val="7F7F7F" w:themeColor="text1" w:themeTint="80"/>
          <w:sz w:val="21"/>
          <w:szCs w:val="22"/>
          <w:lang w:val="sr-Cyrl-RS"/>
        </w:rPr>
        <w:t xml:space="preserve">. </w:t>
      </w:r>
    </w:p>
    <w:p w:rsidR="003F2BA0" w:rsidRPr="00171A80" w:rsidRDefault="003F2BA0" w:rsidP="003F2BA0">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
          <w:bCs w:val="0"/>
          <w:i/>
          <w:color w:val="7F7F7F" w:themeColor="text1" w:themeTint="80"/>
          <w:sz w:val="21"/>
          <w:szCs w:val="22"/>
          <w:lang w:val="sr-Cyrl-RS"/>
        </w:rPr>
        <w:t>2) Смањење пензија</w:t>
      </w:r>
      <w:r w:rsidRPr="00171A80">
        <w:rPr>
          <w:rFonts w:asciiTheme="majorHAnsi" w:eastAsia="Calibri" w:hAnsiTheme="majorHAnsi" w:cs="Times New Roman"/>
          <w:bCs w:val="0"/>
          <w:color w:val="7F7F7F" w:themeColor="text1" w:themeTint="80"/>
          <w:sz w:val="21"/>
          <w:szCs w:val="22"/>
          <w:lang w:val="sr-Cyrl-RS"/>
        </w:rPr>
        <w:t xml:space="preserve"> – </w:t>
      </w:r>
      <w:r w:rsidR="009114CC" w:rsidRPr="009114CC">
        <w:rPr>
          <w:rFonts w:asciiTheme="majorHAnsi" w:eastAsia="Calibri" w:hAnsiTheme="majorHAnsi" w:cs="Times New Roman"/>
          <w:bCs w:val="0"/>
          <w:color w:val="7F7F7F" w:themeColor="text1" w:themeTint="80"/>
          <w:sz w:val="21"/>
          <w:szCs w:val="22"/>
          <w:lang w:val="sr-Cyrl-RS"/>
        </w:rPr>
        <w:t>Ова мера предвиђа прогресивно смањење пензија за све пензионере који остварују примања преко 25.000 динара. Пензија која износи између 25.000 и 40.000 динара биће смањена за 22% на износ преко 25.000 динара, док ће све пензије преко 40.000 динара бити додатно смањене за 25% на износ преко 40.000 динара. Пензионерима који примају до 25.000 динара пензија неће бити умањена. Процена је да ће утицај ове мере на смањење дефицита бити око 0,5% БДП</w:t>
      </w:r>
      <w:r w:rsidRPr="00171A80">
        <w:rPr>
          <w:rFonts w:asciiTheme="majorHAnsi" w:eastAsia="Calibri" w:hAnsiTheme="majorHAnsi" w:cs="Times New Roman"/>
          <w:bCs w:val="0"/>
          <w:color w:val="7F7F7F" w:themeColor="text1" w:themeTint="80"/>
          <w:sz w:val="21"/>
          <w:szCs w:val="22"/>
          <w:lang w:val="sr-Cyrl-RS"/>
        </w:rPr>
        <w:t>.</w:t>
      </w:r>
    </w:p>
    <w:p w:rsidR="003F2BA0" w:rsidRPr="00171A80" w:rsidRDefault="003F2BA0" w:rsidP="003F2BA0">
      <w:pPr>
        <w:ind w:firstLine="0"/>
        <w:rPr>
          <w:rFonts w:asciiTheme="majorHAnsi" w:eastAsia="Calibri" w:hAnsiTheme="majorHAnsi" w:cs="Times New Roman"/>
          <w:b/>
          <w:bCs w:val="0"/>
          <w:color w:val="7F7F7F" w:themeColor="text1" w:themeTint="80"/>
          <w:sz w:val="21"/>
          <w:szCs w:val="21"/>
          <w:lang w:val="sr-Cyrl-RS"/>
        </w:rPr>
      </w:pPr>
      <w:r w:rsidRPr="00171A80">
        <w:rPr>
          <w:rFonts w:asciiTheme="majorHAnsi" w:eastAsia="Calibri" w:hAnsiTheme="majorHAnsi" w:cs="Times New Roman"/>
          <w:b/>
          <w:bCs w:val="0"/>
          <w:color w:val="7F7F7F" w:themeColor="text1" w:themeTint="80"/>
          <w:sz w:val="21"/>
          <w:szCs w:val="21"/>
          <w:lang w:val="sr-Cyrl-RS"/>
        </w:rPr>
        <w:t>Табела</w:t>
      </w:r>
      <w:r w:rsidR="003F6B80" w:rsidRPr="00171A80">
        <w:rPr>
          <w:rFonts w:asciiTheme="majorHAnsi" w:eastAsia="Calibri" w:hAnsiTheme="majorHAnsi" w:cs="Times New Roman"/>
          <w:b/>
          <w:bCs w:val="0"/>
          <w:color w:val="7F7F7F" w:themeColor="text1" w:themeTint="80"/>
          <w:sz w:val="21"/>
          <w:szCs w:val="21"/>
          <w:lang w:val="sr-Cyrl-RS"/>
        </w:rPr>
        <w:t xml:space="preserve"> 10.</w:t>
      </w:r>
      <w:r w:rsidRPr="00171A80">
        <w:rPr>
          <w:rFonts w:asciiTheme="majorHAnsi" w:eastAsia="Calibri" w:hAnsiTheme="majorHAnsi" w:cs="Times New Roman"/>
          <w:b/>
          <w:bCs w:val="0"/>
          <w:color w:val="7F7F7F" w:themeColor="text1" w:themeTint="80"/>
          <w:sz w:val="21"/>
          <w:szCs w:val="21"/>
          <w:lang w:val="sr-Cyrl-RS"/>
        </w:rPr>
        <w:t xml:space="preserve"> Пример обрачуна умањења пензија у динарима</w:t>
      </w:r>
    </w:p>
    <w:tbl>
      <w:tblPr>
        <w:tblStyle w:val="LightShading-Accent332"/>
        <w:tblW w:w="5000" w:type="pct"/>
        <w:tblLook w:val="04A0" w:firstRow="1" w:lastRow="0" w:firstColumn="1" w:lastColumn="0" w:noHBand="0" w:noVBand="1"/>
      </w:tblPr>
      <w:tblGrid>
        <w:gridCol w:w="3008"/>
        <w:gridCol w:w="3007"/>
        <w:gridCol w:w="3011"/>
      </w:tblGrid>
      <w:tr w:rsidR="003F2BA0" w:rsidRPr="00171A80" w:rsidTr="00B62A49">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666" w:type="pct"/>
            <w:hideMark/>
          </w:tcPr>
          <w:p w:rsidR="003F2BA0" w:rsidRPr="00171A80" w:rsidRDefault="003F2BA0" w:rsidP="003F2BA0">
            <w:pPr>
              <w:spacing w:after="0"/>
              <w:ind w:firstLine="0"/>
              <w:jc w:val="center"/>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Износ пензије</w:t>
            </w:r>
          </w:p>
        </w:tc>
        <w:tc>
          <w:tcPr>
            <w:tcW w:w="1666" w:type="pct"/>
            <w:hideMark/>
          </w:tcPr>
          <w:p w:rsidR="003F2BA0" w:rsidRPr="00171A80" w:rsidRDefault="003F2BA0" w:rsidP="003F2BA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Смањење пензије</w:t>
            </w:r>
          </w:p>
        </w:tc>
        <w:tc>
          <w:tcPr>
            <w:tcW w:w="1668" w:type="pct"/>
            <w:hideMark/>
          </w:tcPr>
          <w:p w:rsidR="003F2BA0" w:rsidRPr="00171A80" w:rsidRDefault="003F2BA0" w:rsidP="003F2BA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Износ пензије након смањења</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66" w:type="pct"/>
            <w:noWrap/>
            <w:hideMark/>
          </w:tcPr>
          <w:p w:rsidR="003F2BA0" w:rsidRPr="00171A80" w:rsidRDefault="003F2BA0" w:rsidP="003F2BA0">
            <w:pPr>
              <w:spacing w:after="0"/>
              <w:ind w:left="568"/>
              <w:jc w:val="left"/>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25.000</w:t>
            </w:r>
          </w:p>
        </w:tc>
        <w:tc>
          <w:tcPr>
            <w:tcW w:w="1666" w:type="pct"/>
            <w:noWrap/>
            <w:hideMark/>
          </w:tcPr>
          <w:p w:rsidR="003F2BA0" w:rsidRPr="00171A80" w:rsidRDefault="003F2BA0" w:rsidP="003F2BA0">
            <w:pPr>
              <w:spacing w:after="0"/>
              <w:ind w:left="568"/>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0</w:t>
            </w:r>
          </w:p>
        </w:tc>
        <w:tc>
          <w:tcPr>
            <w:tcW w:w="1668" w:type="pct"/>
            <w:noWrap/>
            <w:hideMark/>
          </w:tcPr>
          <w:p w:rsidR="003F2BA0" w:rsidRPr="00171A80" w:rsidRDefault="003F2BA0" w:rsidP="003F2BA0">
            <w:pPr>
              <w:spacing w:after="0"/>
              <w:ind w:left="568"/>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25.000</w:t>
            </w:r>
          </w:p>
        </w:tc>
      </w:tr>
      <w:tr w:rsidR="003F2BA0" w:rsidRPr="00171A80" w:rsidTr="003F2BA0">
        <w:trPr>
          <w:trHeight w:val="304"/>
        </w:trPr>
        <w:tc>
          <w:tcPr>
            <w:cnfStyle w:val="001000000000" w:firstRow="0" w:lastRow="0" w:firstColumn="1" w:lastColumn="0" w:oddVBand="0" w:evenVBand="0" w:oddHBand="0" w:evenHBand="0" w:firstRowFirstColumn="0" w:firstRowLastColumn="0" w:lastRowFirstColumn="0" w:lastRowLastColumn="0"/>
            <w:tcW w:w="1666" w:type="pct"/>
            <w:noWrap/>
            <w:hideMark/>
          </w:tcPr>
          <w:p w:rsidR="003F2BA0" w:rsidRPr="00171A80" w:rsidRDefault="003F2BA0" w:rsidP="003F2BA0">
            <w:pPr>
              <w:spacing w:after="0"/>
              <w:ind w:left="568"/>
              <w:jc w:val="left"/>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40.000</w:t>
            </w:r>
          </w:p>
        </w:tc>
        <w:tc>
          <w:tcPr>
            <w:tcW w:w="1666" w:type="pct"/>
            <w:noWrap/>
            <w:hideMark/>
          </w:tcPr>
          <w:p w:rsidR="003F2BA0" w:rsidRPr="00171A80" w:rsidRDefault="003F2BA0" w:rsidP="003F2BA0">
            <w:pPr>
              <w:spacing w:after="0"/>
              <w:ind w:left="568"/>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3.300</w:t>
            </w:r>
          </w:p>
        </w:tc>
        <w:tc>
          <w:tcPr>
            <w:tcW w:w="1668" w:type="pct"/>
            <w:noWrap/>
            <w:hideMark/>
          </w:tcPr>
          <w:p w:rsidR="003F2BA0" w:rsidRPr="00171A80" w:rsidRDefault="003F2BA0" w:rsidP="003F2BA0">
            <w:pPr>
              <w:spacing w:after="0"/>
              <w:ind w:left="568"/>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36.700</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66" w:type="pct"/>
            <w:noWrap/>
            <w:hideMark/>
          </w:tcPr>
          <w:p w:rsidR="003F2BA0" w:rsidRPr="00171A80" w:rsidRDefault="003F2BA0" w:rsidP="003F2BA0">
            <w:pPr>
              <w:spacing w:after="0"/>
              <w:ind w:left="568"/>
              <w:jc w:val="left"/>
              <w:rPr>
                <w:rFonts w:asciiTheme="majorHAnsi" w:eastAsia="Calibri" w:hAnsiTheme="majorHAnsi" w:cs="Times New Roman"/>
                <w:b w:val="0"/>
                <w:bCs/>
                <w:color w:val="7F7F7F" w:themeColor="text1" w:themeTint="80"/>
                <w:sz w:val="20"/>
                <w:szCs w:val="20"/>
                <w:lang w:val="sr-Cyrl-RS"/>
              </w:rPr>
            </w:pPr>
            <w:r w:rsidRPr="00171A80">
              <w:rPr>
                <w:rFonts w:asciiTheme="majorHAnsi" w:eastAsia="Calibri" w:hAnsiTheme="majorHAnsi" w:cs="Times New Roman"/>
                <w:b w:val="0"/>
                <w:bCs/>
                <w:color w:val="7F7F7F" w:themeColor="text1" w:themeTint="80"/>
                <w:sz w:val="20"/>
                <w:szCs w:val="20"/>
                <w:lang w:val="sr-Cyrl-RS"/>
              </w:rPr>
              <w:t>60.000</w:t>
            </w:r>
          </w:p>
        </w:tc>
        <w:tc>
          <w:tcPr>
            <w:tcW w:w="1666" w:type="pct"/>
            <w:noWrap/>
            <w:hideMark/>
          </w:tcPr>
          <w:p w:rsidR="003F2BA0" w:rsidRPr="00171A80" w:rsidRDefault="003F2BA0" w:rsidP="003F2BA0">
            <w:pPr>
              <w:spacing w:after="0"/>
              <w:ind w:left="568"/>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8.300</w:t>
            </w:r>
          </w:p>
        </w:tc>
        <w:tc>
          <w:tcPr>
            <w:tcW w:w="1668" w:type="pct"/>
            <w:noWrap/>
            <w:hideMark/>
          </w:tcPr>
          <w:p w:rsidR="003F2BA0" w:rsidRPr="00171A80" w:rsidRDefault="003F2BA0" w:rsidP="003F2BA0">
            <w:pPr>
              <w:spacing w:after="0"/>
              <w:ind w:left="568"/>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20"/>
                <w:szCs w:val="20"/>
                <w:lang w:val="sr-Cyrl-RS"/>
              </w:rPr>
            </w:pPr>
            <w:r w:rsidRPr="00171A80">
              <w:rPr>
                <w:rFonts w:asciiTheme="majorHAnsi" w:eastAsia="Calibri" w:hAnsiTheme="majorHAnsi" w:cs="Times New Roman"/>
                <w:color w:val="7F7F7F" w:themeColor="text1" w:themeTint="80"/>
                <w:sz w:val="20"/>
                <w:szCs w:val="20"/>
                <w:lang w:val="sr-Cyrl-RS"/>
              </w:rPr>
              <w:t>51.700</w:t>
            </w:r>
          </w:p>
        </w:tc>
      </w:tr>
    </w:tbl>
    <w:p w:rsidR="00EE5FC0" w:rsidRDefault="00EE5FC0" w:rsidP="00F87228">
      <w:pPr>
        <w:spacing w:after="0"/>
        <w:ind w:firstLine="0"/>
        <w:rPr>
          <w:rFonts w:asciiTheme="majorHAnsi" w:eastAsia="Calibri" w:hAnsiTheme="majorHAnsi" w:cs="Times New Roman"/>
          <w:b/>
          <w:bCs w:val="0"/>
          <w:i/>
          <w:color w:val="7F7F7F" w:themeColor="text1" w:themeTint="80"/>
          <w:sz w:val="21"/>
          <w:szCs w:val="22"/>
          <w:lang w:val="sr-Cyrl-RS"/>
        </w:rPr>
      </w:pPr>
    </w:p>
    <w:p w:rsidR="003F2BA0" w:rsidRPr="00171A80" w:rsidRDefault="003F2BA0" w:rsidP="003F2BA0">
      <w:pPr>
        <w:ind w:firstLine="708"/>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
          <w:bCs w:val="0"/>
          <w:i/>
          <w:color w:val="7F7F7F" w:themeColor="text1" w:themeTint="80"/>
          <w:sz w:val="21"/>
          <w:szCs w:val="22"/>
          <w:lang w:val="sr-Cyrl-RS"/>
        </w:rPr>
        <w:t>3)</w:t>
      </w:r>
      <w:r w:rsidR="009B67A2" w:rsidRPr="00171A80">
        <w:rPr>
          <w:rFonts w:asciiTheme="majorHAnsi" w:eastAsia="Calibri" w:hAnsiTheme="majorHAnsi" w:cs="Times New Roman"/>
          <w:b/>
          <w:bCs w:val="0"/>
          <w:i/>
          <w:color w:val="7F7F7F" w:themeColor="text1" w:themeTint="80"/>
          <w:sz w:val="21"/>
          <w:szCs w:val="22"/>
          <w:lang w:val="sr-Cyrl-RS"/>
        </w:rPr>
        <w:t xml:space="preserve"> Ново правило за индексацију плата и пензија – </w:t>
      </w:r>
      <w:r w:rsidR="009114CC" w:rsidRPr="009114CC">
        <w:rPr>
          <w:rFonts w:asciiTheme="majorHAnsi" w:eastAsia="Calibri" w:hAnsiTheme="majorHAnsi" w:cs="Times New Roman"/>
          <w:bCs w:val="0"/>
          <w:color w:val="7F7F7F" w:themeColor="text1" w:themeTint="80"/>
          <w:sz w:val="21"/>
          <w:szCs w:val="22"/>
          <w:lang w:val="sr-Cyrl-RS"/>
        </w:rPr>
        <w:t>Закон о буџетском систему предвиђао је индексацију плата и пензија два пута годишње по 0,5% у 2015. и 2016. години, а у 2017. години у складу са инфлаторним кретањима и растом БДП. Једна од мера фискалне консолидације је измена фискалног правила  за индексацију, кроз измене Закона о буџетском систему. У складу са тим, плате и пензије ће се повећавати у годинама у којима се очекује да учешће ових категорија расхода у БДП буде до 7% БДП односно 11% БДП, респективно. Ефекти ове мере нису значајни у прве две године (0,1 - 0,2% БДП), али ће у 2017. години ефекат бити око 0,5% БДП с обзиром да је тада била предвиђена знатно већа индексација</w:t>
      </w:r>
      <w:r w:rsidR="009B67A2" w:rsidRPr="00171A80">
        <w:rPr>
          <w:rFonts w:asciiTheme="majorHAnsi" w:eastAsia="Calibri" w:hAnsiTheme="majorHAnsi" w:cs="Times New Roman"/>
          <w:bCs w:val="0"/>
          <w:color w:val="7F7F7F" w:themeColor="text1" w:themeTint="80"/>
          <w:sz w:val="21"/>
          <w:szCs w:val="22"/>
          <w:lang w:val="sr-Cyrl-RS"/>
        </w:rPr>
        <w:t>.</w:t>
      </w:r>
    </w:p>
    <w:p w:rsidR="003F2BA0" w:rsidRPr="00171A80" w:rsidRDefault="003F2BA0" w:rsidP="003F2BA0">
      <w:pPr>
        <w:ind w:firstLine="708"/>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
          <w:bCs w:val="0"/>
          <w:i/>
          <w:color w:val="7F7F7F" w:themeColor="text1" w:themeTint="80"/>
          <w:sz w:val="21"/>
          <w:szCs w:val="22"/>
          <w:lang w:val="sr-Cyrl-RS"/>
        </w:rPr>
        <w:t xml:space="preserve">4) Рационализација јавног сектора – </w:t>
      </w:r>
      <w:r w:rsidR="009114CC" w:rsidRPr="009114CC">
        <w:rPr>
          <w:rFonts w:asciiTheme="majorHAnsi" w:eastAsia="Calibri" w:hAnsiTheme="majorHAnsi" w:cs="Times New Roman"/>
          <w:bCs w:val="0"/>
          <w:color w:val="7F7F7F" w:themeColor="text1" w:themeTint="80"/>
          <w:sz w:val="21"/>
          <w:szCs w:val="22"/>
          <w:lang w:val="sr-Cyrl-RS"/>
        </w:rPr>
        <w:t>Реформа јавног сектора је битан услов за консолидацију јавних финансија и успостављање здравог привредног амбијента. Вишак и неповољна структура запослених проблеми су који узрокују неефикасност јавног сектора и представљају терет за читаву привреду. Смањење броја запослених за по 5% годишње у наредном трогодишњем периоду би требало да донесе уштеде од око 0,3% БДП годишње. Рачуна се да би највећи део овог смањења био остварен природним одливом запослених, то јест одласком у пензију уз ограничено попуњавање слободних места. Веома је битно да се смањење броја запослених не спроводи по цену квалитета и ефикасности рада државних органа, што значи да се пре имплементације ове мере мора извршити озбиљна анализа броја и структуре запослених у свим деловима јавног сектора. Спровођење ове мере са собом носи и вођење одговарајуће политике у области социјалне заштите, у виду отпремнина и накнада за незапосленост. Неопходна средства по овом основу су укључена у средњорочни фискални оквир</w:t>
      </w:r>
      <w:r w:rsidR="009114CC">
        <w:rPr>
          <w:rFonts w:asciiTheme="majorHAnsi" w:eastAsia="Calibri" w:hAnsiTheme="majorHAnsi" w:cs="Times New Roman"/>
          <w:bCs w:val="0"/>
          <w:color w:val="7F7F7F" w:themeColor="text1" w:themeTint="80"/>
          <w:sz w:val="21"/>
          <w:szCs w:val="22"/>
          <w:lang w:val="sr-Latn-RS"/>
        </w:rPr>
        <w:t>.</w:t>
      </w:r>
      <w:r w:rsidRPr="00171A80">
        <w:rPr>
          <w:rFonts w:asciiTheme="majorHAnsi" w:eastAsia="Calibri" w:hAnsiTheme="majorHAnsi" w:cs="Times New Roman"/>
          <w:bCs w:val="0"/>
          <w:color w:val="7F7F7F" w:themeColor="text1" w:themeTint="80"/>
          <w:sz w:val="21"/>
          <w:szCs w:val="22"/>
          <w:lang w:val="sr-Cyrl-RS"/>
        </w:rPr>
        <w:t xml:space="preserve"> </w:t>
      </w:r>
    </w:p>
    <w:p w:rsidR="003F2BA0" w:rsidRPr="00171A80" w:rsidRDefault="003F2BA0" w:rsidP="003F2BA0">
      <w:pPr>
        <w:ind w:firstLine="708"/>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
          <w:bCs w:val="0"/>
          <w:i/>
          <w:color w:val="7F7F7F" w:themeColor="text1" w:themeTint="80"/>
          <w:sz w:val="21"/>
          <w:szCs w:val="22"/>
          <w:lang w:val="sr-Cyrl-RS"/>
        </w:rPr>
        <w:t xml:space="preserve">5) Смањење субвенција </w:t>
      </w:r>
      <w:r w:rsidRPr="00171A80">
        <w:rPr>
          <w:rFonts w:asciiTheme="majorHAnsi" w:eastAsia="Calibri" w:hAnsiTheme="majorHAnsi" w:cs="Times New Roman"/>
          <w:bCs w:val="0"/>
          <w:color w:val="7F7F7F" w:themeColor="text1" w:themeTint="80"/>
          <w:sz w:val="21"/>
          <w:szCs w:val="22"/>
          <w:lang w:val="sr-Cyrl-RS"/>
        </w:rPr>
        <w:t xml:space="preserve">- </w:t>
      </w:r>
      <w:r w:rsidR="009114CC" w:rsidRPr="009114CC">
        <w:rPr>
          <w:rFonts w:asciiTheme="majorHAnsi" w:eastAsia="Calibri" w:hAnsiTheme="majorHAnsi" w:cs="Times New Roman"/>
          <w:bCs w:val="0"/>
          <w:color w:val="7F7F7F" w:themeColor="text1" w:themeTint="80"/>
          <w:sz w:val="21"/>
          <w:szCs w:val="22"/>
          <w:lang w:val="sr-Cyrl-RS"/>
        </w:rPr>
        <w:t xml:space="preserve">Значајан простор за остварење уштеда на расходима у периоду од 2015. до 2017. године постоји у домену расхода за субвенције. Са тим у вези, у 2015. </w:t>
      </w:r>
      <w:r w:rsidR="009114CC" w:rsidRPr="009114CC">
        <w:rPr>
          <w:rFonts w:asciiTheme="majorHAnsi" w:eastAsia="Calibri" w:hAnsiTheme="majorHAnsi" w:cs="Times New Roman"/>
          <w:bCs w:val="0"/>
          <w:color w:val="7F7F7F" w:themeColor="text1" w:themeTint="80"/>
          <w:sz w:val="21"/>
          <w:szCs w:val="22"/>
          <w:lang w:val="sr-Cyrl-RS"/>
        </w:rPr>
        <w:lastRenderedPageBreak/>
        <w:t>години су планиране значајне уштеде, и то пре свега кроз смањење подстицаја за пољопривредну производњу. Предвиђа се укидање субвенционисања земљишта површине веће од 20 хектара, као и државног земљишта које је издато у закуп. Пред</w:t>
      </w:r>
      <w:r w:rsidR="00F74EED">
        <w:rPr>
          <w:rFonts w:asciiTheme="majorHAnsi" w:eastAsia="Calibri" w:hAnsiTheme="majorHAnsi" w:cs="Times New Roman"/>
          <w:bCs w:val="0"/>
          <w:color w:val="7F7F7F" w:themeColor="text1" w:themeTint="80"/>
          <w:sz w:val="21"/>
          <w:szCs w:val="22"/>
          <w:lang w:val="sr-Cyrl-RS"/>
        </w:rPr>
        <w:t xml:space="preserve">виђено је и смањење субвенција </w:t>
      </w:r>
      <w:r w:rsidR="009114CC" w:rsidRPr="009114CC">
        <w:rPr>
          <w:rFonts w:asciiTheme="majorHAnsi" w:eastAsia="Calibri" w:hAnsiTheme="majorHAnsi" w:cs="Times New Roman"/>
          <w:bCs w:val="0"/>
          <w:color w:val="7F7F7F" w:themeColor="text1" w:themeTint="80"/>
          <w:sz w:val="21"/>
          <w:szCs w:val="22"/>
          <w:lang w:val="sr-Cyrl-RS"/>
        </w:rPr>
        <w:t>,,Железнице Србије” а.д. и јавним сервисима, по основу смањења оперативних трошкова. У 2016. години потпуно се укида субвенционисање јавних сервиса. У 2015. години ефекат на смањење дефицита би требало да буде око 0,2% БДП, док би се у 2016. години овај ефекат повећао на око 0,5% БДП</w:t>
      </w:r>
      <w:r w:rsidRPr="00171A80">
        <w:rPr>
          <w:rFonts w:asciiTheme="majorHAnsi" w:eastAsia="Calibri" w:hAnsiTheme="majorHAnsi" w:cs="Times New Roman"/>
          <w:bCs w:val="0"/>
          <w:color w:val="7F7F7F" w:themeColor="text1" w:themeTint="80"/>
          <w:sz w:val="21"/>
          <w:szCs w:val="22"/>
          <w:lang w:val="sr-Cyrl-RS"/>
        </w:rPr>
        <w:t xml:space="preserve">. </w:t>
      </w:r>
    </w:p>
    <w:p w:rsidR="003F2BA0" w:rsidRPr="00171A80" w:rsidRDefault="003F2BA0" w:rsidP="003F2BA0">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
          <w:bCs w:val="0"/>
          <w:i/>
          <w:color w:val="7F7F7F" w:themeColor="text1" w:themeTint="80"/>
          <w:sz w:val="21"/>
          <w:szCs w:val="22"/>
          <w:lang w:val="sr-Cyrl-RS"/>
        </w:rPr>
        <w:t>6) Уштеде на роби и услугама</w:t>
      </w:r>
      <w:r w:rsidRPr="00171A80">
        <w:rPr>
          <w:rFonts w:asciiTheme="majorHAnsi" w:eastAsia="Calibri" w:hAnsiTheme="majorHAnsi" w:cs="Times New Roman"/>
          <w:bCs w:val="0"/>
          <w:color w:val="7F7F7F" w:themeColor="text1" w:themeTint="80"/>
          <w:sz w:val="21"/>
          <w:szCs w:val="22"/>
          <w:lang w:val="sr-Cyrl-RS"/>
        </w:rPr>
        <w:t xml:space="preserve"> - </w:t>
      </w:r>
      <w:r w:rsidR="009114CC" w:rsidRPr="009114CC">
        <w:rPr>
          <w:rFonts w:asciiTheme="majorHAnsi" w:eastAsia="Calibri" w:hAnsiTheme="majorHAnsi" w:cs="Times New Roman"/>
          <w:bCs w:val="0"/>
          <w:color w:val="7F7F7F" w:themeColor="text1" w:themeTint="80"/>
          <w:sz w:val="21"/>
          <w:szCs w:val="22"/>
          <w:lang w:val="sr-Cyrl-RS"/>
        </w:rPr>
        <w:t>Уштеде на јавним набавкама ће се остварити изменама регулативе којом се изједначавају услови за учешће у оквиру овог процеса за домаће и стране добављаче, чиме би се остварио ефекат уштеде од најмање 0,1% БДП</w:t>
      </w:r>
      <w:r w:rsidRPr="00171A80">
        <w:rPr>
          <w:rFonts w:asciiTheme="majorHAnsi" w:eastAsia="Calibri" w:hAnsiTheme="majorHAnsi" w:cs="Times New Roman"/>
          <w:bCs w:val="0"/>
          <w:color w:val="7F7F7F" w:themeColor="text1" w:themeTint="80"/>
          <w:sz w:val="21"/>
          <w:szCs w:val="22"/>
          <w:lang w:val="sr-Cyrl-RS"/>
        </w:rPr>
        <w:t xml:space="preserve">. </w:t>
      </w:r>
    </w:p>
    <w:p w:rsidR="003F2BA0" w:rsidRPr="00171A80" w:rsidRDefault="003F2BA0" w:rsidP="003F2BA0">
      <w:pPr>
        <w:ind w:firstLine="708"/>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
          <w:bCs w:val="0"/>
          <w:i/>
          <w:color w:val="7F7F7F" w:themeColor="text1" w:themeTint="80"/>
          <w:sz w:val="21"/>
          <w:szCs w:val="22"/>
          <w:lang w:val="sr-Cyrl-RS"/>
        </w:rPr>
        <w:t>7) Реформа јавних предузећа</w:t>
      </w:r>
      <w:r w:rsidRPr="00171A80">
        <w:rPr>
          <w:rFonts w:asciiTheme="majorHAnsi" w:eastAsia="Calibri" w:hAnsiTheme="majorHAnsi" w:cs="Times New Roman"/>
          <w:bCs w:val="0"/>
          <w:color w:val="7F7F7F" w:themeColor="text1" w:themeTint="80"/>
          <w:sz w:val="21"/>
          <w:szCs w:val="22"/>
          <w:lang w:val="sr-Cyrl-RS"/>
        </w:rPr>
        <w:t xml:space="preserve"> – </w:t>
      </w:r>
      <w:r w:rsidR="009114CC" w:rsidRPr="009114CC">
        <w:rPr>
          <w:rFonts w:asciiTheme="majorHAnsi" w:eastAsia="Calibri" w:hAnsiTheme="majorHAnsi" w:cs="Times New Roman"/>
          <w:bCs w:val="0"/>
          <w:color w:val="7F7F7F" w:themeColor="text1" w:themeTint="80"/>
          <w:sz w:val="21"/>
          <w:szCs w:val="22"/>
          <w:lang w:val="sr-Cyrl-RS"/>
        </w:rPr>
        <w:t>Један од циљева структурних и фискалних мера је и реформа пословања јавних предузећа, поготово великих система. Рационализација њиховог пословања и претварање у профитна предузећа биће приоритет у наредном периоду. Фискални ефекти реструктурирања јавних предузећа огледаће се у уплати дела добити, односно дивиденди у буџет. По овом основу се очекује између 0,3% и 0,5% БДП годишње</w:t>
      </w:r>
      <w:r w:rsidRPr="00171A80">
        <w:rPr>
          <w:rFonts w:asciiTheme="majorHAnsi" w:eastAsia="Calibri" w:hAnsiTheme="majorHAnsi" w:cs="Times New Roman"/>
          <w:bCs w:val="0"/>
          <w:color w:val="7F7F7F" w:themeColor="text1" w:themeTint="80"/>
          <w:sz w:val="21"/>
          <w:szCs w:val="22"/>
          <w:lang w:val="sr-Cyrl-RS"/>
        </w:rPr>
        <w:t xml:space="preserve">. </w:t>
      </w:r>
    </w:p>
    <w:p w:rsidR="003F2BA0" w:rsidRPr="00171A80" w:rsidRDefault="003F2BA0" w:rsidP="003F2BA0">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
          <w:bCs w:val="0"/>
          <w:i/>
          <w:color w:val="7F7F7F" w:themeColor="text1" w:themeTint="80"/>
          <w:sz w:val="21"/>
          <w:szCs w:val="22"/>
          <w:lang w:val="sr-Cyrl-RS"/>
        </w:rPr>
        <w:t>8) Накнада за транспорт гаса</w:t>
      </w:r>
      <w:r w:rsidRPr="00171A80">
        <w:rPr>
          <w:rFonts w:asciiTheme="majorHAnsi" w:eastAsia="Calibri" w:hAnsiTheme="majorHAnsi" w:cs="Times New Roman"/>
          <w:bCs w:val="0"/>
          <w:color w:val="7F7F7F" w:themeColor="text1" w:themeTint="80"/>
          <w:sz w:val="21"/>
          <w:szCs w:val="22"/>
          <w:lang w:val="sr-Cyrl-RS"/>
        </w:rPr>
        <w:t xml:space="preserve"> – </w:t>
      </w:r>
      <w:r w:rsidR="009114CC" w:rsidRPr="009114CC">
        <w:rPr>
          <w:rFonts w:asciiTheme="majorHAnsi" w:eastAsia="Calibri" w:hAnsiTheme="majorHAnsi" w:cs="Times New Roman"/>
          <w:bCs w:val="0"/>
          <w:color w:val="7F7F7F" w:themeColor="text1" w:themeTint="80"/>
          <w:sz w:val="21"/>
          <w:szCs w:val="22"/>
          <w:lang w:val="sr-Cyrl-RS"/>
        </w:rPr>
        <w:t>Увођење транзитне накнаде за гас у износу од 2 динара по кубном метру требало би да донесе додатни приход ЈП „Србијагас” у износу од 0,2% - 0,3% БДП годишње што би у истом износу смањило обавезе буџета по основу гарантованог дуга који се плаћа у име овог предузећа</w:t>
      </w:r>
      <w:r w:rsidRPr="00171A80">
        <w:rPr>
          <w:rFonts w:asciiTheme="majorHAnsi" w:eastAsia="Calibri" w:hAnsiTheme="majorHAnsi" w:cs="Times New Roman"/>
          <w:bCs w:val="0"/>
          <w:color w:val="7F7F7F" w:themeColor="text1" w:themeTint="80"/>
          <w:sz w:val="21"/>
          <w:szCs w:val="22"/>
          <w:lang w:val="sr-Cyrl-RS"/>
        </w:rPr>
        <w:t xml:space="preserve">. </w:t>
      </w:r>
    </w:p>
    <w:p w:rsidR="00052F7E" w:rsidRPr="002911F7" w:rsidRDefault="003F2BA0" w:rsidP="002911F7">
      <w:pPr>
        <w:rPr>
          <w:rFonts w:asciiTheme="majorHAnsi" w:eastAsia="Calibri" w:hAnsiTheme="majorHAnsi" w:cs="Times New Roman"/>
          <w:b/>
          <w:bCs w:val="0"/>
          <w:color w:val="7F7F7F" w:themeColor="text1" w:themeTint="80"/>
          <w:sz w:val="21"/>
          <w:szCs w:val="22"/>
          <w:lang w:val="sr-Cyrl-RS"/>
        </w:rPr>
      </w:pPr>
      <w:r w:rsidRPr="00171A80">
        <w:rPr>
          <w:rFonts w:asciiTheme="majorHAnsi" w:eastAsia="Calibri" w:hAnsiTheme="majorHAnsi" w:cs="Times New Roman"/>
          <w:b/>
          <w:bCs w:val="0"/>
          <w:i/>
          <w:color w:val="7F7F7F" w:themeColor="text1" w:themeTint="80"/>
          <w:sz w:val="21"/>
          <w:szCs w:val="22"/>
          <w:lang w:val="sr-Cyrl-RS"/>
        </w:rPr>
        <w:t xml:space="preserve">9) Финансирање локалне самоуправе </w:t>
      </w:r>
      <w:r w:rsidRPr="00171A80">
        <w:rPr>
          <w:rFonts w:asciiTheme="majorHAnsi" w:eastAsia="Calibri" w:hAnsiTheme="majorHAnsi" w:cs="Times New Roman"/>
          <w:bCs w:val="0"/>
          <w:color w:val="7F7F7F" w:themeColor="text1" w:themeTint="80"/>
          <w:sz w:val="21"/>
          <w:szCs w:val="22"/>
          <w:lang w:val="sr-Cyrl-RS"/>
        </w:rPr>
        <w:t xml:space="preserve">– </w:t>
      </w:r>
      <w:r w:rsidR="009114CC" w:rsidRPr="009114CC">
        <w:rPr>
          <w:rFonts w:asciiTheme="majorHAnsi" w:eastAsia="Calibri" w:hAnsiTheme="majorHAnsi" w:cs="Times New Roman"/>
          <w:bCs w:val="0"/>
          <w:color w:val="7F7F7F" w:themeColor="text1" w:themeTint="80"/>
          <w:sz w:val="21"/>
          <w:szCs w:val="22"/>
          <w:lang w:val="sr-Cyrl-RS"/>
        </w:rPr>
        <w:t>Током 2015. године усвојиће се измене Закона о финансирању локалне самоуправе којим би ефективно требало да се смање трансфери из буџета Републике Србије и подстакну локалне самоуправе на ефикаснију наплату сопствених прихода. Ове измене би ступиле на снагу почетком 2016. године и требало би да смање дефицит опште државе за око 0,2% БДП</w:t>
      </w:r>
      <w:r w:rsidRPr="00171A80">
        <w:rPr>
          <w:rFonts w:asciiTheme="majorHAnsi" w:eastAsia="Calibri" w:hAnsiTheme="majorHAnsi" w:cs="Times New Roman"/>
          <w:bCs w:val="0"/>
          <w:color w:val="7F7F7F" w:themeColor="text1" w:themeTint="80"/>
          <w:sz w:val="21"/>
          <w:szCs w:val="22"/>
          <w:lang w:val="sr-Cyrl-RS"/>
        </w:rPr>
        <w:t>.</w:t>
      </w:r>
      <w:r w:rsidR="005A473C" w:rsidRPr="00171A80">
        <w:rPr>
          <w:rFonts w:asciiTheme="majorHAnsi" w:eastAsia="Calibri" w:hAnsiTheme="majorHAnsi" w:cs="Times New Roman"/>
          <w:bCs w:val="0"/>
          <w:color w:val="7F7F7F" w:themeColor="text1" w:themeTint="80"/>
          <w:sz w:val="21"/>
          <w:szCs w:val="22"/>
          <w:lang w:val="sr-Cyrl-RS"/>
        </w:rPr>
        <w:t xml:space="preserve"> </w:t>
      </w:r>
      <w:bookmarkStart w:id="41" w:name="_Toc370377589"/>
      <w:bookmarkStart w:id="42" w:name="_Toc370469495"/>
      <w:bookmarkStart w:id="43" w:name="_Toc370719269"/>
    </w:p>
    <w:p w:rsidR="00EE5FC0" w:rsidRPr="002911F7" w:rsidRDefault="005A473C" w:rsidP="002911F7">
      <w:pPr>
        <w:ind w:firstLine="0"/>
        <w:rPr>
          <w:rFonts w:asciiTheme="majorHAnsi" w:eastAsia="Calibri" w:hAnsiTheme="majorHAnsi"/>
          <w:b/>
          <w:i/>
          <w:color w:val="4F6228" w:themeColor="accent3" w:themeShade="80"/>
          <w:lang w:val="sr-Cyrl-RS"/>
        </w:rPr>
      </w:pPr>
      <w:r w:rsidRPr="00171A80">
        <w:rPr>
          <w:rFonts w:asciiTheme="majorHAnsi" w:eastAsia="Calibri" w:hAnsiTheme="majorHAnsi"/>
          <w:b/>
          <w:i/>
          <w:color w:val="4F6228" w:themeColor="accent3" w:themeShade="80"/>
          <w:lang w:val="sr-Cyrl-RS"/>
        </w:rPr>
        <w:t>Фискалне</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пројекције</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у</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периоду</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од</w:t>
      </w:r>
      <w:r w:rsidRPr="00171A80">
        <w:rPr>
          <w:rFonts w:asciiTheme="majorHAnsi" w:eastAsia="Calibri" w:hAnsiTheme="majorHAnsi" w:cs="Times New Roman"/>
          <w:b/>
          <w:i/>
          <w:color w:val="4F6228" w:themeColor="accent3" w:themeShade="80"/>
          <w:lang w:val="sr-Cyrl-RS"/>
        </w:rPr>
        <w:t xml:space="preserve"> 201</w:t>
      </w:r>
      <w:r w:rsidR="00C37371" w:rsidRPr="00171A80">
        <w:rPr>
          <w:rFonts w:asciiTheme="majorHAnsi" w:eastAsia="Calibri" w:hAnsiTheme="majorHAnsi" w:cs="Times New Roman"/>
          <w:b/>
          <w:i/>
          <w:color w:val="4F6228" w:themeColor="accent3" w:themeShade="80"/>
          <w:lang w:val="sr-Cyrl-RS"/>
        </w:rPr>
        <w:t>5</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до</w:t>
      </w:r>
      <w:r w:rsidRPr="00171A80">
        <w:rPr>
          <w:rFonts w:asciiTheme="majorHAnsi" w:eastAsia="Calibri" w:hAnsiTheme="majorHAnsi" w:cs="Times New Roman"/>
          <w:b/>
          <w:i/>
          <w:color w:val="4F6228" w:themeColor="accent3" w:themeShade="80"/>
          <w:lang w:val="sr-Cyrl-RS"/>
        </w:rPr>
        <w:t xml:space="preserve"> 201</w:t>
      </w:r>
      <w:r w:rsidR="00C37371" w:rsidRPr="00171A80">
        <w:rPr>
          <w:rFonts w:asciiTheme="majorHAnsi" w:eastAsia="Calibri" w:hAnsiTheme="majorHAnsi" w:cs="Times New Roman"/>
          <w:b/>
          <w:i/>
          <w:color w:val="4F6228" w:themeColor="accent3" w:themeShade="80"/>
          <w:lang w:val="sr-Cyrl-RS"/>
        </w:rPr>
        <w:t>7</w:t>
      </w:r>
      <w:r w:rsidRPr="00171A80">
        <w:rPr>
          <w:rFonts w:asciiTheme="majorHAnsi" w:eastAsia="Calibri" w:hAnsiTheme="majorHAnsi" w:cs="Times New Roman"/>
          <w:b/>
          <w:i/>
          <w:color w:val="4F6228" w:themeColor="accent3" w:themeShade="80"/>
          <w:lang w:val="sr-Cyrl-RS"/>
        </w:rPr>
        <w:t xml:space="preserve">. </w:t>
      </w:r>
      <w:r w:rsidRPr="00171A80">
        <w:rPr>
          <w:rFonts w:asciiTheme="majorHAnsi" w:eastAsia="Calibri" w:hAnsiTheme="majorHAnsi"/>
          <w:b/>
          <w:i/>
          <w:color w:val="4F6228" w:themeColor="accent3" w:themeShade="80"/>
          <w:lang w:val="sr-Cyrl-RS"/>
        </w:rPr>
        <w:t>године</w:t>
      </w:r>
      <w:bookmarkEnd w:id="41"/>
      <w:bookmarkEnd w:id="42"/>
      <w:bookmarkEnd w:id="43"/>
    </w:p>
    <w:p w:rsidR="003F2BA0" w:rsidRPr="00171A80" w:rsidRDefault="009114CC" w:rsidP="002A5649">
      <w:pPr>
        <w:rPr>
          <w:rFonts w:asciiTheme="majorHAnsi" w:eastAsia="Calibri" w:hAnsiTheme="majorHAnsi" w:cs="Times New Roman"/>
          <w:bCs w:val="0"/>
          <w:color w:val="7F7F7F" w:themeColor="text1" w:themeTint="80"/>
          <w:sz w:val="21"/>
          <w:szCs w:val="22"/>
          <w:lang w:val="sr-Cyrl-RS"/>
        </w:rPr>
      </w:pPr>
      <w:r w:rsidRPr="009114CC">
        <w:rPr>
          <w:rFonts w:asciiTheme="majorHAnsi" w:eastAsia="Calibri" w:hAnsiTheme="majorHAnsi" w:cs="Times New Roman"/>
          <w:bCs w:val="0"/>
          <w:color w:val="7F7F7F" w:themeColor="text1" w:themeTint="80"/>
          <w:sz w:val="21"/>
          <w:szCs w:val="22"/>
          <w:lang w:val="sr-Cyrl-RS"/>
        </w:rPr>
        <w:t>Посматрано према учешћу у БДП, укупни приходи сектора државе, без индиректних корисника, имају опадајући тренд, с обзиром да је номинални раст БДП бржи од раста прихода. Разлог оваквог тренда налази се у чињеници да приходи у највећој мери зависе од кретања приватне потрошње која у условима успореног раста и ограниченог дохотка расте спорије од номиналног БДП. Раст БДП у 2016. и 2017. години биће превасходно детерминисан благим опоравком приватне потрошње и инвестиција које у кратком року нису приходно издашне. У случају виших стопа раста у дугом временском периоду може се очекивати већи раст запослености и зарада, што би довело до значајнијег раста потрошње. Осим тога, кретање прихода ће зависити и од успешности борбе са сивом економијом и пореском евазијом</w:t>
      </w:r>
      <w:r w:rsidR="009B67A2" w:rsidRPr="00171A80">
        <w:rPr>
          <w:rFonts w:asciiTheme="majorHAnsi" w:eastAsia="Calibri" w:hAnsiTheme="majorHAnsi" w:cs="Times New Roman"/>
          <w:bCs w:val="0"/>
          <w:color w:val="7F7F7F" w:themeColor="text1" w:themeTint="80"/>
          <w:sz w:val="21"/>
          <w:szCs w:val="22"/>
          <w:lang w:val="sr-Cyrl-RS"/>
        </w:rPr>
        <w:t>.</w:t>
      </w:r>
    </w:p>
    <w:p w:rsidR="003F2BA0" w:rsidRPr="00171A80" w:rsidRDefault="003F2BA0" w:rsidP="002911F7">
      <w:pPr>
        <w:ind w:firstLine="0"/>
        <w:jc w:val="left"/>
        <w:rPr>
          <w:rFonts w:asciiTheme="majorHAnsi" w:hAnsiTheme="majorHAnsi"/>
          <w:b/>
          <w:color w:val="7F7F7F" w:themeColor="text1" w:themeTint="80"/>
          <w:sz w:val="21"/>
          <w:szCs w:val="21"/>
          <w:lang w:val="sr-Cyrl-RS"/>
        </w:rPr>
      </w:pPr>
      <w:r w:rsidRPr="002436E0">
        <w:rPr>
          <w:rFonts w:asciiTheme="majorHAnsi" w:hAnsiTheme="majorHAnsi"/>
          <w:b/>
          <w:color w:val="7F7F7F" w:themeColor="text1" w:themeTint="80"/>
          <w:sz w:val="21"/>
          <w:szCs w:val="21"/>
          <w:lang w:val="sr-Cyrl-RS"/>
        </w:rPr>
        <w:t xml:space="preserve">Табела </w:t>
      </w:r>
      <w:r w:rsidR="003F6B80" w:rsidRPr="002436E0">
        <w:rPr>
          <w:rFonts w:asciiTheme="majorHAnsi" w:hAnsiTheme="majorHAnsi"/>
          <w:b/>
          <w:color w:val="7F7F7F" w:themeColor="text1" w:themeTint="80"/>
          <w:sz w:val="21"/>
          <w:szCs w:val="21"/>
          <w:lang w:val="sr-Cyrl-RS"/>
        </w:rPr>
        <w:t>11</w:t>
      </w:r>
      <w:r w:rsidRPr="002436E0">
        <w:rPr>
          <w:rFonts w:asciiTheme="majorHAnsi" w:hAnsiTheme="majorHAnsi"/>
          <w:b/>
          <w:color w:val="7F7F7F" w:themeColor="text1" w:themeTint="80"/>
          <w:sz w:val="21"/>
          <w:szCs w:val="21"/>
          <w:lang w:val="sr-Cyrl-RS"/>
        </w:rPr>
        <w:t xml:space="preserve">. Укупни </w:t>
      </w:r>
      <w:r w:rsidRPr="00171A80">
        <w:rPr>
          <w:rFonts w:asciiTheme="majorHAnsi" w:hAnsiTheme="majorHAnsi"/>
          <w:b/>
          <w:color w:val="7F7F7F" w:themeColor="text1" w:themeTint="80"/>
          <w:sz w:val="21"/>
          <w:szCs w:val="21"/>
          <w:lang w:val="sr-Cyrl-RS"/>
        </w:rPr>
        <w:t>приходи и донације у периоду 2014 – 2017. године, у % БДП</w:t>
      </w:r>
    </w:p>
    <w:tbl>
      <w:tblPr>
        <w:tblStyle w:val="LightShading-Accent333"/>
        <w:tblW w:w="4997" w:type="pct"/>
        <w:tblLook w:val="0420" w:firstRow="1" w:lastRow="0" w:firstColumn="0" w:lastColumn="0" w:noHBand="0" w:noVBand="1"/>
      </w:tblPr>
      <w:tblGrid>
        <w:gridCol w:w="4777"/>
        <w:gridCol w:w="1409"/>
        <w:gridCol w:w="944"/>
        <w:gridCol w:w="944"/>
        <w:gridCol w:w="947"/>
      </w:tblGrid>
      <w:tr w:rsidR="003F2BA0" w:rsidRPr="00171A80" w:rsidTr="003F2BA0">
        <w:trPr>
          <w:cnfStyle w:val="100000000000" w:firstRow="1" w:lastRow="0" w:firstColumn="0" w:lastColumn="0" w:oddVBand="0" w:evenVBand="0" w:oddHBand="0" w:evenHBand="0" w:firstRowFirstColumn="0" w:firstRowLastColumn="0" w:lastRowFirstColumn="0" w:lastRowLastColumn="0"/>
          <w:trHeight w:val="21"/>
        </w:trPr>
        <w:tc>
          <w:tcPr>
            <w:tcW w:w="2648" w:type="pct"/>
            <w:vMerge w:val="restart"/>
            <w:noWrap/>
          </w:tcPr>
          <w:p w:rsidR="003F2BA0" w:rsidRPr="00171A80" w:rsidRDefault="003F2BA0" w:rsidP="003F2BA0">
            <w:pPr>
              <w:spacing w:after="0"/>
              <w:ind w:firstLine="0"/>
              <w:rPr>
                <w:rFonts w:asciiTheme="majorHAnsi" w:hAnsiTheme="majorHAnsi"/>
                <w:bCs/>
                <w:color w:val="7F7F7F" w:themeColor="text1" w:themeTint="80"/>
                <w:sz w:val="20"/>
                <w:szCs w:val="20"/>
                <w:lang w:val="sr-Cyrl-RS"/>
              </w:rPr>
            </w:pPr>
            <w:r w:rsidRPr="00171A80">
              <w:rPr>
                <w:rFonts w:asciiTheme="majorHAnsi" w:hAnsiTheme="majorHAnsi"/>
                <w:bCs/>
                <w:color w:val="7F7F7F" w:themeColor="text1" w:themeTint="80"/>
                <w:sz w:val="20"/>
                <w:szCs w:val="20"/>
                <w:lang w:val="sr-Cyrl-RS"/>
              </w:rPr>
              <w:t> </w:t>
            </w:r>
          </w:p>
        </w:tc>
        <w:tc>
          <w:tcPr>
            <w:tcW w:w="781" w:type="pct"/>
          </w:tcPr>
          <w:p w:rsidR="003F2BA0" w:rsidRPr="00171A80" w:rsidRDefault="003F2BA0" w:rsidP="003F2BA0">
            <w:pPr>
              <w:spacing w:after="0"/>
              <w:ind w:firstLine="0"/>
              <w:jc w:val="right"/>
              <w:rPr>
                <w:rFonts w:asciiTheme="majorHAnsi" w:hAnsiTheme="majorHAnsi"/>
                <w:bCs/>
                <w:color w:val="7F7F7F" w:themeColor="text1" w:themeTint="80"/>
                <w:sz w:val="20"/>
                <w:szCs w:val="20"/>
                <w:lang w:val="sr-Cyrl-RS"/>
              </w:rPr>
            </w:pPr>
            <w:r w:rsidRPr="00171A80">
              <w:rPr>
                <w:rFonts w:asciiTheme="majorHAnsi" w:hAnsiTheme="majorHAnsi"/>
                <w:bCs/>
                <w:color w:val="7F7F7F" w:themeColor="text1" w:themeTint="80"/>
                <w:sz w:val="20"/>
                <w:szCs w:val="20"/>
                <w:lang w:val="sr-Cyrl-RS"/>
              </w:rPr>
              <w:t>процена</w:t>
            </w:r>
          </w:p>
        </w:tc>
        <w:tc>
          <w:tcPr>
            <w:tcW w:w="1571" w:type="pct"/>
            <w:gridSpan w:val="3"/>
          </w:tcPr>
          <w:p w:rsidR="003F2BA0" w:rsidRPr="00171A80" w:rsidRDefault="003F2BA0" w:rsidP="003F2BA0">
            <w:pPr>
              <w:spacing w:after="0"/>
              <w:ind w:firstLine="0"/>
              <w:jc w:val="center"/>
              <w:rPr>
                <w:rFonts w:asciiTheme="majorHAnsi" w:hAnsiTheme="majorHAnsi"/>
                <w:bCs/>
                <w:color w:val="7F7F7F" w:themeColor="text1" w:themeTint="80"/>
                <w:sz w:val="20"/>
                <w:szCs w:val="20"/>
                <w:lang w:val="sr-Cyrl-RS"/>
              </w:rPr>
            </w:pPr>
            <w:r w:rsidRPr="00171A80">
              <w:rPr>
                <w:rFonts w:asciiTheme="majorHAnsi" w:hAnsiTheme="majorHAnsi"/>
                <w:bCs/>
                <w:color w:val="7F7F7F" w:themeColor="text1" w:themeTint="80"/>
                <w:sz w:val="20"/>
                <w:szCs w:val="20"/>
                <w:lang w:val="sr-Cyrl-RS"/>
              </w:rPr>
              <w:t>пројекција</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1"/>
        </w:trPr>
        <w:tc>
          <w:tcPr>
            <w:tcW w:w="2648" w:type="pct"/>
            <w:vMerge/>
            <w:noWrap/>
          </w:tcPr>
          <w:p w:rsidR="003F2BA0" w:rsidRPr="00171A80" w:rsidRDefault="003F2BA0" w:rsidP="003F2BA0">
            <w:pPr>
              <w:spacing w:after="0"/>
              <w:ind w:firstLine="0"/>
              <w:rPr>
                <w:rFonts w:asciiTheme="majorHAnsi" w:hAnsiTheme="majorHAnsi"/>
                <w:color w:val="7F7F7F" w:themeColor="text1" w:themeTint="80"/>
                <w:sz w:val="20"/>
                <w:szCs w:val="20"/>
                <w:lang w:val="sr-Cyrl-RS"/>
              </w:rPr>
            </w:pPr>
          </w:p>
        </w:tc>
        <w:tc>
          <w:tcPr>
            <w:tcW w:w="781" w:type="pct"/>
          </w:tcPr>
          <w:p w:rsidR="003F2BA0" w:rsidRPr="00DC77E8" w:rsidRDefault="003F2BA0" w:rsidP="003F2BA0">
            <w:pPr>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2014</w:t>
            </w:r>
          </w:p>
        </w:tc>
        <w:tc>
          <w:tcPr>
            <w:tcW w:w="523" w:type="pct"/>
          </w:tcPr>
          <w:p w:rsidR="003F2BA0" w:rsidRPr="00DC77E8" w:rsidRDefault="003F2BA0" w:rsidP="003F2BA0">
            <w:pPr>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2015</w:t>
            </w:r>
          </w:p>
        </w:tc>
        <w:tc>
          <w:tcPr>
            <w:tcW w:w="523" w:type="pct"/>
          </w:tcPr>
          <w:p w:rsidR="003F2BA0" w:rsidRPr="00DC77E8" w:rsidRDefault="003F2BA0" w:rsidP="003F2BA0">
            <w:pPr>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2016</w:t>
            </w:r>
          </w:p>
        </w:tc>
        <w:tc>
          <w:tcPr>
            <w:tcW w:w="524" w:type="pct"/>
          </w:tcPr>
          <w:p w:rsidR="003F2BA0" w:rsidRPr="00DC77E8" w:rsidRDefault="003F2BA0" w:rsidP="003F2BA0">
            <w:pPr>
              <w:spacing w:after="0"/>
              <w:ind w:firstLine="0"/>
              <w:jc w:val="right"/>
              <w:rPr>
                <w:rFonts w:asciiTheme="majorHAnsi" w:hAnsiTheme="majorHAnsi"/>
                <w:b/>
                <w:color w:val="7F7F7F" w:themeColor="text1" w:themeTint="80"/>
                <w:sz w:val="20"/>
                <w:szCs w:val="20"/>
                <w:lang w:val="sr-Cyrl-RS"/>
              </w:rPr>
            </w:pPr>
            <w:r w:rsidRPr="00DC77E8">
              <w:rPr>
                <w:rFonts w:asciiTheme="majorHAnsi" w:hAnsiTheme="majorHAnsi"/>
                <w:b/>
                <w:color w:val="7F7F7F" w:themeColor="text1" w:themeTint="80"/>
                <w:sz w:val="20"/>
                <w:szCs w:val="20"/>
                <w:lang w:val="sr-Cyrl-RS"/>
              </w:rPr>
              <w:t>2017</w:t>
            </w:r>
          </w:p>
        </w:tc>
      </w:tr>
      <w:tr w:rsidR="003F2BA0" w:rsidRPr="00171A80" w:rsidTr="003F2BA0">
        <w:trPr>
          <w:trHeight w:val="21"/>
        </w:trPr>
        <w:tc>
          <w:tcPr>
            <w:tcW w:w="2648" w:type="pct"/>
          </w:tcPr>
          <w:p w:rsidR="003F2BA0" w:rsidRPr="00171A80" w:rsidRDefault="003F2BA0" w:rsidP="003F2BA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ЈАВНИ ПРИХОДИ</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40,9</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40,3</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39,1</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38,2</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1"/>
        </w:trPr>
        <w:tc>
          <w:tcPr>
            <w:tcW w:w="2648" w:type="pct"/>
          </w:tcPr>
          <w:p w:rsidR="003F2BA0" w:rsidRPr="00171A80" w:rsidRDefault="003F2BA0" w:rsidP="003F2BA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Текући приходи</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40,7</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40,0</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38,9</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37,9</w:t>
            </w:r>
          </w:p>
        </w:tc>
      </w:tr>
      <w:tr w:rsidR="003F2BA0" w:rsidRPr="00171A80" w:rsidTr="003F2BA0">
        <w:trPr>
          <w:trHeight w:val="21"/>
        </w:trPr>
        <w:tc>
          <w:tcPr>
            <w:tcW w:w="2648" w:type="pct"/>
          </w:tcPr>
          <w:p w:rsidR="003F2BA0" w:rsidRPr="00171A80" w:rsidRDefault="003F2BA0" w:rsidP="003F2BA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xml:space="preserve"> Порески приходи</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36,5</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35,3</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34,2</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33,3</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1"/>
        </w:trPr>
        <w:tc>
          <w:tcPr>
            <w:tcW w:w="2648" w:type="pct"/>
          </w:tcPr>
          <w:p w:rsidR="003F2BA0" w:rsidRPr="00171A80" w:rsidRDefault="003F2BA0" w:rsidP="003F2BA0">
            <w:pPr>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Порез на доходак грађана</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3,7</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3,6</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3,4</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3,3</w:t>
            </w:r>
          </w:p>
        </w:tc>
      </w:tr>
      <w:tr w:rsidR="003F2BA0" w:rsidRPr="00171A80" w:rsidTr="003F2BA0">
        <w:trPr>
          <w:trHeight w:val="21"/>
        </w:trPr>
        <w:tc>
          <w:tcPr>
            <w:tcW w:w="2648" w:type="pct"/>
          </w:tcPr>
          <w:p w:rsidR="003F2BA0" w:rsidRPr="00171A80" w:rsidRDefault="003F2BA0" w:rsidP="003F2BA0">
            <w:pPr>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xml:space="preserve">Порез на добит </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1,9</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1,9</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1,9</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1,9</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1"/>
        </w:trPr>
        <w:tc>
          <w:tcPr>
            <w:tcW w:w="2648" w:type="pct"/>
          </w:tcPr>
          <w:p w:rsidR="003F2BA0" w:rsidRPr="00171A80" w:rsidRDefault="003F2BA0" w:rsidP="003F2BA0">
            <w:pPr>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Порез на додату вредност</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10,2</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10,1</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9,8</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9,6</w:t>
            </w:r>
          </w:p>
        </w:tc>
      </w:tr>
      <w:tr w:rsidR="003F2BA0" w:rsidRPr="00171A80" w:rsidTr="003F2BA0">
        <w:trPr>
          <w:trHeight w:val="21"/>
        </w:trPr>
        <w:tc>
          <w:tcPr>
            <w:tcW w:w="2648" w:type="pct"/>
          </w:tcPr>
          <w:p w:rsidR="003F2BA0" w:rsidRPr="00171A80" w:rsidRDefault="003F2BA0" w:rsidP="003F2BA0">
            <w:pPr>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Акцизе</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5,4</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5,4</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5,4</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5,2</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1"/>
        </w:trPr>
        <w:tc>
          <w:tcPr>
            <w:tcW w:w="2648" w:type="pct"/>
          </w:tcPr>
          <w:p w:rsidR="003F2BA0" w:rsidRPr="00171A80" w:rsidRDefault="003F2BA0" w:rsidP="003F2BA0">
            <w:pPr>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Царине</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0,8</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0,7</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0,7</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0,7</w:t>
            </w:r>
          </w:p>
        </w:tc>
      </w:tr>
      <w:tr w:rsidR="003F2BA0" w:rsidRPr="00171A80" w:rsidTr="003F2BA0">
        <w:trPr>
          <w:trHeight w:val="21"/>
        </w:trPr>
        <w:tc>
          <w:tcPr>
            <w:tcW w:w="2648" w:type="pct"/>
          </w:tcPr>
          <w:p w:rsidR="003F2BA0" w:rsidRPr="00171A80" w:rsidRDefault="003F2BA0" w:rsidP="003F2BA0">
            <w:pPr>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Остали порески приходи</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1,4</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1,4</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1,4</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1,4</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1"/>
        </w:trPr>
        <w:tc>
          <w:tcPr>
            <w:tcW w:w="2648" w:type="pct"/>
          </w:tcPr>
          <w:p w:rsidR="003F2BA0" w:rsidRPr="00171A80" w:rsidRDefault="003F2BA0" w:rsidP="003F2BA0">
            <w:pPr>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Доприноси</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13,0</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12,2</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11,6</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11,2</w:t>
            </w:r>
          </w:p>
        </w:tc>
      </w:tr>
      <w:tr w:rsidR="003F2BA0" w:rsidRPr="00171A80" w:rsidTr="003F2BA0">
        <w:trPr>
          <w:trHeight w:val="21"/>
        </w:trPr>
        <w:tc>
          <w:tcPr>
            <w:tcW w:w="2648" w:type="pct"/>
          </w:tcPr>
          <w:p w:rsidR="003F2BA0" w:rsidRPr="00171A80" w:rsidRDefault="003F2BA0" w:rsidP="003F2BA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xml:space="preserve"> Непорески приходи</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4,2</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4,8</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4,7</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4,6</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1"/>
        </w:trPr>
        <w:tc>
          <w:tcPr>
            <w:tcW w:w="2648" w:type="pct"/>
          </w:tcPr>
          <w:p w:rsidR="003F2BA0" w:rsidRPr="00171A80" w:rsidRDefault="003F2BA0" w:rsidP="003F2BA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Донације</w:t>
            </w:r>
          </w:p>
        </w:tc>
        <w:tc>
          <w:tcPr>
            <w:tcW w:w="781"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0,2</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0,2</w:t>
            </w:r>
          </w:p>
        </w:tc>
        <w:tc>
          <w:tcPr>
            <w:tcW w:w="523"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0,2</w:t>
            </w:r>
          </w:p>
        </w:tc>
        <w:tc>
          <w:tcPr>
            <w:tcW w:w="524" w:type="pct"/>
            <w:noWrap/>
          </w:tcPr>
          <w:p w:rsidR="003F2BA0" w:rsidRPr="00171A80" w:rsidRDefault="003F2BA0" w:rsidP="003F2BA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0,2</w:t>
            </w:r>
          </w:p>
        </w:tc>
      </w:tr>
    </w:tbl>
    <w:p w:rsidR="003F2BA0" w:rsidRPr="00171A80" w:rsidRDefault="003F2BA0" w:rsidP="003F2BA0">
      <w:pPr>
        <w:ind w:firstLine="0"/>
        <w:rPr>
          <w:rFonts w:asciiTheme="majorHAnsi" w:eastAsia="Calibri" w:hAnsiTheme="majorHAnsi" w:cs="Times New Roman"/>
          <w:bCs w:val="0"/>
          <w:color w:val="7F7F7F" w:themeColor="text1" w:themeTint="80"/>
          <w:sz w:val="18"/>
          <w:szCs w:val="18"/>
          <w:lang w:val="sr-Cyrl-RS"/>
        </w:rPr>
      </w:pPr>
      <w:r w:rsidRPr="00E37179">
        <w:rPr>
          <w:rFonts w:asciiTheme="majorHAnsi" w:eastAsia="Calibri" w:hAnsiTheme="majorHAnsi" w:cs="Times New Roman"/>
          <w:b/>
          <w:bCs w:val="0"/>
          <w:color w:val="7F7F7F" w:themeColor="text1" w:themeTint="80"/>
          <w:sz w:val="18"/>
          <w:szCs w:val="18"/>
          <w:lang w:val="sr-Cyrl-RS"/>
        </w:rPr>
        <w:t>Извор:</w:t>
      </w:r>
      <w:r w:rsidRPr="00171A80">
        <w:rPr>
          <w:rFonts w:asciiTheme="majorHAnsi" w:eastAsia="Calibri" w:hAnsiTheme="majorHAnsi" w:cs="Times New Roman"/>
          <w:bCs w:val="0"/>
          <w:color w:val="7F7F7F" w:themeColor="text1" w:themeTint="80"/>
          <w:sz w:val="18"/>
          <w:szCs w:val="18"/>
          <w:lang w:val="sr-Cyrl-RS"/>
        </w:rPr>
        <w:t xml:space="preserve"> МФИН</w:t>
      </w:r>
    </w:p>
    <w:p w:rsidR="003F2BA0" w:rsidRPr="00171A80" w:rsidRDefault="009114CC" w:rsidP="003F2BA0">
      <w:pPr>
        <w:rPr>
          <w:rFonts w:asciiTheme="majorHAnsi" w:eastAsia="Calibri" w:hAnsiTheme="majorHAnsi" w:cs="Times New Roman"/>
          <w:bCs w:val="0"/>
          <w:color w:val="7F7F7F" w:themeColor="text1" w:themeTint="80"/>
          <w:sz w:val="21"/>
          <w:szCs w:val="21"/>
          <w:lang w:val="sr-Cyrl-RS"/>
        </w:rPr>
      </w:pPr>
      <w:r w:rsidRPr="009114CC">
        <w:rPr>
          <w:rFonts w:asciiTheme="majorHAnsi" w:eastAsia="Calibri" w:hAnsiTheme="majorHAnsi" w:cs="Times New Roman"/>
          <w:bCs w:val="0"/>
          <w:color w:val="7F7F7F" w:themeColor="text1" w:themeTint="80"/>
          <w:sz w:val="21"/>
          <w:szCs w:val="21"/>
          <w:lang w:val="sr-Cyrl-RS"/>
        </w:rPr>
        <w:t xml:space="preserve">Мере фискалне консолидације у знатној мери опредељују кретање макроекономских агрегата у наредном периоду, пре свега кретање БДП и приватне потрошње. Са друге стране, </w:t>
      </w:r>
      <w:r w:rsidRPr="009114CC">
        <w:rPr>
          <w:rFonts w:asciiTheme="majorHAnsi" w:eastAsia="Calibri" w:hAnsiTheme="majorHAnsi" w:cs="Times New Roman"/>
          <w:bCs w:val="0"/>
          <w:color w:val="7F7F7F" w:themeColor="text1" w:themeTint="80"/>
          <w:sz w:val="21"/>
          <w:szCs w:val="21"/>
          <w:lang w:val="sr-Cyrl-RS"/>
        </w:rPr>
        <w:lastRenderedPageBreak/>
        <w:t>мере које се односе на смањење зарада и пензија у јавном сектору имаће двоструки утицај на укупан ниво прихода опште државе (у виду повећања или смањења</w:t>
      </w:r>
      <w:r>
        <w:rPr>
          <w:rFonts w:asciiTheme="majorHAnsi" w:eastAsia="Calibri" w:hAnsiTheme="majorHAnsi" w:cs="Times New Roman"/>
          <w:bCs w:val="0"/>
          <w:color w:val="7F7F7F" w:themeColor="text1" w:themeTint="80"/>
          <w:sz w:val="21"/>
          <w:szCs w:val="21"/>
          <w:lang w:val="sr-Latn-RS"/>
        </w:rPr>
        <w:t>)</w:t>
      </w:r>
      <w:r w:rsidR="003F2BA0" w:rsidRPr="00171A80">
        <w:rPr>
          <w:rFonts w:asciiTheme="majorHAnsi" w:eastAsia="Calibri" w:hAnsiTheme="majorHAnsi" w:cs="Times New Roman"/>
          <w:bCs w:val="0"/>
          <w:color w:val="7F7F7F" w:themeColor="text1" w:themeTint="80"/>
          <w:sz w:val="21"/>
          <w:szCs w:val="21"/>
          <w:lang w:val="sr-Cyrl-RS"/>
        </w:rPr>
        <w:t xml:space="preserve">: </w:t>
      </w:r>
    </w:p>
    <w:p w:rsidR="009114CC" w:rsidRPr="009114CC" w:rsidRDefault="009114CC" w:rsidP="009114CC">
      <w:pPr>
        <w:numPr>
          <w:ilvl w:val="0"/>
          <w:numId w:val="21"/>
        </w:numPr>
        <w:rPr>
          <w:rFonts w:asciiTheme="majorHAnsi" w:eastAsia="Calibri" w:hAnsiTheme="majorHAnsi" w:cs="Times New Roman"/>
          <w:bCs w:val="0"/>
          <w:color w:val="7F7F7F" w:themeColor="text1" w:themeTint="80"/>
          <w:sz w:val="21"/>
          <w:szCs w:val="21"/>
          <w:lang w:val="sr-Cyrl-RS"/>
        </w:rPr>
      </w:pPr>
      <w:r w:rsidRPr="009114CC">
        <w:rPr>
          <w:rFonts w:asciiTheme="majorHAnsi" w:eastAsia="Calibri" w:hAnsiTheme="majorHAnsi" w:cs="Times New Roman"/>
          <w:bCs w:val="0"/>
          <w:color w:val="7F7F7F" w:themeColor="text1" w:themeTint="80"/>
          <w:sz w:val="21"/>
          <w:szCs w:val="21"/>
          <w:lang w:val="sr-Cyrl-RS"/>
        </w:rPr>
        <w:t>номинално смањење зарада у јавном сектору и пензија имаће негативан ефекат на кретање реалног нивоа приватне потрошње, што ће делимично бити компензовано кретањем масе зарада у приватном сектору;</w:t>
      </w:r>
    </w:p>
    <w:p w:rsidR="009114CC" w:rsidRPr="009114CC" w:rsidRDefault="009114CC" w:rsidP="009114CC">
      <w:pPr>
        <w:numPr>
          <w:ilvl w:val="0"/>
          <w:numId w:val="21"/>
        </w:numPr>
        <w:rPr>
          <w:rFonts w:asciiTheme="majorHAnsi" w:eastAsia="Calibri" w:hAnsiTheme="majorHAnsi" w:cs="Times New Roman"/>
          <w:bCs w:val="0"/>
          <w:color w:val="7F7F7F" w:themeColor="text1" w:themeTint="80"/>
          <w:sz w:val="21"/>
          <w:szCs w:val="21"/>
          <w:lang w:val="sr-Cyrl-RS"/>
        </w:rPr>
      </w:pPr>
      <w:r w:rsidRPr="009114CC">
        <w:rPr>
          <w:rFonts w:asciiTheme="majorHAnsi" w:eastAsia="Calibri" w:hAnsiTheme="majorHAnsi" w:cs="Times New Roman"/>
          <w:bCs w:val="0"/>
          <w:color w:val="7F7F7F" w:themeColor="text1" w:themeTint="80"/>
          <w:sz w:val="21"/>
          <w:szCs w:val="21"/>
          <w:lang w:val="sr-Cyrl-RS"/>
        </w:rPr>
        <w:t>пројектовани ниво инфлације, заједно са кретањем реалног нивоа приватне потрошње, доводи до тога да номинални ниво потрошње као опредељујући фактор наплате индиректних пореза у 2015. години стагнира, а након тога благо расте;</w:t>
      </w:r>
    </w:p>
    <w:p w:rsidR="009114CC" w:rsidRPr="009114CC" w:rsidRDefault="009114CC" w:rsidP="009114CC">
      <w:pPr>
        <w:numPr>
          <w:ilvl w:val="0"/>
          <w:numId w:val="21"/>
        </w:numPr>
        <w:rPr>
          <w:rFonts w:asciiTheme="majorHAnsi" w:eastAsia="Calibri" w:hAnsiTheme="majorHAnsi" w:cs="Times New Roman"/>
          <w:bCs w:val="0"/>
          <w:color w:val="7F7F7F" w:themeColor="text1" w:themeTint="80"/>
          <w:sz w:val="21"/>
          <w:szCs w:val="21"/>
          <w:lang w:val="sr-Cyrl-RS"/>
        </w:rPr>
      </w:pPr>
      <w:r w:rsidRPr="009114CC">
        <w:rPr>
          <w:rFonts w:asciiTheme="majorHAnsi" w:eastAsia="Calibri" w:hAnsiTheme="majorHAnsi" w:cs="Times New Roman"/>
          <w:bCs w:val="0"/>
          <w:color w:val="7F7F7F" w:themeColor="text1" w:themeTint="80"/>
          <w:sz w:val="21"/>
          <w:szCs w:val="21"/>
          <w:lang w:val="sr-Cyrl-RS"/>
        </w:rPr>
        <w:t>смањење зарада у јавном сектору директно утиче на кретање нивоа директних пореза (порез на зараде и социјалних доприноса);</w:t>
      </w:r>
    </w:p>
    <w:p w:rsidR="009114CC" w:rsidRPr="009114CC" w:rsidRDefault="009114CC" w:rsidP="009114CC">
      <w:pPr>
        <w:numPr>
          <w:ilvl w:val="0"/>
          <w:numId w:val="21"/>
        </w:numPr>
        <w:rPr>
          <w:rFonts w:asciiTheme="majorHAnsi" w:eastAsia="Calibri" w:hAnsiTheme="majorHAnsi" w:cs="Times New Roman"/>
          <w:bCs w:val="0"/>
          <w:color w:val="7F7F7F" w:themeColor="text1" w:themeTint="80"/>
          <w:sz w:val="21"/>
          <w:szCs w:val="21"/>
          <w:lang w:val="sr-Cyrl-RS"/>
        </w:rPr>
      </w:pPr>
      <w:r w:rsidRPr="009114CC">
        <w:rPr>
          <w:rFonts w:asciiTheme="majorHAnsi" w:eastAsia="Calibri" w:hAnsiTheme="majorHAnsi" w:cs="Times New Roman"/>
          <w:bCs w:val="0"/>
          <w:color w:val="7F7F7F" w:themeColor="text1" w:themeTint="80"/>
          <w:sz w:val="21"/>
          <w:szCs w:val="21"/>
          <w:lang w:val="sr-Cyrl-RS"/>
        </w:rPr>
        <w:t>смањење зарада у деловима јавног сектора који се не финансирају директно из буџета Републике Србије (локални ниво власти и јавна предузећа) утицаће на приходну страну, тако што ће предвиђена уштеда бити приказана на приходној страни као део непореских прихода;</w:t>
      </w:r>
    </w:p>
    <w:p w:rsidR="009114CC" w:rsidRPr="009114CC" w:rsidRDefault="009114CC" w:rsidP="009114CC">
      <w:pPr>
        <w:numPr>
          <w:ilvl w:val="0"/>
          <w:numId w:val="21"/>
        </w:numPr>
        <w:rPr>
          <w:rFonts w:asciiTheme="majorHAnsi" w:eastAsia="Calibri" w:hAnsiTheme="majorHAnsi" w:cs="Times New Roman"/>
          <w:bCs w:val="0"/>
          <w:color w:val="7F7F7F" w:themeColor="text1" w:themeTint="80"/>
          <w:sz w:val="21"/>
          <w:szCs w:val="21"/>
          <w:lang w:val="sr-Cyrl-RS"/>
        </w:rPr>
      </w:pPr>
      <w:r w:rsidRPr="009114CC">
        <w:rPr>
          <w:rFonts w:asciiTheme="majorHAnsi" w:eastAsia="Calibri" w:hAnsiTheme="majorHAnsi" w:cs="Times New Roman"/>
          <w:bCs w:val="0"/>
          <w:color w:val="7F7F7F" w:themeColor="text1" w:themeTint="80"/>
          <w:sz w:val="21"/>
          <w:szCs w:val="21"/>
          <w:lang w:val="sr-Cyrl-RS"/>
        </w:rPr>
        <w:t xml:space="preserve">претпоставка је да је потрошња акцизних производа доходовно нееластична и да је количински изражено кретање потрошње у одређеној мери аутономно од општег нивоа потрошње. Са друге стране, кретање цена ових производа директно и у великој мери делује на обим сивог тржишта; </w:t>
      </w:r>
    </w:p>
    <w:p w:rsidR="003F2BA0" w:rsidRPr="00171A80" w:rsidRDefault="009114CC" w:rsidP="009114CC">
      <w:pPr>
        <w:numPr>
          <w:ilvl w:val="0"/>
          <w:numId w:val="21"/>
        </w:numPr>
        <w:rPr>
          <w:rFonts w:asciiTheme="majorHAnsi" w:eastAsia="Calibri" w:hAnsiTheme="majorHAnsi" w:cs="Times New Roman"/>
          <w:bCs w:val="0"/>
          <w:color w:val="7F7F7F" w:themeColor="text1" w:themeTint="80"/>
          <w:sz w:val="21"/>
          <w:szCs w:val="21"/>
          <w:lang w:val="sr-Cyrl-RS"/>
        </w:rPr>
      </w:pPr>
      <w:r w:rsidRPr="009114CC">
        <w:rPr>
          <w:rFonts w:asciiTheme="majorHAnsi" w:eastAsia="Calibri" w:hAnsiTheme="majorHAnsi" w:cs="Times New Roman"/>
          <w:bCs w:val="0"/>
          <w:color w:val="7F7F7F" w:themeColor="text1" w:themeTint="80"/>
          <w:sz w:val="21"/>
          <w:szCs w:val="21"/>
          <w:lang w:val="sr-Cyrl-RS"/>
        </w:rPr>
        <w:t>повећање профитабилности делова јавног сектора проузроковаће већу уплату добити јавних предузећа у наредном периоду, а заједно са увођењем нове категорије наменског прихода у виду накнаде за обавезне стратешке резерве нафте утицаће на висину укупних непореских прихода</w:t>
      </w:r>
      <w:r w:rsidR="00331EFB" w:rsidRPr="00331EFB">
        <w:rPr>
          <w:rFonts w:asciiTheme="majorHAnsi" w:eastAsia="Calibri" w:hAnsiTheme="majorHAnsi" w:cs="Times New Roman"/>
          <w:bCs w:val="0"/>
          <w:color w:val="7F7F7F" w:themeColor="text1" w:themeTint="80"/>
          <w:sz w:val="21"/>
          <w:szCs w:val="21"/>
          <w:lang w:val="sr-Cyrl-RS"/>
        </w:rPr>
        <w:t>.</w:t>
      </w:r>
    </w:p>
    <w:p w:rsidR="003F2BA0" w:rsidRPr="00171A80" w:rsidRDefault="003F2BA0" w:rsidP="003F2BA0">
      <w:pPr>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i/>
          <w:color w:val="7F7F7F" w:themeColor="text1" w:themeTint="80"/>
          <w:sz w:val="21"/>
          <w:szCs w:val="21"/>
          <w:lang w:val="sr-Cyrl-RS"/>
        </w:rPr>
        <w:t>Порез на доходак</w:t>
      </w:r>
      <w:r w:rsidRPr="00171A80">
        <w:rPr>
          <w:rFonts w:asciiTheme="majorHAnsi" w:eastAsia="Calibri" w:hAnsiTheme="majorHAnsi" w:cs="Times New Roman"/>
          <w:bCs w:val="0"/>
          <w:color w:val="7F7F7F" w:themeColor="text1" w:themeTint="80"/>
          <w:sz w:val="21"/>
          <w:szCs w:val="21"/>
          <w:lang w:val="sr-Cyrl-RS"/>
        </w:rPr>
        <w:t xml:space="preserve">. </w:t>
      </w:r>
      <w:r w:rsidR="009114CC" w:rsidRPr="009114CC">
        <w:rPr>
          <w:rFonts w:asciiTheme="majorHAnsi" w:eastAsia="Calibri" w:hAnsiTheme="majorHAnsi" w:cs="Times New Roman"/>
          <w:bCs w:val="0"/>
          <w:color w:val="7F7F7F" w:themeColor="text1" w:themeTint="80"/>
          <w:sz w:val="21"/>
          <w:szCs w:val="21"/>
          <w:lang w:val="sr-Cyrl-RS"/>
        </w:rPr>
        <w:t>Порез на доходак пројектован је на нивоу од око 3,3% БДП на крају периода. Разлог постепеног пада овог пореског облика је смањење зарада и рационализација запослености у јавном сектору. Ови ефекти ће бити делимично компензовани кретањем масе зарада у приватном сектору. Преовлађујући облик пореза на доходак је порез на зараде, тако да су кретање масе зарада и запослености главни фактори који утичу на кретање прихода од пореза на доходак. Одређени ниво ризика постоји уколико изостане номинални раст зарада у приватном сектору или буде нижи од очекиваног</w:t>
      </w:r>
      <w:r w:rsidR="0098305B" w:rsidRPr="00171A80">
        <w:rPr>
          <w:rFonts w:asciiTheme="majorHAnsi" w:eastAsia="Calibri" w:hAnsiTheme="majorHAnsi" w:cs="Times New Roman"/>
          <w:bCs w:val="0"/>
          <w:color w:val="7F7F7F" w:themeColor="text1" w:themeTint="80"/>
          <w:sz w:val="21"/>
          <w:szCs w:val="21"/>
          <w:lang w:val="sr-Cyrl-RS"/>
        </w:rPr>
        <w:t>.</w:t>
      </w:r>
    </w:p>
    <w:p w:rsidR="003F2BA0" w:rsidRPr="009114CC" w:rsidRDefault="003F2BA0" w:rsidP="003F2BA0">
      <w:pPr>
        <w:rPr>
          <w:rFonts w:asciiTheme="majorHAnsi" w:eastAsia="Calibri" w:hAnsiTheme="majorHAnsi" w:cs="Times New Roman"/>
          <w:bCs w:val="0"/>
          <w:color w:val="808080" w:themeColor="background1" w:themeShade="80"/>
          <w:sz w:val="21"/>
          <w:szCs w:val="21"/>
          <w:lang w:val="sr-Latn-RS"/>
        </w:rPr>
      </w:pPr>
      <w:r w:rsidRPr="00171A80">
        <w:rPr>
          <w:rFonts w:asciiTheme="majorHAnsi" w:eastAsia="Calibri" w:hAnsiTheme="majorHAnsi" w:cs="Times New Roman"/>
          <w:bCs w:val="0"/>
          <w:i/>
          <w:color w:val="808080" w:themeColor="background1" w:themeShade="80"/>
          <w:sz w:val="21"/>
          <w:szCs w:val="21"/>
          <w:lang w:val="sr-Cyrl-RS"/>
        </w:rPr>
        <w:t>Доприноси за обавезно социјално осигурање</w:t>
      </w:r>
      <w:r w:rsidRPr="00171A80">
        <w:rPr>
          <w:rFonts w:asciiTheme="majorHAnsi" w:eastAsia="Calibri" w:hAnsiTheme="majorHAnsi" w:cs="Times New Roman"/>
          <w:bCs w:val="0"/>
          <w:color w:val="808080" w:themeColor="background1" w:themeShade="80"/>
          <w:sz w:val="21"/>
          <w:szCs w:val="21"/>
          <w:lang w:val="sr-Cyrl-RS"/>
        </w:rPr>
        <w:t xml:space="preserve">. </w:t>
      </w:r>
      <w:r w:rsidR="009114CC" w:rsidRPr="009114CC">
        <w:rPr>
          <w:rFonts w:asciiTheme="majorHAnsi" w:eastAsia="Calibri" w:hAnsiTheme="majorHAnsi" w:cs="Times New Roman"/>
          <w:bCs w:val="0"/>
          <w:color w:val="808080" w:themeColor="background1" w:themeShade="80"/>
          <w:sz w:val="21"/>
          <w:szCs w:val="21"/>
          <w:lang w:val="sr-Cyrl-RS"/>
        </w:rPr>
        <w:t>Доприноси за ООСО представљају највећи појединачни облик јавних прихода. Учешће доприноса у БДП је 13,0% у 2014. години да би на крају периода опало на 11,2%. Кретање учешћа овог јавног прихода у БДП има сличну путању као и кретање учешћа пореза на зараде с обзиром да су за њихову пројекцију коришћене исте претпоставке о кретању зарада и запослености у наредном средњорочном периоду. Доприноси су пореска категорија код које је најизраженија пореска недисциплина и регистрован највећи дуг пореских обвезника. Почетак рада Централног регистра обавезног социјалног осигурања треба да омогући бољу контролу и наплату ових прихода. У протеклом периоду дошло је до значајних измена у нивоима стопа по којима се обрачунавају и наплаћују социјални доприноси и у складу са њима пројектовани су приходи од овог пореског облика. У јуну 2013. године повећана је стопа за ПИО доприносе са 22% на 24%, уз смањење стопе пореза на зараду са 12% на 10%. У августу 2014. године стопа ПИО доприноса је повећана са 24% на 26%, док је истовремено смањена стопа доприноса за здравствено осигурање са 12,3% на 10,3%</w:t>
      </w:r>
      <w:r w:rsidR="009114CC">
        <w:rPr>
          <w:rFonts w:asciiTheme="majorHAnsi" w:eastAsia="Calibri" w:hAnsiTheme="majorHAnsi" w:cs="Times New Roman"/>
          <w:bCs w:val="0"/>
          <w:color w:val="808080" w:themeColor="background1" w:themeShade="80"/>
          <w:sz w:val="21"/>
          <w:szCs w:val="21"/>
          <w:lang w:val="sr-Latn-RS"/>
        </w:rPr>
        <w:t>.</w:t>
      </w:r>
    </w:p>
    <w:p w:rsidR="003F2BA0" w:rsidRPr="00171A80" w:rsidRDefault="003F2BA0" w:rsidP="003F2BA0">
      <w:pPr>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i/>
          <w:color w:val="7F7F7F" w:themeColor="text1" w:themeTint="80"/>
          <w:sz w:val="21"/>
          <w:szCs w:val="21"/>
          <w:lang w:val="sr-Cyrl-RS"/>
        </w:rPr>
        <w:t>Порез на добит</w:t>
      </w:r>
      <w:r w:rsidRPr="00171A80">
        <w:rPr>
          <w:rFonts w:asciiTheme="majorHAnsi" w:eastAsia="Calibri" w:hAnsiTheme="majorHAnsi" w:cs="Times New Roman"/>
          <w:bCs w:val="0"/>
          <w:color w:val="7F7F7F" w:themeColor="text1" w:themeTint="80"/>
          <w:sz w:val="21"/>
          <w:szCs w:val="21"/>
          <w:lang w:val="sr-Cyrl-RS"/>
        </w:rPr>
        <w:t xml:space="preserve">. </w:t>
      </w:r>
      <w:r w:rsidR="009114CC" w:rsidRPr="009114CC">
        <w:rPr>
          <w:rFonts w:asciiTheme="majorHAnsi" w:eastAsia="Calibri" w:hAnsiTheme="majorHAnsi" w:cs="Times New Roman"/>
          <w:bCs w:val="0"/>
          <w:color w:val="7F7F7F" w:themeColor="text1" w:themeTint="80"/>
          <w:sz w:val="21"/>
          <w:szCs w:val="21"/>
          <w:lang w:val="sr-Cyrl-RS"/>
        </w:rPr>
        <w:t>Изменом Закона о порезу на добит у 2013. години је повећана стопа пореза на добит са 10% на 15%, и пун ефекат ове измене забележен је у 2014. години. Током наредног периода предвиђа се непромењено учешће овог пореског облика у БДП, с обзиром да се не очекују значајније промене у профитабилности привреде. Изменама прописа који регулишу наплату пореза на добит из 2013. године предвиђено је значајно укидање пореских олакшица, тако да постоји могућност остварења већих прихода по овом основу</w:t>
      </w:r>
      <w:r w:rsidRPr="00171A80">
        <w:rPr>
          <w:rFonts w:asciiTheme="majorHAnsi" w:eastAsia="Calibri" w:hAnsiTheme="majorHAnsi" w:cs="Times New Roman"/>
          <w:bCs w:val="0"/>
          <w:color w:val="7F7F7F" w:themeColor="text1" w:themeTint="80"/>
          <w:sz w:val="21"/>
          <w:szCs w:val="21"/>
          <w:lang w:val="sr-Cyrl-RS"/>
        </w:rPr>
        <w:t xml:space="preserve">. </w:t>
      </w:r>
    </w:p>
    <w:p w:rsidR="003F2BA0" w:rsidRPr="00171A80" w:rsidRDefault="003F2BA0" w:rsidP="003F2BA0">
      <w:pPr>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i/>
          <w:color w:val="7F7F7F" w:themeColor="text1" w:themeTint="80"/>
          <w:sz w:val="21"/>
          <w:szCs w:val="21"/>
          <w:lang w:val="sr-Cyrl-RS"/>
        </w:rPr>
        <w:t>Порез на додату вредност</w:t>
      </w:r>
      <w:r w:rsidRPr="00171A80">
        <w:rPr>
          <w:rFonts w:asciiTheme="majorHAnsi" w:eastAsia="Calibri" w:hAnsiTheme="majorHAnsi" w:cs="Times New Roman"/>
          <w:bCs w:val="0"/>
          <w:color w:val="7F7F7F" w:themeColor="text1" w:themeTint="80"/>
          <w:sz w:val="21"/>
          <w:szCs w:val="21"/>
          <w:lang w:val="sr-Cyrl-RS"/>
        </w:rPr>
        <w:t xml:space="preserve">. </w:t>
      </w:r>
      <w:r w:rsidR="009114CC" w:rsidRPr="009114CC">
        <w:rPr>
          <w:rFonts w:asciiTheme="majorHAnsi" w:eastAsia="Calibri" w:hAnsiTheme="majorHAnsi" w:cs="Times New Roman"/>
          <w:bCs w:val="0"/>
          <w:color w:val="7F7F7F" w:themeColor="text1" w:themeTint="80"/>
          <w:sz w:val="21"/>
          <w:szCs w:val="21"/>
          <w:lang w:val="sr-Cyrl-RS"/>
        </w:rPr>
        <w:t xml:space="preserve">Кретање прихода од ПДВ карактерише благи пад учешћа у БДП, с обзиром да је пројектован спорији раст приватне потрошње у односу на номинални раст БДП. Главна детерминанта кретања ПДВ је приватна потрошња вођена расположивим </w:t>
      </w:r>
      <w:r w:rsidR="009114CC" w:rsidRPr="009114CC">
        <w:rPr>
          <w:rFonts w:asciiTheme="majorHAnsi" w:eastAsia="Calibri" w:hAnsiTheme="majorHAnsi" w:cs="Times New Roman"/>
          <w:bCs w:val="0"/>
          <w:color w:val="7F7F7F" w:themeColor="text1" w:themeTint="80"/>
          <w:sz w:val="21"/>
          <w:szCs w:val="21"/>
          <w:lang w:val="sr-Cyrl-RS"/>
        </w:rPr>
        <w:lastRenderedPageBreak/>
        <w:t>дохотком становништва. Расположиви доходак, као детерминанта потрошње, зависи од кретања зарада у јавном сектору, пензија, социјалне помоћи и кретања масе зарада у приватном сектору и осталих облика доходака, укључујући и дознаке. За 2015. годину предвиђено је да ће номинални износ приватне потрошње стагнирати, а у наредне две године благо расти. Разлог за ово лежи у томе што се фискална консолидација спроводи кроз смањење зарада у јавном сектору и пензија, завршетак процеса реструктурирања и планирано смањење броја запослених у јавном сектору. Са друге стране, виши ниво издвајања кроз различите облике социјалне заштите на нивоу опште државе, благи номинални раст зарада у приватном сектору и умерени раст осталих облика дохотка резултирају номинално непромењеним износом приватне потрошње</w:t>
      </w:r>
      <w:r w:rsidR="009B67A2" w:rsidRPr="00171A80">
        <w:rPr>
          <w:rFonts w:asciiTheme="majorHAnsi" w:eastAsia="Calibri" w:hAnsiTheme="majorHAnsi" w:cs="Times New Roman"/>
          <w:bCs w:val="0"/>
          <w:color w:val="7F7F7F" w:themeColor="text1" w:themeTint="80"/>
          <w:sz w:val="21"/>
          <w:szCs w:val="21"/>
          <w:lang w:val="sr-Cyrl-RS"/>
        </w:rPr>
        <w:t>.</w:t>
      </w:r>
    </w:p>
    <w:p w:rsidR="003F2BA0" w:rsidRPr="00171A80" w:rsidRDefault="009114CC" w:rsidP="003F2BA0">
      <w:pPr>
        <w:rPr>
          <w:rFonts w:asciiTheme="majorHAnsi" w:eastAsia="Calibri" w:hAnsiTheme="majorHAnsi" w:cs="Times New Roman"/>
          <w:bCs w:val="0"/>
          <w:color w:val="7F7F7F" w:themeColor="text1" w:themeTint="80"/>
          <w:sz w:val="21"/>
          <w:szCs w:val="21"/>
          <w:lang w:val="sr-Cyrl-RS"/>
        </w:rPr>
      </w:pPr>
      <w:r w:rsidRPr="009114CC">
        <w:rPr>
          <w:rFonts w:asciiTheme="majorHAnsi" w:eastAsia="Calibri" w:hAnsiTheme="majorHAnsi" w:cs="Times New Roman"/>
          <w:bCs w:val="0"/>
          <w:color w:val="7F7F7F" w:themeColor="text1" w:themeTint="80"/>
          <w:sz w:val="21"/>
          <w:szCs w:val="21"/>
          <w:lang w:val="sr-Cyrl-RS"/>
        </w:rPr>
        <w:t>Током 2013. и 2014. године повећаване су стопе ПДВ, прво општа у 2013. години, а након тога и посебна у 2014. години. Свака промена пореских стопа уводи одређену дисторзију и у структури и у нивоу потрошње, као и у обиму сивог тржишта и самим тим утиче на ефикасност наплате свих облика пореза на потрошњу. У почетном периоду се обично погоршава степен наплате и не долази до пуних ефеката примене нових стопа. Може се констатовати да је у другој половини 2014. године дошло до стабилизације наплате и успостављања нове равнотеже у структури потрошње. Приметни су и први резултати ефикасније наплате и контроле пореских обвезника и очекује се да ће тај тренд бити настављен у наредној години, са тим што ефекти борбе против сиве економије нису експлицитно дати у пројектованим вредностима услед опрезности. Пројектован је скроман раст извоза у наредном периоду што ће довести и до мањег раста повраћаја ПДВ и уколико дође до већег пораста извозне тражње то може утицати на укупан ниво наплаћеног ПДВ. Ризици за остварење пројекције ПДВ су слични као и код пореза на доходак и леже у кретању зарада у приватном сектору, општем расту привреде као и у степену сиве економије, односно ефикасности у борби против ње</w:t>
      </w:r>
      <w:r w:rsidR="00331EFB" w:rsidRPr="00331EFB">
        <w:rPr>
          <w:rFonts w:asciiTheme="majorHAnsi" w:eastAsia="Calibri" w:hAnsiTheme="majorHAnsi" w:cs="Times New Roman"/>
          <w:bCs w:val="0"/>
          <w:color w:val="7F7F7F" w:themeColor="text1" w:themeTint="80"/>
          <w:sz w:val="21"/>
          <w:szCs w:val="21"/>
          <w:lang w:val="sr-Cyrl-RS"/>
        </w:rPr>
        <w:t>.</w:t>
      </w:r>
      <w:r w:rsidR="003F2BA0" w:rsidRPr="00171A80">
        <w:rPr>
          <w:rFonts w:asciiTheme="majorHAnsi" w:eastAsia="Calibri" w:hAnsiTheme="majorHAnsi" w:cs="Times New Roman"/>
          <w:bCs w:val="0"/>
          <w:color w:val="7F7F7F" w:themeColor="text1" w:themeTint="80"/>
          <w:sz w:val="21"/>
          <w:szCs w:val="21"/>
          <w:lang w:val="sr-Cyrl-RS"/>
        </w:rPr>
        <w:t xml:space="preserve"> </w:t>
      </w:r>
    </w:p>
    <w:p w:rsidR="008E1B3D" w:rsidRPr="008E1B3D" w:rsidRDefault="003F2BA0" w:rsidP="008E1B3D">
      <w:pPr>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i/>
          <w:color w:val="7F7F7F" w:themeColor="text1" w:themeTint="80"/>
          <w:sz w:val="21"/>
          <w:szCs w:val="21"/>
          <w:lang w:val="sr-Cyrl-RS"/>
        </w:rPr>
        <w:t>Акцизе</w:t>
      </w:r>
      <w:r w:rsidRPr="00171A80">
        <w:rPr>
          <w:rFonts w:asciiTheme="majorHAnsi" w:eastAsia="Calibri" w:hAnsiTheme="majorHAnsi" w:cs="Times New Roman"/>
          <w:bCs w:val="0"/>
          <w:color w:val="7F7F7F" w:themeColor="text1" w:themeTint="80"/>
          <w:sz w:val="21"/>
          <w:szCs w:val="21"/>
          <w:lang w:val="sr-Cyrl-RS"/>
        </w:rPr>
        <w:t xml:space="preserve">. </w:t>
      </w:r>
      <w:r w:rsidR="008E1B3D" w:rsidRPr="008E1B3D">
        <w:rPr>
          <w:rFonts w:asciiTheme="majorHAnsi" w:eastAsia="Calibri" w:hAnsiTheme="majorHAnsi" w:cs="Times New Roman"/>
          <w:bCs w:val="0"/>
          <w:color w:val="7F7F7F" w:themeColor="text1" w:themeTint="80"/>
          <w:sz w:val="21"/>
          <w:szCs w:val="21"/>
          <w:lang w:val="sr-Cyrl-RS"/>
        </w:rPr>
        <w:t xml:space="preserve">Пројекција прихода од акциза сачињена је на основу планиране акцизне политике, пројектоване потрошње акцизних производа (нафтни деривати, дуванске прерађевине, алкохол и кафа) и редовног усклађивања номиналног износа акциза на појединачне производе. У оквиру акцизне политике, код свих акцизних производа у наредном средњорочном периоду очекује се даље постепено усклађивање са директивама ЕУ. То подразумева доношење средњорочног плана поступног прилагођавања акцизног оптерећења. Код цигарета оно ће бити усмерено кроз постепено повећање акциза, како би се у прихватљивом временском року достигао ЕУ минимум од 1,8 евра по паклици. Неопходно је да ове промене буду пажљиво дизајниране, како би се избегле промене у структури и обиму потрошње које би угрозиле приходе, али и како не би биле супротне циљевима јавне здравствене политике. </w:t>
      </w:r>
    </w:p>
    <w:p w:rsidR="008E1B3D" w:rsidRPr="008E1B3D" w:rsidRDefault="008E1B3D" w:rsidP="008E1B3D">
      <w:pPr>
        <w:rPr>
          <w:rFonts w:asciiTheme="majorHAnsi" w:eastAsia="Calibri" w:hAnsiTheme="majorHAnsi" w:cs="Times New Roman"/>
          <w:bCs w:val="0"/>
          <w:color w:val="7F7F7F" w:themeColor="text1" w:themeTint="80"/>
          <w:sz w:val="21"/>
          <w:szCs w:val="21"/>
          <w:lang w:val="sr-Cyrl-RS"/>
        </w:rPr>
      </w:pPr>
      <w:r w:rsidRPr="008E1B3D">
        <w:rPr>
          <w:rFonts w:asciiTheme="majorHAnsi" w:eastAsia="Calibri" w:hAnsiTheme="majorHAnsi" w:cs="Times New Roman"/>
          <w:bCs w:val="0"/>
          <w:color w:val="7F7F7F" w:themeColor="text1" w:themeTint="80"/>
          <w:sz w:val="21"/>
          <w:szCs w:val="21"/>
          <w:lang w:val="sr-Cyrl-RS"/>
        </w:rPr>
        <w:t xml:space="preserve">Легално тржиште дуванских прерађевина је у 2013. години, количински изражено, опало за 20%, а у првој половини 2014. године у односу на прву половину 2013. године за исти износ. У другој половини 2014. године долази до опоравка прихода од акциза на дуванске прерађевине и, за разлику од претходног периода, постоји раст у односу на исти посматрани период 2013. године. Мере на сузбијању нелегалне трговине овом врстом акцизних производа су почеле да дају резултате, али коначну процену о обиму легалног тржишта биће могуће дати почетком 2015. године када потпуни подаци буду расположиви. У 2015. години номинални износ специфичне акцизе требало би да износи преко 53 динара (тачан износ зависи од остварене инфлације у 2014. години) у првој половини године, и нешто испод 56 динара у другој половини године. Ово усклађивање предвиђено је постојећом законском регулативом. Међутим, услед тога што је крајње неизвесно предвидети структуру и обим потрошње легалног тржишта, ценовну реакцију произвођача и друге факторе, у 2015. години за потребе пројекције прихода од акциза предвиђен је даљи пад легалног тржишта дуванских производа од 8 - 10% у односу на 2014. годину. Треба напоменути да је пре 2013. године просечни годишњи пад потрошње био прилично уједначен, износио је око 2 - 4%, и може се приписати „природном” паду потрошње услед тренда раста цена дуванских производа и глобалне кампање против конзумирања дуванских производа. Очекује се да у 2016. и 2017. години пад потрошње дуванских производа буде на овом „природном” нивоу. У 2016. години номинални износи акциза се, осим усклађивања са инфлацијом, додатно увећавају у складу са Законом о </w:t>
      </w:r>
      <w:r w:rsidRPr="008E1B3D">
        <w:rPr>
          <w:rFonts w:asciiTheme="majorHAnsi" w:eastAsia="Calibri" w:hAnsiTheme="majorHAnsi" w:cs="Times New Roman"/>
          <w:bCs w:val="0"/>
          <w:color w:val="7F7F7F" w:themeColor="text1" w:themeTint="80"/>
          <w:sz w:val="21"/>
          <w:szCs w:val="21"/>
          <w:lang w:val="sr-Cyrl-RS"/>
        </w:rPr>
        <w:lastRenderedPageBreak/>
        <w:t xml:space="preserve">акцизама, а у 2017. години се усклађују само за висину инфлације. Уколико дође до побољшања услова на тржишту дуванских производа и смањења сиве економије, постоји одређени позитивни ризик у погледу наплате овог облика прихода. </w:t>
      </w:r>
    </w:p>
    <w:p w:rsidR="008E1B3D" w:rsidRPr="008E1B3D" w:rsidRDefault="008E1B3D" w:rsidP="008E1B3D">
      <w:pPr>
        <w:rPr>
          <w:rFonts w:asciiTheme="majorHAnsi" w:eastAsia="Calibri" w:hAnsiTheme="majorHAnsi" w:cs="Times New Roman"/>
          <w:bCs w:val="0"/>
          <w:color w:val="7F7F7F" w:themeColor="text1" w:themeTint="80"/>
          <w:sz w:val="21"/>
          <w:szCs w:val="21"/>
          <w:lang w:val="sr-Cyrl-RS"/>
        </w:rPr>
      </w:pPr>
      <w:r w:rsidRPr="008E1B3D">
        <w:rPr>
          <w:rFonts w:asciiTheme="majorHAnsi" w:eastAsia="Calibri" w:hAnsiTheme="majorHAnsi" w:cs="Times New Roman"/>
          <w:bCs w:val="0"/>
          <w:color w:val="7F7F7F" w:themeColor="text1" w:themeTint="80"/>
          <w:sz w:val="21"/>
          <w:szCs w:val="21"/>
          <w:lang w:val="sr-Cyrl-RS"/>
        </w:rPr>
        <w:t xml:space="preserve">За разлику од дуванских производа, ситуација на тржишту нафтних деривата је знатно боља. После више година заустављен је тренд пада обима легалног тржишта моторног бензина, а присутан је и по први пут благи раст потрошње. Разлози за то су вишеструки: боља контрола и ефекти маркирања нафтних деривата, слабљење ефекта супституције бензина течним нафтним гасом и приближавање цена моторног бензина ценама у региону. Потрошња дизел горива континуирано расте, а томе су поред осталог допринеле и мере ка сузбијању нелегалне трговине и увођење различитих супститута овог горива, за употребу у пољопривреди, под категорију акцизних производа. Са друге стране, потрошња течног нафтног гаса по први пут опада, након што је у протеклом периоду достигла ниво потрошње моторног бензина. У наредном периоду, услед опрезности, није претпостављен наставак раста потрошње моторног бензина и дизела већ су за пројекцију коришћени очекивани износи потрошње у 2014. години. У 2015. години акцизе на дизел и течни нафтни гас се увећавају у складу са Законом о акцизама, а акциза на моторни бензин остаје непромењена. У 2016. и 2017. години акцизе на све врсте горива се усклађују са инфлацијом. У овом случају постоји шанса за већу наплату прихода уколико се настави тренд раста легалног тржишта нафтних деривата. </w:t>
      </w:r>
    </w:p>
    <w:p w:rsidR="003F2BA0" w:rsidRPr="00171A80" w:rsidRDefault="008E1B3D" w:rsidP="008E1B3D">
      <w:pPr>
        <w:rPr>
          <w:rFonts w:asciiTheme="majorHAnsi" w:eastAsia="Calibri" w:hAnsiTheme="majorHAnsi" w:cs="Times New Roman"/>
          <w:bCs w:val="0"/>
          <w:color w:val="7F7F7F" w:themeColor="text1" w:themeTint="80"/>
          <w:sz w:val="21"/>
          <w:szCs w:val="21"/>
          <w:lang w:val="sr-Cyrl-RS"/>
        </w:rPr>
      </w:pPr>
      <w:r w:rsidRPr="008E1B3D">
        <w:rPr>
          <w:rFonts w:asciiTheme="majorHAnsi" w:eastAsia="Calibri" w:hAnsiTheme="majorHAnsi" w:cs="Times New Roman"/>
          <w:bCs w:val="0"/>
          <w:color w:val="7F7F7F" w:themeColor="text1" w:themeTint="80"/>
          <w:sz w:val="21"/>
          <w:szCs w:val="21"/>
          <w:lang w:val="sr-Cyrl-RS"/>
        </w:rPr>
        <w:t>Приходи од акциза на алкохолна пића и кафу су пројектовани у складу са постојећом структуром потрошње и кретањем инфлације у наредном периоду</w:t>
      </w:r>
      <w:r w:rsidR="003F2BA0" w:rsidRPr="00171A80">
        <w:rPr>
          <w:rFonts w:asciiTheme="majorHAnsi" w:eastAsia="Calibri" w:hAnsiTheme="majorHAnsi" w:cs="Times New Roman"/>
          <w:bCs w:val="0"/>
          <w:color w:val="7F7F7F" w:themeColor="text1" w:themeTint="80"/>
          <w:sz w:val="21"/>
          <w:szCs w:val="21"/>
          <w:lang w:val="sr-Cyrl-RS"/>
        </w:rPr>
        <w:t xml:space="preserve">. </w:t>
      </w:r>
    </w:p>
    <w:p w:rsidR="003F2BA0" w:rsidRPr="00171A80" w:rsidRDefault="003F2BA0" w:rsidP="003F2BA0">
      <w:pPr>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i/>
          <w:color w:val="7F7F7F" w:themeColor="text1" w:themeTint="80"/>
          <w:sz w:val="21"/>
          <w:szCs w:val="21"/>
          <w:lang w:val="sr-Cyrl-RS"/>
        </w:rPr>
        <w:t>Царине</w:t>
      </w:r>
      <w:r w:rsidRPr="00171A80">
        <w:rPr>
          <w:rFonts w:asciiTheme="majorHAnsi" w:eastAsia="Calibri" w:hAnsiTheme="majorHAnsi" w:cs="Times New Roman"/>
          <w:bCs w:val="0"/>
          <w:color w:val="7F7F7F" w:themeColor="text1" w:themeTint="80"/>
          <w:sz w:val="21"/>
          <w:szCs w:val="21"/>
          <w:lang w:val="sr-Cyrl-RS"/>
        </w:rPr>
        <w:t xml:space="preserve">. </w:t>
      </w:r>
      <w:r w:rsidR="008829D3" w:rsidRPr="008829D3">
        <w:rPr>
          <w:rFonts w:asciiTheme="majorHAnsi" w:eastAsia="Calibri" w:hAnsiTheme="majorHAnsi" w:cs="Times New Roman"/>
          <w:bCs w:val="0"/>
          <w:color w:val="7F7F7F" w:themeColor="text1" w:themeTint="80"/>
          <w:sz w:val="21"/>
          <w:szCs w:val="21"/>
          <w:lang w:val="sr-Cyrl-RS"/>
        </w:rPr>
        <w:t>Главне детерминанте за пројекцију прихода од царина су кретање увоза и девизног курса. Приходи од царина су се у протеклом периоду смањивали услед примене ССП и осталих споразума о слободној трговини и постепеног смањивања и укидања појединих царинских стопа. С обзиром да је усклађивање царинских стопа приведено крају, ово смањење прихода од царина није значајно као што је то био случај претходних година, тако да се очекује стабилизација учешћа царина у БДП</w:t>
      </w:r>
      <w:r w:rsidRPr="00171A80">
        <w:rPr>
          <w:rFonts w:asciiTheme="majorHAnsi" w:eastAsia="Calibri" w:hAnsiTheme="majorHAnsi" w:cs="Times New Roman"/>
          <w:bCs w:val="0"/>
          <w:color w:val="7F7F7F" w:themeColor="text1" w:themeTint="80"/>
          <w:sz w:val="21"/>
          <w:szCs w:val="21"/>
          <w:lang w:val="sr-Cyrl-RS"/>
        </w:rPr>
        <w:t>.</w:t>
      </w:r>
    </w:p>
    <w:p w:rsidR="003F2BA0" w:rsidRPr="00171A80" w:rsidRDefault="003F2BA0" w:rsidP="003F2BA0">
      <w:pPr>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i/>
          <w:color w:val="7F7F7F" w:themeColor="text1" w:themeTint="80"/>
          <w:sz w:val="21"/>
          <w:szCs w:val="21"/>
          <w:lang w:val="sr-Cyrl-RS"/>
        </w:rPr>
        <w:t>Остали порески приходи</w:t>
      </w:r>
      <w:r w:rsidRPr="00171A80">
        <w:rPr>
          <w:rFonts w:asciiTheme="majorHAnsi" w:eastAsia="Calibri" w:hAnsiTheme="majorHAnsi" w:cs="Times New Roman"/>
          <w:bCs w:val="0"/>
          <w:color w:val="7F7F7F" w:themeColor="text1" w:themeTint="80"/>
          <w:sz w:val="21"/>
          <w:szCs w:val="21"/>
          <w:lang w:val="sr-Cyrl-RS"/>
        </w:rPr>
        <w:t xml:space="preserve">. </w:t>
      </w:r>
      <w:r w:rsidR="008829D3" w:rsidRPr="008829D3">
        <w:rPr>
          <w:rFonts w:asciiTheme="majorHAnsi" w:eastAsia="Calibri" w:hAnsiTheme="majorHAnsi" w:cs="Times New Roman"/>
          <w:bCs w:val="0"/>
          <w:color w:val="7F7F7F" w:themeColor="text1" w:themeTint="80"/>
          <w:sz w:val="21"/>
          <w:szCs w:val="21"/>
          <w:lang w:val="sr-Cyrl-RS"/>
        </w:rPr>
        <w:t>Ови приходи, чији највећи део чини порез на имовину, као и порези на употребу, држање и ношење добара, пројектовани су у складу са кретањем инфлације, будући да је инфлаторна компонента уграђена у значајан део ових пореских облика. Ниво ових прихода је релативно стабилан и реакције на пад економске активности нису у већој мери изражене. То је разлог да у периодима веће кризе и споријег раста осталих пореских прихода, учешће ове категорије у некој мери порасте. У наредном средњорочном периоду учешће осталих пореских прихода се стабилизује. Ови порески приходи значајно су порасли у 2014. години услед измене регулативе, која се тиче пореза на имовину у делу који се односи на порез на имовину правних лица, односно укључивања накнаде за коришћење земљишта у порез на имовину. Треба очекивати да локалне самоуправе, услед губитка других прихода и смањења трансфера из републичког буџета, побољшају наплату пореза на имовину, који је један од најзначајнијих прихода</w:t>
      </w:r>
      <w:r w:rsidRPr="00171A80">
        <w:rPr>
          <w:rFonts w:asciiTheme="majorHAnsi" w:eastAsia="Calibri" w:hAnsiTheme="majorHAnsi" w:cs="Times New Roman"/>
          <w:bCs w:val="0"/>
          <w:color w:val="7F7F7F" w:themeColor="text1" w:themeTint="80"/>
          <w:sz w:val="21"/>
          <w:szCs w:val="21"/>
          <w:lang w:val="sr-Cyrl-RS"/>
        </w:rPr>
        <w:t>.</w:t>
      </w:r>
    </w:p>
    <w:p w:rsidR="003F2BA0" w:rsidRPr="00171A80" w:rsidRDefault="003F2BA0" w:rsidP="003F2BA0">
      <w:pPr>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i/>
          <w:color w:val="7F7F7F" w:themeColor="text1" w:themeTint="80"/>
          <w:sz w:val="21"/>
          <w:szCs w:val="21"/>
          <w:lang w:val="sr-Cyrl-RS"/>
        </w:rPr>
        <w:t>Непорески приходи</w:t>
      </w:r>
      <w:r w:rsidRPr="00171A80">
        <w:rPr>
          <w:rFonts w:asciiTheme="majorHAnsi" w:eastAsia="Calibri" w:hAnsiTheme="majorHAnsi" w:cs="Times New Roman"/>
          <w:bCs w:val="0"/>
          <w:color w:val="7F7F7F" w:themeColor="text1" w:themeTint="80"/>
          <w:sz w:val="21"/>
          <w:szCs w:val="21"/>
          <w:lang w:val="sr-Cyrl-RS"/>
        </w:rPr>
        <w:t xml:space="preserve">. </w:t>
      </w:r>
      <w:r w:rsidR="008829D3" w:rsidRPr="008829D3">
        <w:rPr>
          <w:rFonts w:asciiTheme="majorHAnsi" w:eastAsia="Calibri" w:hAnsiTheme="majorHAnsi" w:cs="Times New Roman"/>
          <w:bCs w:val="0"/>
          <w:color w:val="7F7F7F" w:themeColor="text1" w:themeTint="80"/>
          <w:sz w:val="21"/>
          <w:szCs w:val="21"/>
          <w:lang w:val="sr-Cyrl-RS"/>
        </w:rPr>
        <w:t>Непорески приходи смањују учешће у БДП током средњорочног периода, након скока у 2015. години. Овај скок је резултат очекиване уплате средстава по основу смањења зарада у јавном сектору (јавна предузећа и локалне самоуправе), већих прихода од дивиденди и добити од јавних предузећа, као и увођење накнаде за обавезне резерве нафте. Непореске приходе, углавном чине разне таксе, накнаде и продаја добара и услуга, чије кретање у великој мери зависи од тражње и привредне активности и чији ће номинални раст у наредном периоду, бити спорији од раста БДП</w:t>
      </w:r>
      <w:r w:rsidR="00331EFB">
        <w:rPr>
          <w:rFonts w:asciiTheme="majorHAnsi" w:eastAsia="Calibri" w:hAnsiTheme="majorHAnsi" w:cs="Times New Roman"/>
          <w:bCs w:val="0"/>
          <w:color w:val="7F7F7F" w:themeColor="text1" w:themeTint="80"/>
          <w:sz w:val="21"/>
          <w:szCs w:val="21"/>
          <w:lang w:val="sr-Cyrl-RS"/>
        </w:rPr>
        <w:t>.</w:t>
      </w:r>
      <w:r w:rsidRPr="00171A80">
        <w:rPr>
          <w:rFonts w:asciiTheme="majorHAnsi" w:eastAsia="Calibri" w:hAnsiTheme="majorHAnsi" w:cs="Times New Roman"/>
          <w:bCs w:val="0"/>
          <w:color w:val="7F7F7F" w:themeColor="text1" w:themeTint="80"/>
          <w:sz w:val="21"/>
          <w:szCs w:val="21"/>
          <w:lang w:val="sr-Cyrl-RS"/>
        </w:rPr>
        <w:t xml:space="preserve"> </w:t>
      </w:r>
    </w:p>
    <w:p w:rsidR="003F2BA0" w:rsidRPr="00171A80" w:rsidRDefault="003F2BA0" w:rsidP="003F2BA0">
      <w:pPr>
        <w:rPr>
          <w:rFonts w:asciiTheme="majorHAnsi" w:eastAsia="Calibri" w:hAnsiTheme="majorHAnsi" w:cs="Times New Roman"/>
          <w:bCs w:val="0"/>
          <w:color w:val="7F7F7F" w:themeColor="text1" w:themeTint="80"/>
          <w:sz w:val="21"/>
          <w:szCs w:val="21"/>
          <w:lang w:val="sr-Cyrl-RS"/>
        </w:rPr>
      </w:pPr>
      <w:r w:rsidRPr="00171A80">
        <w:rPr>
          <w:rFonts w:asciiTheme="majorHAnsi" w:eastAsia="Calibri" w:hAnsiTheme="majorHAnsi" w:cs="Times New Roman"/>
          <w:bCs w:val="0"/>
          <w:i/>
          <w:color w:val="7F7F7F" w:themeColor="text1" w:themeTint="80"/>
          <w:sz w:val="21"/>
          <w:szCs w:val="21"/>
          <w:lang w:val="sr-Cyrl-RS"/>
        </w:rPr>
        <w:t>Донације</w:t>
      </w:r>
      <w:r w:rsidRPr="00171A80">
        <w:rPr>
          <w:rFonts w:asciiTheme="majorHAnsi" w:eastAsia="Calibri" w:hAnsiTheme="majorHAnsi" w:cs="Times New Roman"/>
          <w:bCs w:val="0"/>
          <w:color w:val="7F7F7F" w:themeColor="text1" w:themeTint="80"/>
          <w:sz w:val="21"/>
          <w:szCs w:val="21"/>
          <w:lang w:val="sr-Cyrl-RS"/>
        </w:rPr>
        <w:t xml:space="preserve">. </w:t>
      </w:r>
      <w:r w:rsidR="008829D3" w:rsidRPr="008829D3">
        <w:rPr>
          <w:rFonts w:asciiTheme="majorHAnsi" w:eastAsia="Calibri" w:hAnsiTheme="majorHAnsi" w:cs="Times New Roman"/>
          <w:bCs w:val="0"/>
          <w:color w:val="7F7F7F" w:themeColor="text1" w:themeTint="80"/>
          <w:sz w:val="21"/>
          <w:szCs w:val="21"/>
          <w:lang w:val="sr-Cyrl-RS"/>
        </w:rPr>
        <w:t>Процесом приближавања државе чланству у ЕУ повећавају се средства из ИПА фондова која могу да се користе, тако да ова средства чине преовлађујући део прихода од донација</w:t>
      </w:r>
      <w:r w:rsidRPr="00171A80">
        <w:rPr>
          <w:rFonts w:asciiTheme="majorHAnsi" w:eastAsia="Calibri" w:hAnsiTheme="majorHAnsi" w:cs="Times New Roman"/>
          <w:bCs w:val="0"/>
          <w:color w:val="7F7F7F" w:themeColor="text1" w:themeTint="80"/>
          <w:sz w:val="21"/>
          <w:szCs w:val="21"/>
          <w:lang w:val="sr-Cyrl-RS"/>
        </w:rPr>
        <w:t>.</w:t>
      </w:r>
    </w:p>
    <w:p w:rsidR="003F2BA0" w:rsidRPr="002436E0" w:rsidRDefault="003F2BA0" w:rsidP="003F2BA0">
      <w:pPr>
        <w:keepNext/>
        <w:widowControl w:val="0"/>
        <w:ind w:firstLine="0"/>
        <w:rPr>
          <w:rFonts w:asciiTheme="majorHAnsi" w:hAnsiTheme="majorHAnsi"/>
          <w:b/>
          <w:color w:val="7F7F7F" w:themeColor="text1" w:themeTint="80"/>
          <w:sz w:val="21"/>
          <w:szCs w:val="21"/>
          <w:lang w:val="sr-Cyrl-RS"/>
        </w:rPr>
      </w:pPr>
      <w:r w:rsidRPr="002436E0">
        <w:rPr>
          <w:rFonts w:asciiTheme="majorHAnsi" w:hAnsiTheme="majorHAnsi"/>
          <w:b/>
          <w:color w:val="7F7F7F" w:themeColor="text1" w:themeTint="80"/>
          <w:sz w:val="21"/>
          <w:szCs w:val="21"/>
          <w:lang w:val="sr-Cyrl-RS"/>
        </w:rPr>
        <w:lastRenderedPageBreak/>
        <w:t xml:space="preserve">Табела </w:t>
      </w:r>
      <w:r w:rsidR="003F6B80" w:rsidRPr="002436E0">
        <w:rPr>
          <w:rFonts w:asciiTheme="majorHAnsi" w:hAnsiTheme="majorHAnsi"/>
          <w:b/>
          <w:color w:val="7F7F7F" w:themeColor="text1" w:themeTint="80"/>
          <w:sz w:val="21"/>
          <w:szCs w:val="21"/>
          <w:lang w:val="sr-Cyrl-RS"/>
        </w:rPr>
        <w:t>12</w:t>
      </w:r>
      <w:r w:rsidRPr="002436E0">
        <w:rPr>
          <w:rFonts w:asciiTheme="majorHAnsi" w:hAnsiTheme="majorHAnsi"/>
          <w:b/>
          <w:color w:val="7F7F7F" w:themeColor="text1" w:themeTint="80"/>
          <w:sz w:val="21"/>
          <w:szCs w:val="21"/>
          <w:lang w:val="sr-Cyrl-RS"/>
        </w:rPr>
        <w:t xml:space="preserve">. </w:t>
      </w:r>
      <w:r w:rsidR="00475D70" w:rsidRPr="002436E0">
        <w:rPr>
          <w:rFonts w:asciiTheme="majorHAnsi" w:hAnsiTheme="majorHAnsi"/>
          <w:b/>
          <w:color w:val="7F7F7F" w:themeColor="text1" w:themeTint="80"/>
          <w:sz w:val="21"/>
          <w:szCs w:val="21"/>
          <w:lang w:val="sr-Cyrl-RS"/>
        </w:rPr>
        <w:t>Укупни расходи у периоду 2014</w:t>
      </w:r>
      <w:r w:rsidRPr="002436E0">
        <w:rPr>
          <w:rFonts w:asciiTheme="majorHAnsi" w:hAnsiTheme="majorHAnsi"/>
          <w:b/>
          <w:color w:val="7F7F7F" w:themeColor="text1" w:themeTint="80"/>
          <w:sz w:val="21"/>
          <w:szCs w:val="21"/>
          <w:lang w:val="sr-Cyrl-RS"/>
        </w:rPr>
        <w:t xml:space="preserve"> – 2017. године, у % БДП</w:t>
      </w:r>
    </w:p>
    <w:tbl>
      <w:tblPr>
        <w:tblStyle w:val="LightShading-Accent333"/>
        <w:tblW w:w="5000" w:type="pct"/>
        <w:tblLook w:val="0420" w:firstRow="1" w:lastRow="0" w:firstColumn="0" w:lastColumn="0" w:noHBand="0" w:noVBand="1"/>
      </w:tblPr>
      <w:tblGrid>
        <w:gridCol w:w="4765"/>
        <w:gridCol w:w="1446"/>
        <w:gridCol w:w="937"/>
        <w:gridCol w:w="937"/>
        <w:gridCol w:w="941"/>
      </w:tblGrid>
      <w:tr w:rsidR="003F2BA0" w:rsidRPr="00171A80" w:rsidTr="003F2BA0">
        <w:trPr>
          <w:cnfStyle w:val="100000000000" w:firstRow="1" w:lastRow="0" w:firstColumn="0" w:lastColumn="0" w:oddVBand="0" w:evenVBand="0" w:oddHBand="0" w:evenHBand="0" w:firstRowFirstColumn="0" w:firstRowLastColumn="0" w:lastRowFirstColumn="0" w:lastRowLastColumn="0"/>
          <w:trHeight w:val="27"/>
        </w:trPr>
        <w:tc>
          <w:tcPr>
            <w:tcW w:w="2640" w:type="pct"/>
            <w:noWrap/>
          </w:tcPr>
          <w:p w:rsidR="003F2BA0" w:rsidRPr="00171A80" w:rsidRDefault="003F2BA0" w:rsidP="003F2BA0">
            <w:pPr>
              <w:keepNext/>
              <w:widowControl w:val="0"/>
              <w:spacing w:after="0"/>
              <w:ind w:firstLine="0"/>
              <w:rPr>
                <w:rFonts w:asciiTheme="majorHAnsi" w:hAnsiTheme="majorHAnsi"/>
                <w:b w:val="0"/>
                <w:bCs/>
                <w:color w:val="7F7F7F" w:themeColor="text1" w:themeTint="80"/>
                <w:sz w:val="20"/>
                <w:szCs w:val="20"/>
                <w:lang w:val="sr-Cyrl-RS"/>
              </w:rPr>
            </w:pPr>
          </w:p>
        </w:tc>
        <w:tc>
          <w:tcPr>
            <w:tcW w:w="801" w:type="pct"/>
          </w:tcPr>
          <w:p w:rsidR="003F2BA0" w:rsidRPr="00171A80" w:rsidRDefault="003F2BA0" w:rsidP="003F2BA0">
            <w:pPr>
              <w:keepNext/>
              <w:widowControl w:val="0"/>
              <w:spacing w:after="0"/>
              <w:ind w:firstLine="0"/>
              <w:jc w:val="center"/>
              <w:rPr>
                <w:rFonts w:asciiTheme="majorHAnsi" w:hAnsiTheme="majorHAnsi"/>
                <w:bCs/>
                <w:color w:val="7F7F7F" w:themeColor="text1" w:themeTint="80"/>
                <w:sz w:val="20"/>
                <w:szCs w:val="20"/>
                <w:lang w:val="sr-Cyrl-RS"/>
              </w:rPr>
            </w:pPr>
            <w:r w:rsidRPr="00171A80">
              <w:rPr>
                <w:rFonts w:asciiTheme="majorHAnsi" w:hAnsiTheme="majorHAnsi"/>
                <w:bCs/>
                <w:color w:val="7F7F7F" w:themeColor="text1" w:themeTint="80"/>
                <w:sz w:val="20"/>
                <w:szCs w:val="20"/>
                <w:lang w:val="sr-Cyrl-RS"/>
              </w:rPr>
              <w:t>процена</w:t>
            </w:r>
          </w:p>
        </w:tc>
        <w:tc>
          <w:tcPr>
            <w:tcW w:w="1559" w:type="pct"/>
            <w:gridSpan w:val="3"/>
          </w:tcPr>
          <w:p w:rsidR="003F2BA0" w:rsidRPr="00171A80" w:rsidRDefault="003F2BA0" w:rsidP="003F2BA0">
            <w:pPr>
              <w:keepNext/>
              <w:widowControl w:val="0"/>
              <w:spacing w:after="0"/>
              <w:ind w:firstLine="0"/>
              <w:jc w:val="center"/>
              <w:rPr>
                <w:rFonts w:asciiTheme="majorHAnsi" w:hAnsiTheme="majorHAnsi"/>
                <w:bCs/>
                <w:color w:val="7F7F7F" w:themeColor="text1" w:themeTint="80"/>
                <w:sz w:val="20"/>
                <w:szCs w:val="20"/>
                <w:lang w:val="sr-Cyrl-RS"/>
              </w:rPr>
            </w:pPr>
            <w:r w:rsidRPr="00171A80">
              <w:rPr>
                <w:rFonts w:asciiTheme="majorHAnsi" w:hAnsiTheme="majorHAnsi"/>
                <w:bCs/>
                <w:color w:val="7F7F7F" w:themeColor="text1" w:themeTint="80"/>
                <w:sz w:val="20"/>
                <w:szCs w:val="20"/>
                <w:lang w:val="sr-Cyrl-RS"/>
              </w:rPr>
              <w:t>пројекција</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7"/>
        </w:trPr>
        <w:tc>
          <w:tcPr>
            <w:tcW w:w="2640" w:type="pct"/>
            <w:noWrap/>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w:t>
            </w:r>
          </w:p>
        </w:tc>
        <w:tc>
          <w:tcPr>
            <w:tcW w:w="801" w:type="pct"/>
          </w:tcPr>
          <w:p w:rsidR="003F2BA0" w:rsidRPr="00171A80" w:rsidRDefault="003F2BA0" w:rsidP="003F2BA0">
            <w:pPr>
              <w:keepNext/>
              <w:widowControl w:val="0"/>
              <w:spacing w:after="0"/>
              <w:ind w:firstLine="0"/>
              <w:jc w:val="right"/>
              <w:rPr>
                <w:rFonts w:asciiTheme="majorHAnsi" w:hAnsiTheme="majorHAnsi"/>
                <w:b/>
                <w:color w:val="7F7F7F" w:themeColor="text1" w:themeTint="80"/>
                <w:sz w:val="20"/>
                <w:szCs w:val="20"/>
                <w:lang w:val="sr-Cyrl-RS"/>
              </w:rPr>
            </w:pPr>
            <w:r w:rsidRPr="00171A80">
              <w:rPr>
                <w:rFonts w:asciiTheme="majorHAnsi" w:hAnsiTheme="majorHAnsi"/>
                <w:b/>
                <w:color w:val="7F7F7F" w:themeColor="text1" w:themeTint="80"/>
                <w:sz w:val="20"/>
                <w:szCs w:val="20"/>
                <w:lang w:val="sr-Cyrl-RS"/>
              </w:rPr>
              <w:t>2014</w:t>
            </w:r>
          </w:p>
        </w:tc>
        <w:tc>
          <w:tcPr>
            <w:tcW w:w="519" w:type="pct"/>
          </w:tcPr>
          <w:p w:rsidR="003F2BA0" w:rsidRPr="00171A80" w:rsidRDefault="003F2BA0" w:rsidP="003F2BA0">
            <w:pPr>
              <w:keepNext/>
              <w:widowControl w:val="0"/>
              <w:spacing w:after="0"/>
              <w:ind w:firstLine="0"/>
              <w:jc w:val="right"/>
              <w:rPr>
                <w:rFonts w:asciiTheme="majorHAnsi" w:hAnsiTheme="majorHAnsi"/>
                <w:b/>
                <w:color w:val="7F7F7F" w:themeColor="text1" w:themeTint="80"/>
                <w:sz w:val="20"/>
                <w:szCs w:val="20"/>
                <w:lang w:val="sr-Cyrl-RS"/>
              </w:rPr>
            </w:pPr>
            <w:r w:rsidRPr="00171A80">
              <w:rPr>
                <w:rFonts w:asciiTheme="majorHAnsi" w:hAnsiTheme="majorHAnsi"/>
                <w:b/>
                <w:color w:val="7F7F7F" w:themeColor="text1" w:themeTint="80"/>
                <w:sz w:val="20"/>
                <w:szCs w:val="20"/>
                <w:lang w:val="sr-Cyrl-RS"/>
              </w:rPr>
              <w:t>2015</w:t>
            </w:r>
          </w:p>
        </w:tc>
        <w:tc>
          <w:tcPr>
            <w:tcW w:w="519" w:type="pct"/>
          </w:tcPr>
          <w:p w:rsidR="003F2BA0" w:rsidRPr="00171A80" w:rsidRDefault="003F2BA0" w:rsidP="003F2BA0">
            <w:pPr>
              <w:keepNext/>
              <w:widowControl w:val="0"/>
              <w:spacing w:after="0"/>
              <w:ind w:firstLine="0"/>
              <w:jc w:val="right"/>
              <w:rPr>
                <w:rFonts w:asciiTheme="majorHAnsi" w:hAnsiTheme="majorHAnsi"/>
                <w:b/>
                <w:color w:val="7F7F7F" w:themeColor="text1" w:themeTint="80"/>
                <w:sz w:val="20"/>
                <w:szCs w:val="20"/>
                <w:lang w:val="sr-Cyrl-RS"/>
              </w:rPr>
            </w:pPr>
            <w:r w:rsidRPr="00171A80">
              <w:rPr>
                <w:rFonts w:asciiTheme="majorHAnsi" w:hAnsiTheme="majorHAnsi"/>
                <w:b/>
                <w:color w:val="7F7F7F" w:themeColor="text1" w:themeTint="80"/>
                <w:sz w:val="20"/>
                <w:szCs w:val="20"/>
                <w:lang w:val="sr-Cyrl-RS"/>
              </w:rPr>
              <w:t>2016</w:t>
            </w:r>
          </w:p>
        </w:tc>
        <w:tc>
          <w:tcPr>
            <w:tcW w:w="521" w:type="pct"/>
          </w:tcPr>
          <w:p w:rsidR="003F2BA0" w:rsidRPr="00171A80" w:rsidRDefault="003F2BA0" w:rsidP="003F2BA0">
            <w:pPr>
              <w:keepNext/>
              <w:widowControl w:val="0"/>
              <w:spacing w:after="0"/>
              <w:ind w:firstLine="0"/>
              <w:jc w:val="right"/>
              <w:rPr>
                <w:rFonts w:asciiTheme="majorHAnsi" w:hAnsiTheme="majorHAnsi"/>
                <w:b/>
                <w:color w:val="7F7F7F" w:themeColor="text1" w:themeTint="80"/>
                <w:sz w:val="20"/>
                <w:szCs w:val="20"/>
                <w:lang w:val="sr-Cyrl-RS"/>
              </w:rPr>
            </w:pPr>
            <w:r w:rsidRPr="00171A80">
              <w:rPr>
                <w:rFonts w:asciiTheme="majorHAnsi" w:hAnsiTheme="majorHAnsi"/>
                <w:b/>
                <w:color w:val="7F7F7F" w:themeColor="text1" w:themeTint="80"/>
                <w:sz w:val="20"/>
                <w:szCs w:val="20"/>
                <w:lang w:val="sr-Cyrl-RS"/>
              </w:rPr>
              <w:t>2017</w:t>
            </w:r>
          </w:p>
        </w:tc>
      </w:tr>
      <w:tr w:rsidR="003F2BA0" w:rsidRPr="00171A80" w:rsidTr="003F2BA0">
        <w:trPr>
          <w:trHeight w:val="27"/>
        </w:trPr>
        <w:tc>
          <w:tcPr>
            <w:tcW w:w="2640" w:type="pct"/>
          </w:tcPr>
          <w:p w:rsidR="003F2BA0" w:rsidRPr="00171A80" w:rsidRDefault="003F2BA0" w:rsidP="003F2BA0">
            <w:pPr>
              <w:keepNext/>
              <w:widowControl w:val="0"/>
              <w:spacing w:after="0"/>
              <w:ind w:firstLine="0"/>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ЈАВНИ РАСХОДИ</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48,9</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46,1</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43,8</w:t>
            </w:r>
          </w:p>
        </w:tc>
        <w:tc>
          <w:tcPr>
            <w:tcW w:w="52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41,9</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7"/>
        </w:trPr>
        <w:tc>
          <w:tcPr>
            <w:tcW w:w="2640"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xml:space="preserve"> Текући расходи</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44,1</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42,2</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39,9</w:t>
            </w:r>
          </w:p>
        </w:tc>
        <w:tc>
          <w:tcPr>
            <w:tcW w:w="52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38,3</w:t>
            </w:r>
          </w:p>
        </w:tc>
      </w:tr>
      <w:tr w:rsidR="003F2BA0" w:rsidRPr="00171A80" w:rsidTr="003F2BA0">
        <w:trPr>
          <w:trHeight w:val="27"/>
        </w:trPr>
        <w:tc>
          <w:tcPr>
            <w:tcW w:w="2640" w:type="pct"/>
          </w:tcPr>
          <w:p w:rsidR="003F2BA0" w:rsidRPr="00171A80" w:rsidRDefault="003F2BA0" w:rsidP="003F2BA0">
            <w:pPr>
              <w:keepNext/>
              <w:widowControl w:val="0"/>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Расходи за запослене</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11,9</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10,7</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9,7</w:t>
            </w:r>
          </w:p>
        </w:tc>
        <w:tc>
          <w:tcPr>
            <w:tcW w:w="52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8,6</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7"/>
        </w:trPr>
        <w:tc>
          <w:tcPr>
            <w:tcW w:w="2640" w:type="pct"/>
          </w:tcPr>
          <w:p w:rsidR="003F2BA0" w:rsidRPr="00171A80" w:rsidRDefault="003F2BA0" w:rsidP="003F2BA0">
            <w:pPr>
              <w:keepNext/>
              <w:widowControl w:val="0"/>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Куповина робе и услуга</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6,5</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6,4</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6,3</w:t>
            </w:r>
          </w:p>
        </w:tc>
        <w:tc>
          <w:tcPr>
            <w:tcW w:w="52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6,3</w:t>
            </w:r>
          </w:p>
        </w:tc>
      </w:tr>
      <w:tr w:rsidR="003F2BA0" w:rsidRPr="00171A80" w:rsidTr="003F2BA0">
        <w:trPr>
          <w:trHeight w:val="27"/>
        </w:trPr>
        <w:tc>
          <w:tcPr>
            <w:tcW w:w="2640" w:type="pct"/>
          </w:tcPr>
          <w:p w:rsidR="003F2BA0" w:rsidRPr="00171A80" w:rsidRDefault="003F2BA0" w:rsidP="003F2BA0">
            <w:pPr>
              <w:keepNext/>
              <w:widowControl w:val="0"/>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Отплата камата</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3,0</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3,5</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3,9</w:t>
            </w:r>
          </w:p>
        </w:tc>
        <w:tc>
          <w:tcPr>
            <w:tcW w:w="52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7"/>
        </w:trPr>
        <w:tc>
          <w:tcPr>
            <w:tcW w:w="2640" w:type="pct"/>
          </w:tcPr>
          <w:p w:rsidR="003F2BA0" w:rsidRPr="00171A80" w:rsidRDefault="003F2BA0" w:rsidP="003F2BA0">
            <w:pPr>
              <w:keepNext/>
              <w:widowControl w:val="0"/>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Субвенције</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3,0</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2,6</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2,3</w:t>
            </w:r>
          </w:p>
        </w:tc>
        <w:tc>
          <w:tcPr>
            <w:tcW w:w="52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2,4</w:t>
            </w:r>
          </w:p>
        </w:tc>
      </w:tr>
      <w:tr w:rsidR="003F2BA0" w:rsidRPr="00171A80" w:rsidTr="003F2BA0">
        <w:trPr>
          <w:trHeight w:val="27"/>
        </w:trPr>
        <w:tc>
          <w:tcPr>
            <w:tcW w:w="2640" w:type="pct"/>
          </w:tcPr>
          <w:p w:rsidR="003F2BA0" w:rsidRPr="00171A80" w:rsidRDefault="003F2BA0" w:rsidP="003F2BA0">
            <w:pPr>
              <w:keepNext/>
              <w:widowControl w:val="0"/>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Социјална помоћ и трансфери</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18,1</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17,8</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16,7</w:t>
            </w:r>
          </w:p>
        </w:tc>
        <w:tc>
          <w:tcPr>
            <w:tcW w:w="52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15,9</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57"/>
        </w:trPr>
        <w:tc>
          <w:tcPr>
            <w:tcW w:w="2640" w:type="pct"/>
          </w:tcPr>
          <w:p w:rsidR="003F2BA0" w:rsidRPr="00171A80" w:rsidRDefault="003F2BA0" w:rsidP="003F2BA0">
            <w:pPr>
              <w:keepNext/>
              <w:widowControl w:val="0"/>
              <w:spacing w:after="0"/>
              <w:ind w:left="397" w:firstLine="0"/>
              <w:rPr>
                <w:rFonts w:asciiTheme="majorHAnsi" w:hAnsiTheme="majorHAnsi"/>
                <w:i/>
                <w:color w:val="7F7F7F" w:themeColor="text1" w:themeTint="80"/>
                <w:sz w:val="20"/>
                <w:szCs w:val="20"/>
                <w:lang w:val="sr-Cyrl-RS"/>
              </w:rPr>
            </w:pPr>
            <w:r w:rsidRPr="00171A80">
              <w:rPr>
                <w:rFonts w:asciiTheme="majorHAnsi" w:hAnsiTheme="majorHAnsi"/>
                <w:i/>
                <w:color w:val="7F7F7F" w:themeColor="text1" w:themeTint="80"/>
                <w:sz w:val="20"/>
                <w:szCs w:val="20"/>
                <w:lang w:val="sr-Cyrl-RS"/>
              </w:rPr>
              <w:t>од чега пензије</w:t>
            </w:r>
          </w:p>
        </w:tc>
        <w:tc>
          <w:tcPr>
            <w:tcW w:w="801" w:type="pct"/>
            <w:noWrap/>
          </w:tcPr>
          <w:p w:rsidR="003F2BA0" w:rsidRPr="00171A80" w:rsidRDefault="003F2BA0" w:rsidP="003F2BA0">
            <w:pPr>
              <w:keepNext/>
              <w:widowControl w:val="0"/>
              <w:spacing w:after="0"/>
              <w:ind w:firstLine="0"/>
              <w:jc w:val="right"/>
              <w:rPr>
                <w:rFonts w:asciiTheme="majorHAnsi" w:hAnsiTheme="majorHAnsi"/>
                <w:i/>
                <w:color w:val="7F7F7F" w:themeColor="text1" w:themeTint="80"/>
                <w:sz w:val="20"/>
                <w:szCs w:val="20"/>
                <w:lang w:val="sr-Cyrl-RS"/>
              </w:rPr>
            </w:pPr>
            <w:r w:rsidRPr="00171A80">
              <w:rPr>
                <w:rFonts w:asciiTheme="majorHAnsi" w:hAnsiTheme="majorHAnsi"/>
                <w:i/>
                <w:color w:val="7F7F7F" w:themeColor="text1" w:themeTint="80"/>
                <w:sz w:val="20"/>
                <w:szCs w:val="20"/>
                <w:lang w:val="sr-Cyrl-RS"/>
              </w:rPr>
              <w:t>13,1</w:t>
            </w:r>
          </w:p>
        </w:tc>
        <w:tc>
          <w:tcPr>
            <w:tcW w:w="519" w:type="pct"/>
            <w:noWrap/>
          </w:tcPr>
          <w:p w:rsidR="003F2BA0" w:rsidRPr="00171A80" w:rsidRDefault="003F2BA0" w:rsidP="003F2BA0">
            <w:pPr>
              <w:keepNext/>
              <w:widowControl w:val="0"/>
              <w:spacing w:after="0"/>
              <w:ind w:firstLine="0"/>
              <w:jc w:val="right"/>
              <w:rPr>
                <w:rFonts w:asciiTheme="majorHAnsi" w:hAnsiTheme="majorHAnsi"/>
                <w:i/>
                <w:color w:val="7F7F7F" w:themeColor="text1" w:themeTint="80"/>
                <w:sz w:val="20"/>
                <w:szCs w:val="20"/>
                <w:lang w:val="sr-Cyrl-RS"/>
              </w:rPr>
            </w:pPr>
            <w:r w:rsidRPr="00171A80">
              <w:rPr>
                <w:rFonts w:asciiTheme="majorHAnsi" w:hAnsiTheme="majorHAnsi"/>
                <w:i/>
                <w:color w:val="7F7F7F" w:themeColor="text1" w:themeTint="80"/>
                <w:sz w:val="20"/>
                <w:szCs w:val="20"/>
                <w:lang w:val="sr-Cyrl-RS"/>
              </w:rPr>
              <w:t>12,4</w:t>
            </w:r>
          </w:p>
        </w:tc>
        <w:tc>
          <w:tcPr>
            <w:tcW w:w="519" w:type="pct"/>
            <w:noWrap/>
          </w:tcPr>
          <w:p w:rsidR="003F2BA0" w:rsidRPr="00171A80" w:rsidRDefault="003F2BA0" w:rsidP="003F2BA0">
            <w:pPr>
              <w:keepNext/>
              <w:widowControl w:val="0"/>
              <w:spacing w:after="0"/>
              <w:ind w:firstLine="0"/>
              <w:jc w:val="right"/>
              <w:rPr>
                <w:rFonts w:asciiTheme="majorHAnsi" w:hAnsiTheme="majorHAnsi"/>
                <w:i/>
                <w:color w:val="7F7F7F" w:themeColor="text1" w:themeTint="80"/>
                <w:sz w:val="20"/>
                <w:szCs w:val="20"/>
                <w:lang w:val="sr-Cyrl-RS"/>
              </w:rPr>
            </w:pPr>
            <w:r w:rsidRPr="00171A80">
              <w:rPr>
                <w:rFonts w:asciiTheme="majorHAnsi" w:hAnsiTheme="majorHAnsi"/>
                <w:i/>
                <w:color w:val="7F7F7F" w:themeColor="text1" w:themeTint="80"/>
                <w:sz w:val="20"/>
                <w:szCs w:val="20"/>
                <w:lang w:val="sr-Cyrl-RS"/>
              </w:rPr>
              <w:t>11,8</w:t>
            </w:r>
          </w:p>
        </w:tc>
        <w:tc>
          <w:tcPr>
            <w:tcW w:w="521" w:type="pct"/>
            <w:noWrap/>
          </w:tcPr>
          <w:p w:rsidR="003F2BA0" w:rsidRPr="00171A80" w:rsidRDefault="003F2BA0" w:rsidP="003F2BA0">
            <w:pPr>
              <w:keepNext/>
              <w:widowControl w:val="0"/>
              <w:spacing w:after="0"/>
              <w:ind w:firstLine="0"/>
              <w:jc w:val="right"/>
              <w:rPr>
                <w:rFonts w:asciiTheme="majorHAnsi" w:hAnsiTheme="majorHAnsi"/>
                <w:i/>
                <w:color w:val="7F7F7F" w:themeColor="text1" w:themeTint="80"/>
                <w:sz w:val="20"/>
                <w:szCs w:val="20"/>
                <w:lang w:val="sr-Cyrl-RS"/>
              </w:rPr>
            </w:pPr>
            <w:r w:rsidRPr="00171A80">
              <w:rPr>
                <w:rFonts w:asciiTheme="majorHAnsi" w:hAnsiTheme="majorHAnsi"/>
                <w:i/>
                <w:color w:val="7F7F7F" w:themeColor="text1" w:themeTint="80"/>
                <w:sz w:val="20"/>
                <w:szCs w:val="20"/>
                <w:lang w:val="sr-Cyrl-RS"/>
              </w:rPr>
              <w:t>11,2</w:t>
            </w:r>
          </w:p>
        </w:tc>
      </w:tr>
      <w:tr w:rsidR="003F2BA0" w:rsidRPr="00171A80" w:rsidTr="003F2BA0">
        <w:trPr>
          <w:trHeight w:val="27"/>
        </w:trPr>
        <w:tc>
          <w:tcPr>
            <w:tcW w:w="2640" w:type="pct"/>
          </w:tcPr>
          <w:p w:rsidR="003F2BA0" w:rsidRPr="00171A80" w:rsidRDefault="003F2BA0" w:rsidP="003F2BA0">
            <w:pPr>
              <w:keepNext/>
              <w:widowControl w:val="0"/>
              <w:spacing w:after="0"/>
              <w:ind w:left="284"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Остали текући расходи</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1,6</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1,2</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1,1</w:t>
            </w:r>
          </w:p>
        </w:tc>
        <w:tc>
          <w:tcPr>
            <w:tcW w:w="52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1,1</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7"/>
        </w:trPr>
        <w:tc>
          <w:tcPr>
            <w:tcW w:w="2640" w:type="pct"/>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xml:space="preserve"> Капитални расходи</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2,6</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3,1</w:t>
            </w:r>
          </w:p>
        </w:tc>
        <w:tc>
          <w:tcPr>
            <w:tcW w:w="519"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3,1</w:t>
            </w:r>
          </w:p>
        </w:tc>
        <w:tc>
          <w:tcPr>
            <w:tcW w:w="52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3,0</w:t>
            </w:r>
          </w:p>
        </w:tc>
      </w:tr>
      <w:tr w:rsidR="003F2BA0" w:rsidRPr="00171A80" w:rsidTr="003F2BA0">
        <w:trPr>
          <w:trHeight w:val="27"/>
        </w:trPr>
        <w:tc>
          <w:tcPr>
            <w:tcW w:w="2640" w:type="pct"/>
            <w:noWrap/>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xml:space="preserve"> Нето буџетске позајмице</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1,3</w:t>
            </w:r>
          </w:p>
        </w:tc>
        <w:tc>
          <w:tcPr>
            <w:tcW w:w="519" w:type="pct"/>
            <w:noWrap/>
          </w:tcPr>
          <w:p w:rsidR="003F2BA0" w:rsidRPr="00171A80" w:rsidRDefault="009913AF" w:rsidP="003F2BA0">
            <w:pPr>
              <w:keepNext/>
              <w:widowControl w:val="0"/>
              <w:spacing w:after="0"/>
              <w:ind w:firstLine="0"/>
              <w:jc w:val="right"/>
              <w:rPr>
                <w:rFonts w:asciiTheme="majorHAnsi" w:hAnsiTheme="majorHAnsi"/>
                <w:color w:val="7F7F7F" w:themeColor="text1" w:themeTint="80"/>
                <w:sz w:val="20"/>
                <w:szCs w:val="20"/>
                <w:lang w:val="sr-Cyrl-RS"/>
              </w:rPr>
            </w:pPr>
            <w:r>
              <w:rPr>
                <w:rFonts w:asciiTheme="majorHAnsi" w:hAnsiTheme="majorHAnsi"/>
                <w:color w:val="7F7F7F" w:themeColor="text1" w:themeTint="80"/>
                <w:sz w:val="20"/>
                <w:szCs w:val="20"/>
                <w:lang w:val="sr-Cyrl-RS"/>
              </w:rPr>
              <w:t>0,1</w:t>
            </w:r>
          </w:p>
        </w:tc>
        <w:tc>
          <w:tcPr>
            <w:tcW w:w="519" w:type="pct"/>
            <w:noWrap/>
          </w:tcPr>
          <w:p w:rsidR="003F2BA0" w:rsidRPr="00171A80" w:rsidRDefault="009913AF" w:rsidP="003F2BA0">
            <w:pPr>
              <w:keepNext/>
              <w:widowControl w:val="0"/>
              <w:spacing w:after="0"/>
              <w:ind w:firstLine="0"/>
              <w:jc w:val="right"/>
              <w:rPr>
                <w:rFonts w:asciiTheme="majorHAnsi" w:hAnsiTheme="majorHAnsi"/>
                <w:color w:val="7F7F7F" w:themeColor="text1" w:themeTint="80"/>
                <w:sz w:val="20"/>
                <w:szCs w:val="20"/>
                <w:lang w:val="sr-Cyrl-RS"/>
              </w:rPr>
            </w:pPr>
            <w:r>
              <w:rPr>
                <w:rFonts w:asciiTheme="majorHAnsi" w:hAnsiTheme="majorHAnsi"/>
                <w:color w:val="7F7F7F" w:themeColor="text1" w:themeTint="80"/>
                <w:sz w:val="20"/>
                <w:szCs w:val="20"/>
                <w:lang w:val="sr-Cyrl-RS"/>
              </w:rPr>
              <w:t>0,1</w:t>
            </w:r>
          </w:p>
        </w:tc>
        <w:tc>
          <w:tcPr>
            <w:tcW w:w="521" w:type="pct"/>
            <w:noWrap/>
          </w:tcPr>
          <w:p w:rsidR="003F2BA0" w:rsidRPr="00171A80" w:rsidRDefault="009913AF" w:rsidP="003F2BA0">
            <w:pPr>
              <w:keepNext/>
              <w:widowControl w:val="0"/>
              <w:spacing w:after="0"/>
              <w:ind w:firstLine="0"/>
              <w:jc w:val="right"/>
              <w:rPr>
                <w:rFonts w:asciiTheme="majorHAnsi" w:hAnsiTheme="majorHAnsi"/>
                <w:color w:val="7F7F7F" w:themeColor="text1" w:themeTint="80"/>
                <w:sz w:val="20"/>
                <w:szCs w:val="20"/>
                <w:lang w:val="sr-Cyrl-RS"/>
              </w:rPr>
            </w:pPr>
            <w:r>
              <w:rPr>
                <w:rFonts w:asciiTheme="majorHAnsi" w:hAnsiTheme="majorHAnsi"/>
                <w:color w:val="7F7F7F" w:themeColor="text1" w:themeTint="80"/>
                <w:sz w:val="20"/>
                <w:szCs w:val="20"/>
                <w:lang w:val="sr-Cyrl-RS"/>
              </w:rPr>
              <w:t>0,1</w:t>
            </w:r>
          </w:p>
        </w:tc>
      </w:tr>
      <w:tr w:rsidR="003F2BA0" w:rsidRPr="00171A80" w:rsidTr="003F2BA0">
        <w:trPr>
          <w:cnfStyle w:val="000000100000" w:firstRow="0" w:lastRow="0" w:firstColumn="0" w:lastColumn="0" w:oddVBand="0" w:evenVBand="0" w:oddHBand="1" w:evenHBand="0" w:firstRowFirstColumn="0" w:firstRowLastColumn="0" w:lastRowFirstColumn="0" w:lastRowLastColumn="0"/>
          <w:trHeight w:val="27"/>
        </w:trPr>
        <w:tc>
          <w:tcPr>
            <w:tcW w:w="2640" w:type="pct"/>
            <w:noWrap/>
          </w:tcPr>
          <w:p w:rsidR="003F2BA0" w:rsidRPr="00171A80" w:rsidRDefault="003F2BA0" w:rsidP="003F2BA0">
            <w:pPr>
              <w:keepNext/>
              <w:widowControl w:val="0"/>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xml:space="preserve"> Активиране гаранције</w:t>
            </w:r>
          </w:p>
        </w:tc>
        <w:tc>
          <w:tcPr>
            <w:tcW w:w="801" w:type="pct"/>
            <w:noWrap/>
          </w:tcPr>
          <w:p w:rsidR="003F2BA0" w:rsidRPr="00171A80" w:rsidRDefault="003F2BA0" w:rsidP="003F2BA0">
            <w:pPr>
              <w:keepNext/>
              <w:widowControl w:val="0"/>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0,8</w:t>
            </w:r>
          </w:p>
        </w:tc>
        <w:tc>
          <w:tcPr>
            <w:tcW w:w="519" w:type="pct"/>
            <w:noWrap/>
          </w:tcPr>
          <w:p w:rsidR="003F2BA0" w:rsidRPr="00171A80" w:rsidRDefault="009913AF" w:rsidP="003F2BA0">
            <w:pPr>
              <w:keepNext/>
              <w:widowControl w:val="0"/>
              <w:spacing w:after="0"/>
              <w:ind w:firstLine="0"/>
              <w:jc w:val="right"/>
              <w:rPr>
                <w:rFonts w:asciiTheme="majorHAnsi" w:hAnsiTheme="majorHAnsi"/>
                <w:color w:val="7F7F7F" w:themeColor="text1" w:themeTint="80"/>
                <w:sz w:val="20"/>
                <w:szCs w:val="20"/>
                <w:lang w:val="sr-Cyrl-RS"/>
              </w:rPr>
            </w:pPr>
            <w:r>
              <w:rPr>
                <w:rFonts w:asciiTheme="majorHAnsi" w:hAnsiTheme="majorHAnsi"/>
                <w:color w:val="7F7F7F" w:themeColor="text1" w:themeTint="80"/>
                <w:sz w:val="20"/>
                <w:szCs w:val="20"/>
                <w:lang w:val="sr-Cyrl-RS"/>
              </w:rPr>
              <w:t>0,7</w:t>
            </w:r>
          </w:p>
        </w:tc>
        <w:tc>
          <w:tcPr>
            <w:tcW w:w="519" w:type="pct"/>
            <w:noWrap/>
          </w:tcPr>
          <w:p w:rsidR="003F2BA0" w:rsidRPr="00171A80" w:rsidRDefault="009913AF" w:rsidP="003F2BA0">
            <w:pPr>
              <w:keepNext/>
              <w:widowControl w:val="0"/>
              <w:spacing w:after="0"/>
              <w:ind w:firstLine="0"/>
              <w:jc w:val="right"/>
              <w:rPr>
                <w:rFonts w:asciiTheme="majorHAnsi" w:hAnsiTheme="majorHAnsi"/>
                <w:color w:val="7F7F7F" w:themeColor="text1" w:themeTint="80"/>
                <w:sz w:val="20"/>
                <w:szCs w:val="20"/>
                <w:lang w:val="sr-Cyrl-RS"/>
              </w:rPr>
            </w:pPr>
            <w:r>
              <w:rPr>
                <w:rFonts w:asciiTheme="majorHAnsi" w:hAnsiTheme="majorHAnsi"/>
                <w:color w:val="7F7F7F" w:themeColor="text1" w:themeTint="80"/>
                <w:sz w:val="20"/>
                <w:szCs w:val="20"/>
                <w:lang w:val="sr-Cyrl-RS"/>
              </w:rPr>
              <w:t>0,7</w:t>
            </w:r>
          </w:p>
        </w:tc>
        <w:tc>
          <w:tcPr>
            <w:tcW w:w="521" w:type="pct"/>
            <w:noWrap/>
          </w:tcPr>
          <w:p w:rsidR="003F2BA0" w:rsidRPr="00171A80" w:rsidRDefault="009913AF" w:rsidP="003F2BA0">
            <w:pPr>
              <w:keepNext/>
              <w:widowControl w:val="0"/>
              <w:spacing w:after="0"/>
              <w:ind w:firstLine="0"/>
              <w:jc w:val="right"/>
              <w:rPr>
                <w:rFonts w:asciiTheme="majorHAnsi" w:hAnsiTheme="majorHAnsi"/>
                <w:color w:val="7F7F7F" w:themeColor="text1" w:themeTint="80"/>
                <w:sz w:val="20"/>
                <w:szCs w:val="20"/>
                <w:lang w:val="sr-Cyrl-RS"/>
              </w:rPr>
            </w:pPr>
            <w:r>
              <w:rPr>
                <w:rFonts w:asciiTheme="majorHAnsi" w:hAnsiTheme="majorHAnsi"/>
                <w:color w:val="7F7F7F" w:themeColor="text1" w:themeTint="80"/>
                <w:sz w:val="20"/>
                <w:szCs w:val="20"/>
                <w:lang w:val="sr-Cyrl-RS"/>
              </w:rPr>
              <w:t>0,5</w:t>
            </w:r>
          </w:p>
        </w:tc>
      </w:tr>
    </w:tbl>
    <w:p w:rsidR="003F2BA0" w:rsidRPr="00171A80" w:rsidRDefault="003F2BA0" w:rsidP="003F2BA0">
      <w:pPr>
        <w:ind w:firstLine="0"/>
        <w:rPr>
          <w:rFonts w:asciiTheme="majorHAnsi" w:eastAsia="Calibri" w:hAnsiTheme="majorHAnsi" w:cs="Times New Roman"/>
          <w:bCs w:val="0"/>
          <w:color w:val="7F7F7F" w:themeColor="text1" w:themeTint="80"/>
          <w:sz w:val="18"/>
          <w:szCs w:val="18"/>
          <w:lang w:val="sr-Cyrl-RS"/>
        </w:rPr>
      </w:pPr>
      <w:r w:rsidRPr="00E97776">
        <w:rPr>
          <w:rFonts w:asciiTheme="majorHAnsi" w:eastAsia="Calibri" w:hAnsiTheme="majorHAnsi" w:cs="Times New Roman"/>
          <w:b/>
          <w:bCs w:val="0"/>
          <w:color w:val="7F7F7F" w:themeColor="text1" w:themeTint="80"/>
          <w:sz w:val="18"/>
          <w:szCs w:val="18"/>
          <w:lang w:val="sr-Cyrl-RS"/>
        </w:rPr>
        <w:t>Извор:</w:t>
      </w:r>
      <w:r w:rsidRPr="00171A80">
        <w:rPr>
          <w:rFonts w:asciiTheme="majorHAnsi" w:eastAsia="Calibri" w:hAnsiTheme="majorHAnsi" w:cs="Times New Roman"/>
          <w:bCs w:val="0"/>
          <w:color w:val="7F7F7F" w:themeColor="text1" w:themeTint="80"/>
          <w:sz w:val="18"/>
          <w:szCs w:val="18"/>
          <w:lang w:val="sr-Cyrl-RS"/>
        </w:rPr>
        <w:t xml:space="preserve"> МФИН</w:t>
      </w:r>
    </w:p>
    <w:p w:rsidR="003F2BA0" w:rsidRPr="00171A80" w:rsidRDefault="00DC77E8" w:rsidP="003F2BA0">
      <w:pPr>
        <w:rPr>
          <w:rFonts w:asciiTheme="majorHAnsi" w:eastAsia="Calibri" w:hAnsiTheme="majorHAnsi" w:cs="Times New Roman"/>
          <w:bCs w:val="0"/>
          <w:color w:val="7F7F7F" w:themeColor="text1" w:themeTint="80"/>
          <w:sz w:val="21"/>
          <w:szCs w:val="22"/>
          <w:lang w:val="sr-Cyrl-RS"/>
        </w:rPr>
      </w:pPr>
      <w:r w:rsidRPr="00DC77E8">
        <w:rPr>
          <w:rFonts w:asciiTheme="majorHAnsi" w:eastAsia="Calibri" w:hAnsiTheme="majorHAnsi" w:cs="Times New Roman"/>
          <w:bCs w:val="0"/>
          <w:color w:val="7F7F7F" w:themeColor="text1" w:themeTint="80"/>
          <w:sz w:val="21"/>
          <w:szCs w:val="22"/>
          <w:lang w:val="sr-Cyrl-RS"/>
        </w:rPr>
        <w:t>Фискално прилагођавање на страни расхода сектора државе у посматраном периоду износи 7% БДП. Највећи део прилагођавања односи се на расходе за запослене и пензије с обзиром да ове две ставке чине више од 50% укупних расхода. Осим тога, смањењу расхода требало би да допринесу завршетак процеса реструктурирања друштвених предузећа, решавање питања неефикасних јавних предузећа и стабилизација финансијског сектора. На расходној страни приоритет у наредном периоду представљају инфраструктурне инвестиције, тако да би се у случају стварања додатног фискалног простора расположива средства усмерила у том правцу</w:t>
      </w:r>
      <w:r w:rsidR="003F2BA0" w:rsidRPr="00171A80">
        <w:rPr>
          <w:rFonts w:asciiTheme="majorHAnsi" w:eastAsia="Calibri" w:hAnsiTheme="majorHAnsi" w:cs="Times New Roman"/>
          <w:bCs w:val="0"/>
          <w:color w:val="7F7F7F" w:themeColor="text1" w:themeTint="80"/>
          <w:sz w:val="21"/>
          <w:szCs w:val="22"/>
          <w:lang w:val="sr-Cyrl-RS"/>
        </w:rPr>
        <w:t>.</w:t>
      </w:r>
    </w:p>
    <w:p w:rsidR="003F2BA0" w:rsidRPr="00171A80" w:rsidRDefault="003F2BA0" w:rsidP="003F2BA0">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i/>
          <w:color w:val="7F7F7F" w:themeColor="text1" w:themeTint="80"/>
          <w:sz w:val="21"/>
          <w:szCs w:val="22"/>
          <w:lang w:val="sr-Cyrl-RS"/>
        </w:rPr>
        <w:t>Расходи за запослене.</w:t>
      </w:r>
      <w:r w:rsidRPr="00171A80">
        <w:rPr>
          <w:rFonts w:asciiTheme="majorHAnsi" w:eastAsia="Calibri" w:hAnsiTheme="majorHAnsi" w:cs="Times New Roman"/>
          <w:bCs w:val="0"/>
          <w:color w:val="7F7F7F" w:themeColor="text1" w:themeTint="80"/>
          <w:sz w:val="21"/>
          <w:szCs w:val="22"/>
          <w:lang w:val="sr-Cyrl-RS"/>
        </w:rPr>
        <w:t xml:space="preserve"> </w:t>
      </w:r>
      <w:r w:rsidR="00DC77E8" w:rsidRPr="00DC77E8">
        <w:rPr>
          <w:rFonts w:asciiTheme="majorHAnsi" w:eastAsia="Calibri" w:hAnsiTheme="majorHAnsi" w:cs="Times New Roman"/>
          <w:bCs w:val="0"/>
          <w:color w:val="7F7F7F" w:themeColor="text1" w:themeTint="80"/>
          <w:sz w:val="21"/>
          <w:szCs w:val="22"/>
          <w:lang w:val="sr-Cyrl-RS"/>
        </w:rPr>
        <w:t>Смањење фонда зарада ће се одвијати по два основа. Са једне стране, свим запосленима у јавном сектору који примају преко 25.000 динара ће плате бити смањене 10%, а са друге стране у плану је рационализација броја запослених. Осим тога, у складу са новим фискалним правилом за индексацију, није предвиђен раст ове категорије. Током 2015. године предвиђена је свеобухватна реформа система зарада</w:t>
      </w:r>
      <w:r w:rsidRPr="00171A80">
        <w:rPr>
          <w:rFonts w:asciiTheme="majorHAnsi" w:eastAsia="Calibri" w:hAnsiTheme="majorHAnsi" w:cs="Times New Roman"/>
          <w:bCs w:val="0"/>
          <w:color w:val="7F7F7F" w:themeColor="text1" w:themeTint="80"/>
          <w:sz w:val="21"/>
          <w:szCs w:val="22"/>
          <w:lang w:val="sr-Cyrl-RS"/>
        </w:rPr>
        <w:t>.</w:t>
      </w:r>
    </w:p>
    <w:p w:rsidR="003F2BA0" w:rsidRPr="00171A80" w:rsidRDefault="003F2BA0" w:rsidP="003F2BA0">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i/>
          <w:color w:val="7F7F7F" w:themeColor="text1" w:themeTint="80"/>
          <w:sz w:val="21"/>
          <w:szCs w:val="22"/>
          <w:lang w:val="sr-Cyrl-RS"/>
        </w:rPr>
        <w:t>Куповина робе и услуга.</w:t>
      </w:r>
      <w:r w:rsidRPr="00171A80">
        <w:rPr>
          <w:rFonts w:asciiTheme="majorHAnsi" w:eastAsia="Calibri" w:hAnsiTheme="majorHAnsi" w:cs="Times New Roman"/>
          <w:bCs w:val="0"/>
          <w:color w:val="7F7F7F" w:themeColor="text1" w:themeTint="80"/>
          <w:sz w:val="21"/>
          <w:szCs w:val="22"/>
          <w:lang w:val="sr-Cyrl-RS"/>
        </w:rPr>
        <w:t xml:space="preserve"> </w:t>
      </w:r>
      <w:r w:rsidR="00DC77E8" w:rsidRPr="00DC77E8">
        <w:rPr>
          <w:rFonts w:asciiTheme="majorHAnsi" w:eastAsia="Calibri" w:hAnsiTheme="majorHAnsi" w:cs="Times New Roman"/>
          <w:bCs w:val="0"/>
          <w:color w:val="7F7F7F" w:themeColor="text1" w:themeTint="80"/>
          <w:sz w:val="21"/>
          <w:szCs w:val="22"/>
          <w:lang w:val="sr-Cyrl-RS"/>
        </w:rPr>
        <w:t>За ову категорију расхода предвиђено је релативно стабилно учешће у БДП након 2015. године. Овоме ће, између осталог, допринети измене регулативе у домену јавних набавки које предвиђају исте услове за домаће и стране добављаче, као и реформа финансирања локалне самоуправе</w:t>
      </w:r>
      <w:r w:rsidRPr="00171A80">
        <w:rPr>
          <w:rFonts w:asciiTheme="majorHAnsi" w:eastAsia="Calibri" w:hAnsiTheme="majorHAnsi" w:cs="Times New Roman"/>
          <w:bCs w:val="0"/>
          <w:color w:val="7F7F7F" w:themeColor="text1" w:themeTint="80"/>
          <w:sz w:val="21"/>
          <w:szCs w:val="22"/>
          <w:lang w:val="sr-Cyrl-RS"/>
        </w:rPr>
        <w:t>.</w:t>
      </w:r>
    </w:p>
    <w:p w:rsidR="003F2BA0" w:rsidRPr="00171A80" w:rsidRDefault="003F2BA0" w:rsidP="003F2BA0">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i/>
          <w:color w:val="7F7F7F" w:themeColor="text1" w:themeTint="80"/>
          <w:sz w:val="21"/>
          <w:szCs w:val="22"/>
          <w:lang w:val="sr-Cyrl-RS"/>
        </w:rPr>
        <w:t>Отплата камата.</w:t>
      </w:r>
      <w:r w:rsidRPr="00171A80">
        <w:rPr>
          <w:rFonts w:asciiTheme="majorHAnsi" w:eastAsia="Calibri" w:hAnsiTheme="majorHAnsi" w:cs="Times New Roman"/>
          <w:bCs w:val="0"/>
          <w:color w:val="7F7F7F" w:themeColor="text1" w:themeTint="80"/>
          <w:sz w:val="21"/>
          <w:szCs w:val="22"/>
          <w:lang w:val="sr-Cyrl-RS"/>
        </w:rPr>
        <w:t xml:space="preserve"> </w:t>
      </w:r>
      <w:r w:rsidR="00DC77E8" w:rsidRPr="00DC77E8">
        <w:rPr>
          <w:rFonts w:asciiTheme="majorHAnsi" w:eastAsia="Calibri" w:hAnsiTheme="majorHAnsi" w:cs="Times New Roman"/>
          <w:bCs w:val="0"/>
          <w:color w:val="7F7F7F" w:themeColor="text1" w:themeTint="80"/>
          <w:sz w:val="21"/>
          <w:szCs w:val="22"/>
          <w:lang w:val="sr-Cyrl-RS"/>
        </w:rPr>
        <w:t>Изузетно висок ниво јавног дуга и високи фискални дефицити довели су до тога да камате постану једна од најзначајнијих расходних ставки. Трошкови отплате камата налазе се на путу снажног раста и до краја 2017. године достићи ће 4% БДП. Мере фискалне консолидације ће успорити овај раст у последње две године посматраног периода</w:t>
      </w:r>
      <w:r w:rsidRPr="00171A80">
        <w:rPr>
          <w:rFonts w:asciiTheme="majorHAnsi" w:eastAsia="Calibri" w:hAnsiTheme="majorHAnsi" w:cs="Times New Roman"/>
          <w:bCs w:val="0"/>
          <w:color w:val="7F7F7F" w:themeColor="text1" w:themeTint="80"/>
          <w:sz w:val="21"/>
          <w:szCs w:val="22"/>
          <w:lang w:val="sr-Cyrl-RS"/>
        </w:rPr>
        <w:t xml:space="preserve">. </w:t>
      </w:r>
    </w:p>
    <w:p w:rsidR="003F2BA0" w:rsidRPr="00171A80" w:rsidRDefault="003F2BA0" w:rsidP="003F2BA0">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i/>
          <w:color w:val="7F7F7F" w:themeColor="text1" w:themeTint="80"/>
          <w:sz w:val="21"/>
          <w:szCs w:val="22"/>
          <w:lang w:val="sr-Cyrl-RS"/>
        </w:rPr>
        <w:t>Социјална помоћ и трансфери становништву.</w:t>
      </w:r>
      <w:r w:rsidRPr="00171A80">
        <w:rPr>
          <w:rFonts w:asciiTheme="majorHAnsi" w:eastAsia="Calibri" w:hAnsiTheme="majorHAnsi" w:cs="Times New Roman"/>
          <w:bCs w:val="0"/>
          <w:color w:val="7F7F7F" w:themeColor="text1" w:themeTint="80"/>
          <w:sz w:val="21"/>
          <w:szCs w:val="22"/>
          <w:lang w:val="sr-Cyrl-RS"/>
        </w:rPr>
        <w:t xml:space="preserve"> </w:t>
      </w:r>
      <w:r w:rsidR="00DC77E8" w:rsidRPr="00DC77E8">
        <w:rPr>
          <w:rFonts w:asciiTheme="majorHAnsi" w:eastAsia="Calibri" w:hAnsiTheme="majorHAnsi" w:cs="Times New Roman"/>
          <w:bCs w:val="0"/>
          <w:color w:val="7F7F7F" w:themeColor="text1" w:themeTint="80"/>
          <w:sz w:val="21"/>
          <w:szCs w:val="22"/>
          <w:lang w:val="sr-Cyrl-RS"/>
        </w:rPr>
        <w:t>Највећа категорија у оквиру трансфера становништву су пензије. Смањење износа пензија и реформа пензионог система допринеће значајном смањењу учешћа расхода за пензије у БДП. Њихово учешће у БДП требало би да падне са 13,1% у 2014. години на 11,2% у 2017. години. Осим номиналног смањења пензија оваквој путањи ће допринети и изостанак индексације у складу са новим правилом, као и измене пензионог система које су усвојене током 2014. године. Остали облици социјалних давања и трансфера становништву у периоду од 2014. до 2016. године усклађиваће се применом прописане индексације, текућих и планираних измена политика у овој области и пројектованог броја корисника. Осим тога, очекује се повећање потребних средстава за одређене видове социјалне помоћи с обзиром на оштре мере фискалне консолидације у наредном периоду. Ово подразумева повећана средства за отпремнине и накнаде за незапосленост. Учешће расхода за социјална давања опада са 18,1% БДП, колико је износило у 2014. години на 15,9% у 2017. години. Значајна измена у социјалној политици је плаћање трудничког боловања у износу од 100% зараде, почевши од 2014. године</w:t>
      </w:r>
      <w:r w:rsidRPr="00171A80">
        <w:rPr>
          <w:rFonts w:asciiTheme="majorHAnsi" w:eastAsia="Calibri" w:hAnsiTheme="majorHAnsi" w:cs="Times New Roman"/>
          <w:bCs w:val="0"/>
          <w:color w:val="7F7F7F" w:themeColor="text1" w:themeTint="80"/>
          <w:sz w:val="21"/>
          <w:szCs w:val="22"/>
          <w:lang w:val="sr-Cyrl-RS"/>
        </w:rPr>
        <w:t>.</w:t>
      </w:r>
    </w:p>
    <w:p w:rsidR="003F2BA0" w:rsidRPr="00171A80" w:rsidRDefault="003F2BA0" w:rsidP="003F2BA0">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i/>
          <w:color w:val="7F7F7F" w:themeColor="text1" w:themeTint="80"/>
          <w:sz w:val="21"/>
          <w:szCs w:val="22"/>
          <w:lang w:val="sr-Cyrl-RS"/>
        </w:rPr>
        <w:lastRenderedPageBreak/>
        <w:t>Субвенције</w:t>
      </w:r>
      <w:r w:rsidRPr="00171A80">
        <w:rPr>
          <w:rFonts w:asciiTheme="majorHAnsi" w:eastAsia="Calibri" w:hAnsiTheme="majorHAnsi" w:cs="Times New Roman"/>
          <w:bCs w:val="0"/>
          <w:color w:val="7F7F7F" w:themeColor="text1" w:themeTint="80"/>
          <w:sz w:val="21"/>
          <w:szCs w:val="22"/>
          <w:lang w:val="sr-Cyrl-RS"/>
        </w:rPr>
        <w:t xml:space="preserve">. </w:t>
      </w:r>
      <w:r w:rsidR="00DC77E8" w:rsidRPr="00DC77E8">
        <w:rPr>
          <w:rFonts w:asciiTheme="majorHAnsi" w:eastAsia="Calibri" w:hAnsiTheme="majorHAnsi" w:cs="Times New Roman"/>
          <w:bCs w:val="0"/>
          <w:color w:val="7F7F7F" w:themeColor="text1" w:themeTint="80"/>
          <w:sz w:val="21"/>
          <w:szCs w:val="22"/>
          <w:lang w:val="sr-Cyrl-RS"/>
        </w:rPr>
        <w:t>Фискално прилагођавање у посматраном периоду добрим делом ће се спровести смањењем средстава за субвенције. Најзначајнија мера у овом смислу је укидање субвенционисања земљишта површине веће од 20 хектара, као и државног земљишта које је издато у закуп. Предвиђено је и смањење субвенција ,,Железнице Србије” а.д. и јавним сервисима, по основу смањења оперативних трошкова. Укидање субвенционисања јавних сервиса предвиђено је за 2016. годину</w:t>
      </w:r>
      <w:r w:rsidRPr="00171A80">
        <w:rPr>
          <w:rFonts w:asciiTheme="majorHAnsi" w:eastAsia="Calibri" w:hAnsiTheme="majorHAnsi" w:cs="Times New Roman"/>
          <w:bCs w:val="0"/>
          <w:color w:val="7F7F7F" w:themeColor="text1" w:themeTint="80"/>
          <w:sz w:val="21"/>
          <w:szCs w:val="22"/>
          <w:lang w:val="sr-Cyrl-RS"/>
        </w:rPr>
        <w:t>.</w:t>
      </w:r>
    </w:p>
    <w:p w:rsidR="003F2BA0" w:rsidRPr="00171A80" w:rsidRDefault="003F2BA0" w:rsidP="003F2BA0">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i/>
          <w:color w:val="7F7F7F" w:themeColor="text1" w:themeTint="80"/>
          <w:sz w:val="21"/>
          <w:szCs w:val="22"/>
          <w:lang w:val="sr-Cyrl-RS"/>
        </w:rPr>
        <w:t>Остали текући расходи</w:t>
      </w:r>
      <w:r w:rsidRPr="00171A80">
        <w:rPr>
          <w:rFonts w:asciiTheme="majorHAnsi" w:eastAsia="Calibri" w:hAnsiTheme="majorHAnsi" w:cs="Times New Roman"/>
          <w:bCs w:val="0"/>
          <w:color w:val="7F7F7F" w:themeColor="text1" w:themeTint="80"/>
          <w:sz w:val="21"/>
          <w:szCs w:val="22"/>
          <w:lang w:val="sr-Cyrl-RS"/>
        </w:rPr>
        <w:t xml:space="preserve">. </w:t>
      </w:r>
      <w:r w:rsidR="00DC77E8" w:rsidRPr="00DC77E8">
        <w:rPr>
          <w:rFonts w:asciiTheme="majorHAnsi" w:eastAsia="Calibri" w:hAnsiTheme="majorHAnsi" w:cs="Times New Roman"/>
          <w:bCs w:val="0"/>
          <w:color w:val="7F7F7F" w:themeColor="text1" w:themeTint="80"/>
          <w:sz w:val="21"/>
          <w:szCs w:val="22"/>
          <w:lang w:val="sr-Cyrl-RS"/>
        </w:rPr>
        <w:t>Ову категорију представљају различити издаци, као што су дотације невладиним организацијама, политичким партијама, верским и спортским организацијама, казне, накнада штете итд. У протеклом периоду ниво ове категорије је био око 1% БДП, али је у 2014. години учешће ових расхода у БДП порасло на 1,6%. Главни разлог је накнада штете узроковане катастрофалним поплавама. Осим тога на раст ове ставке у 2014. години утицали су издаци за спровођење избора</w:t>
      </w:r>
      <w:r w:rsidRPr="00171A80">
        <w:rPr>
          <w:rFonts w:asciiTheme="majorHAnsi" w:eastAsia="Calibri" w:hAnsiTheme="majorHAnsi" w:cs="Times New Roman"/>
          <w:bCs w:val="0"/>
          <w:color w:val="7F7F7F" w:themeColor="text1" w:themeTint="80"/>
          <w:sz w:val="21"/>
          <w:szCs w:val="22"/>
          <w:lang w:val="sr-Cyrl-RS"/>
        </w:rPr>
        <w:t>.</w:t>
      </w:r>
    </w:p>
    <w:p w:rsidR="003F2BA0" w:rsidRPr="00171A80" w:rsidRDefault="003F2BA0" w:rsidP="003F2BA0">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i/>
          <w:color w:val="7F7F7F" w:themeColor="text1" w:themeTint="80"/>
          <w:sz w:val="21"/>
          <w:szCs w:val="22"/>
          <w:lang w:val="sr-Cyrl-RS"/>
        </w:rPr>
        <w:t>Капитални расходи.</w:t>
      </w:r>
      <w:r w:rsidRPr="00171A80">
        <w:rPr>
          <w:rFonts w:asciiTheme="majorHAnsi" w:eastAsia="Calibri" w:hAnsiTheme="majorHAnsi" w:cs="Times New Roman"/>
          <w:bCs w:val="0"/>
          <w:color w:val="7F7F7F" w:themeColor="text1" w:themeTint="80"/>
          <w:sz w:val="21"/>
          <w:szCs w:val="22"/>
          <w:lang w:val="sr-Cyrl-RS"/>
        </w:rPr>
        <w:t xml:space="preserve"> </w:t>
      </w:r>
      <w:r w:rsidR="00DC77E8" w:rsidRPr="00DC77E8">
        <w:rPr>
          <w:rFonts w:asciiTheme="majorHAnsi" w:eastAsia="Calibri" w:hAnsiTheme="majorHAnsi" w:cs="Times New Roman"/>
          <w:bCs w:val="0"/>
          <w:color w:val="7F7F7F" w:themeColor="text1" w:themeTint="80"/>
          <w:sz w:val="21"/>
          <w:szCs w:val="22"/>
          <w:lang w:val="sr-Cyrl-RS"/>
        </w:rPr>
        <w:t>Приоритетну област на расходној страни представљају капиталне инвестиције. Смањењем текуће потрошње сектора државе ствара се простор за одржавање нивоа јавних инвестиција на нивоу од око 3% БДП у наредном средњорочном периоду. Имајући у виду ограничена средства, посебан значај у планирању инвестиција на средњи рок имаће инвестиције од националног значаја (Коридори X и XI). За значајније повећање учешћа капиталних расхода, у условима фискалног прилагођавања, неопходан је снажнији и динамичнији привредни раст</w:t>
      </w:r>
      <w:r w:rsidRPr="00171A80">
        <w:rPr>
          <w:rFonts w:asciiTheme="majorHAnsi" w:eastAsia="Calibri" w:hAnsiTheme="majorHAnsi" w:cs="Times New Roman"/>
          <w:bCs w:val="0"/>
          <w:color w:val="7F7F7F" w:themeColor="text1" w:themeTint="80"/>
          <w:sz w:val="21"/>
          <w:szCs w:val="22"/>
          <w:lang w:val="sr-Cyrl-RS"/>
        </w:rPr>
        <w:t>.</w:t>
      </w:r>
    </w:p>
    <w:p w:rsidR="009D35FC" w:rsidRPr="00171A80" w:rsidRDefault="003F2BA0" w:rsidP="009D35FC">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i/>
          <w:color w:val="7F7F7F" w:themeColor="text1" w:themeTint="80"/>
          <w:sz w:val="21"/>
          <w:szCs w:val="22"/>
          <w:lang w:val="sr-Cyrl-RS"/>
        </w:rPr>
        <w:t xml:space="preserve">Нето буџетске позајмице. </w:t>
      </w:r>
      <w:r w:rsidR="00DC77E8" w:rsidRPr="00DC77E8">
        <w:rPr>
          <w:rFonts w:asciiTheme="majorHAnsi" w:eastAsia="Calibri" w:hAnsiTheme="majorHAnsi" w:cs="Times New Roman"/>
          <w:bCs w:val="0"/>
          <w:color w:val="7F7F7F" w:themeColor="text1" w:themeTint="80"/>
          <w:sz w:val="21"/>
          <w:szCs w:val="22"/>
          <w:lang w:val="sr-Cyrl-RS"/>
        </w:rPr>
        <w:t>Буџетске позајмице представљају средства која се дају за обезбеђење ликвидности и докапитализацију државних предузећа и банака. Ови расходи су посебно дошли до изражаја у периоду од 2012. године, када се неколико државних банака нашло у проблему због лоше кредитне политике. Овоме треба додати и преузимање дуга авио компаније ЈАТ и обезбеђење ликвидности ЈП „Србијагаса”. С обзиром да се не очекују нови проблеми у банкарском сектору и да је један од приоритета у наредном периоду реформа јавних предузећа, очекује се стабилизац</w:t>
      </w:r>
      <w:r w:rsidR="009913AF">
        <w:rPr>
          <w:rFonts w:asciiTheme="majorHAnsi" w:eastAsia="Calibri" w:hAnsiTheme="majorHAnsi" w:cs="Times New Roman"/>
          <w:bCs w:val="0"/>
          <w:color w:val="7F7F7F" w:themeColor="text1" w:themeTint="80"/>
          <w:sz w:val="21"/>
          <w:szCs w:val="22"/>
          <w:lang w:val="sr-Cyrl-RS"/>
        </w:rPr>
        <w:t>ија ових расхода на нивоу од 0,1</w:t>
      </w:r>
      <w:r w:rsidR="00DC77E8" w:rsidRPr="00DC77E8">
        <w:rPr>
          <w:rFonts w:asciiTheme="majorHAnsi" w:eastAsia="Calibri" w:hAnsiTheme="majorHAnsi" w:cs="Times New Roman"/>
          <w:bCs w:val="0"/>
          <w:color w:val="7F7F7F" w:themeColor="text1" w:themeTint="80"/>
          <w:sz w:val="21"/>
          <w:szCs w:val="22"/>
          <w:lang w:val="sr-Cyrl-RS"/>
        </w:rPr>
        <w:t>% БДП</w:t>
      </w:r>
      <w:r w:rsidR="009D35FC" w:rsidRPr="00171A80">
        <w:rPr>
          <w:rFonts w:asciiTheme="majorHAnsi" w:eastAsia="Calibri" w:hAnsiTheme="majorHAnsi" w:cs="Times New Roman"/>
          <w:bCs w:val="0"/>
          <w:color w:val="7F7F7F" w:themeColor="text1" w:themeTint="80"/>
          <w:sz w:val="21"/>
          <w:szCs w:val="22"/>
          <w:lang w:val="sr-Cyrl-RS"/>
        </w:rPr>
        <w:t xml:space="preserve">. </w:t>
      </w:r>
    </w:p>
    <w:p w:rsidR="003F2BA0" w:rsidRDefault="003F2BA0" w:rsidP="002911F7">
      <w:pPr>
        <w:spacing w:after="0"/>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i/>
          <w:color w:val="7F7F7F" w:themeColor="text1" w:themeTint="80"/>
          <w:sz w:val="21"/>
          <w:szCs w:val="22"/>
          <w:lang w:val="sr-Cyrl-RS"/>
        </w:rPr>
        <w:t xml:space="preserve">Активиране гаранције. </w:t>
      </w:r>
      <w:r w:rsidR="00DC77E8" w:rsidRPr="00DC77E8">
        <w:rPr>
          <w:rFonts w:asciiTheme="majorHAnsi" w:eastAsia="Calibri" w:hAnsiTheme="majorHAnsi" w:cs="Times New Roman"/>
          <w:bCs w:val="0"/>
          <w:color w:val="7F7F7F" w:themeColor="text1" w:themeTint="80"/>
          <w:sz w:val="21"/>
          <w:szCs w:val="22"/>
          <w:lang w:val="sr-Cyrl-RS"/>
        </w:rPr>
        <w:t>Активиране гаранције и плаћање гаранција по комерцијалним трансакцијама представљају обавезе по основу дуга јавних предузећа које је републички буџет преузео на себе, с обзиром да те компаније нису могле да их извршавају. Највећи издаци по овом основу односе се на ,,Железнице Србије” а.д, Железару Смедерево, ЈАТ и Галенику. Треба напоменути да се значајна средства по овом основу плаћају и за ЈП ,,Путеви Србије”, али да се ови издаци класификују као класична отплата дуга с обзиром да је ово предузеће део опште државе. Слично као и код буџетских позајмица и овде ће доћи до снижавања значаја ових расхода уколико се на прави начин реше проблеми неефикасности јавних предузећа</w:t>
      </w:r>
      <w:r w:rsidRPr="00171A80">
        <w:rPr>
          <w:rFonts w:asciiTheme="majorHAnsi" w:eastAsia="Calibri" w:hAnsiTheme="majorHAnsi" w:cs="Times New Roman"/>
          <w:bCs w:val="0"/>
          <w:color w:val="7F7F7F" w:themeColor="text1" w:themeTint="80"/>
          <w:sz w:val="21"/>
          <w:szCs w:val="22"/>
          <w:lang w:val="sr-Cyrl-RS"/>
        </w:rPr>
        <w:t>.</w:t>
      </w:r>
    </w:p>
    <w:p w:rsidR="002911F7" w:rsidRPr="00171A80" w:rsidRDefault="002911F7" w:rsidP="002911F7">
      <w:pPr>
        <w:spacing w:after="0"/>
        <w:rPr>
          <w:rFonts w:asciiTheme="majorHAnsi" w:eastAsia="Calibri" w:hAnsiTheme="majorHAnsi" w:cs="Times New Roman"/>
          <w:bCs w:val="0"/>
          <w:color w:val="7F7F7F" w:themeColor="text1" w:themeTint="80"/>
          <w:sz w:val="21"/>
          <w:szCs w:val="22"/>
          <w:lang w:val="sr-Cyrl-RS"/>
        </w:rPr>
      </w:pPr>
    </w:p>
    <w:p w:rsidR="00A46B36" w:rsidRPr="00171A80" w:rsidRDefault="00A46B36" w:rsidP="002911F7">
      <w:pPr>
        <w:pStyle w:val="Heading3"/>
        <w:numPr>
          <w:ilvl w:val="1"/>
          <w:numId w:val="2"/>
        </w:numPr>
        <w:spacing w:before="0" w:after="0"/>
        <w:ind w:left="357" w:hanging="357"/>
        <w:rPr>
          <w:rFonts w:asciiTheme="majorHAnsi" w:hAnsiTheme="majorHAnsi"/>
          <w:b w:val="0"/>
          <w:lang w:val="sr-Cyrl-RS"/>
        </w:rPr>
      </w:pPr>
      <w:bookmarkStart w:id="44" w:name="_Toc407617166"/>
      <w:bookmarkStart w:id="45" w:name="_Toc337117125"/>
      <w:bookmarkEnd w:id="40"/>
      <w:r w:rsidRPr="00171A80">
        <w:rPr>
          <w:rFonts w:asciiTheme="majorHAnsi" w:hAnsiTheme="majorHAnsi"/>
          <w:b w:val="0"/>
          <w:lang w:val="sr-Cyrl-RS"/>
        </w:rPr>
        <w:t>Програм за смањење дуга</w:t>
      </w:r>
      <w:bookmarkEnd w:id="44"/>
    </w:p>
    <w:p w:rsidR="00A46B36" w:rsidRPr="00171A80" w:rsidRDefault="00A46B36" w:rsidP="002911F7">
      <w:pPr>
        <w:spacing w:after="0"/>
        <w:rPr>
          <w:rFonts w:asciiTheme="majorHAnsi" w:hAnsiTheme="majorHAnsi"/>
          <w:lang w:val="sr-Cyrl-RS"/>
        </w:rPr>
      </w:pPr>
    </w:p>
    <w:p w:rsidR="0069730D" w:rsidRPr="0069730D" w:rsidRDefault="0069730D" w:rsidP="0069730D">
      <w:pPr>
        <w:rPr>
          <w:rFonts w:asciiTheme="majorHAnsi" w:eastAsia="Calibri" w:hAnsiTheme="majorHAnsi" w:cs="Times New Roman"/>
          <w:bCs w:val="0"/>
          <w:color w:val="7F7F7F" w:themeColor="text1" w:themeTint="80"/>
          <w:sz w:val="21"/>
          <w:szCs w:val="21"/>
          <w:lang w:val="sr-Cyrl-RS"/>
        </w:rPr>
      </w:pPr>
      <w:r w:rsidRPr="0069730D">
        <w:rPr>
          <w:rFonts w:asciiTheme="majorHAnsi" w:eastAsia="Calibri" w:hAnsiTheme="majorHAnsi" w:cs="Times New Roman"/>
          <w:bCs w:val="0"/>
          <w:color w:val="7F7F7F" w:themeColor="text1" w:themeTint="80"/>
          <w:sz w:val="21"/>
          <w:szCs w:val="21"/>
          <w:lang w:val="sr-Cyrl-RS"/>
        </w:rPr>
        <w:t xml:space="preserve">У складу са принципом фискалне одговорности, уколико општи дуг државе пређе 45% БДП, Влада је дужна да предложи мере којима ће се дуг приближити циљаном нивоу, односно вратити у одрживе оквире. Економска криза која је започела крајем 2008. године имала је за последицу пад или успорење раста буџетских прихода. У условима изостанка или недовољног нивоа структурних мера дошло је до увећања годишњег нивоа фискалног дефицита. У периоду од 2008. до 2013. године дефицит опште државе порастао је са 2,6% на 5,3% БДП, док је истовремено јавни дуг ушао у експлозивну путању раста, при чему је однос дуга и БДП удвостручен. Јавни дуг са око 30% БДП крајем 2008. године достигао је 61,1% БДП на крају 2013. године, уз повећање нивоа дуга за око 3,4 п.п. у односу на претходну годину. </w:t>
      </w:r>
    </w:p>
    <w:p w:rsidR="0069730D" w:rsidRPr="0069730D" w:rsidRDefault="0069730D" w:rsidP="0069730D">
      <w:pPr>
        <w:rPr>
          <w:rFonts w:asciiTheme="majorHAnsi" w:eastAsia="Calibri" w:hAnsiTheme="majorHAnsi" w:cs="Times New Roman"/>
          <w:bCs w:val="0"/>
          <w:color w:val="7F7F7F" w:themeColor="text1" w:themeTint="80"/>
          <w:sz w:val="21"/>
          <w:szCs w:val="21"/>
          <w:lang w:val="sr-Cyrl-RS"/>
        </w:rPr>
      </w:pPr>
      <w:r w:rsidRPr="0069730D">
        <w:rPr>
          <w:rFonts w:asciiTheme="majorHAnsi" w:eastAsia="Calibri" w:hAnsiTheme="majorHAnsi" w:cs="Times New Roman"/>
          <w:bCs w:val="0"/>
          <w:color w:val="7F7F7F" w:themeColor="text1" w:themeTint="80"/>
          <w:sz w:val="21"/>
          <w:szCs w:val="21"/>
          <w:lang w:val="sr-Cyrl-RS"/>
        </w:rPr>
        <w:t xml:space="preserve">Мере фискалне консолидације усвојене крајем 2012. и током 2013. године у одређеној мери су успориле овај тренд, али ниво јавног дуга и даље значајно расте. Да су претходно усвојене мере фискалне консолидације дале одређене резултате може се сагледати из структуре оствареног фискалног резултата. Константан пад учешћа примарног дефицита од 2012. године говори у прилог томе, али то није довољно да стабилизује учешће нивоа јавног дуга у БДП услед значајног раста расхода за камате. Ниво јавног дуга, а нарочито динамика његовог кретања у претходном периоду, нису фискално одрживи у будућности. Неопходно је </w:t>
      </w:r>
      <w:r w:rsidRPr="0069730D">
        <w:rPr>
          <w:rFonts w:asciiTheme="majorHAnsi" w:eastAsia="Calibri" w:hAnsiTheme="majorHAnsi" w:cs="Times New Roman"/>
          <w:bCs w:val="0"/>
          <w:color w:val="7F7F7F" w:themeColor="text1" w:themeTint="80"/>
          <w:sz w:val="21"/>
          <w:szCs w:val="21"/>
          <w:lang w:val="sr-Cyrl-RS"/>
        </w:rPr>
        <w:lastRenderedPageBreak/>
        <w:t xml:space="preserve">спровести у наредном периоду додатне кораке у процесу консолидације и то у условима одсуства или успореног раста привредне активности. </w:t>
      </w:r>
    </w:p>
    <w:p w:rsidR="00DD493D" w:rsidRPr="00DD493D" w:rsidRDefault="0069730D" w:rsidP="0069730D">
      <w:pPr>
        <w:rPr>
          <w:rFonts w:asciiTheme="majorHAnsi" w:eastAsia="Calibri" w:hAnsiTheme="majorHAnsi" w:cs="Times New Roman"/>
          <w:bCs w:val="0"/>
          <w:color w:val="7F7F7F" w:themeColor="text1" w:themeTint="80"/>
          <w:sz w:val="21"/>
          <w:szCs w:val="21"/>
          <w:lang w:val="sr-Cyrl-RS"/>
        </w:rPr>
      </w:pPr>
      <w:r w:rsidRPr="0069730D">
        <w:rPr>
          <w:rFonts w:asciiTheme="majorHAnsi" w:eastAsia="Calibri" w:hAnsiTheme="majorHAnsi" w:cs="Times New Roman"/>
          <w:bCs w:val="0"/>
          <w:color w:val="7F7F7F" w:themeColor="text1" w:themeTint="80"/>
          <w:sz w:val="21"/>
          <w:szCs w:val="21"/>
          <w:lang w:val="sr-Cyrl-RS"/>
        </w:rPr>
        <w:t>Предвиђене мере, претходно описане у овом документу, којима се остварује кумулативно прилагођавање на страни расхода од око 7% БДП у периоду 2014 - 2017. године, доводе до спуштања дефицита опште државе на 3,8% БДП у 2017. години. У истом периоду долази до стабилизације дуга на нивоу од 78,7% БДП, што и даље представља висок ниво у поређењу са међународним стандардима.</w:t>
      </w:r>
      <w:r w:rsidR="00DD493D" w:rsidRPr="00DD493D">
        <w:rPr>
          <w:rFonts w:asciiTheme="majorHAnsi" w:eastAsia="Calibri" w:hAnsiTheme="majorHAnsi" w:cs="Times New Roman"/>
          <w:bCs w:val="0"/>
          <w:color w:val="7F7F7F" w:themeColor="text1" w:themeTint="80"/>
          <w:sz w:val="21"/>
          <w:szCs w:val="21"/>
          <w:lang w:val="sr-Cyrl-RS"/>
        </w:rPr>
        <w:t xml:space="preserve"> </w:t>
      </w:r>
    </w:p>
    <w:p w:rsidR="00A46B36" w:rsidRPr="00171A80" w:rsidRDefault="0069730D" w:rsidP="00DD493D">
      <w:pPr>
        <w:rPr>
          <w:rFonts w:asciiTheme="majorHAnsi" w:eastAsia="Calibri" w:hAnsiTheme="majorHAnsi" w:cs="Times New Roman"/>
          <w:bCs w:val="0"/>
          <w:color w:val="7F7F7F" w:themeColor="text1" w:themeTint="80"/>
          <w:sz w:val="21"/>
          <w:szCs w:val="21"/>
          <w:lang w:val="sr-Cyrl-RS"/>
        </w:rPr>
      </w:pPr>
      <w:r w:rsidRPr="0069730D">
        <w:rPr>
          <w:rFonts w:asciiTheme="majorHAnsi" w:eastAsia="Calibri" w:hAnsiTheme="majorHAnsi" w:cs="Times New Roman"/>
          <w:bCs w:val="0"/>
          <w:color w:val="7F7F7F" w:themeColor="text1" w:themeTint="80"/>
          <w:sz w:val="21"/>
          <w:szCs w:val="21"/>
          <w:lang w:val="sr-Cyrl-RS"/>
        </w:rPr>
        <w:t>Фискални дефицит није једини фактор који утиче на висину јавног дуга и стога је неопходно спровести додатне мере кроз унапређење управљања јавним дугом</w:t>
      </w:r>
      <w:r w:rsidR="00A46B36" w:rsidRPr="00171A80">
        <w:rPr>
          <w:rFonts w:asciiTheme="majorHAnsi" w:eastAsia="Calibri" w:hAnsiTheme="majorHAnsi" w:cs="Times New Roman"/>
          <w:bCs w:val="0"/>
          <w:color w:val="7F7F7F" w:themeColor="text1" w:themeTint="80"/>
          <w:sz w:val="21"/>
          <w:szCs w:val="21"/>
          <w:lang w:val="sr-Cyrl-RS"/>
        </w:rPr>
        <w:t>:</w:t>
      </w:r>
    </w:p>
    <w:p w:rsidR="00A46B36" w:rsidRPr="00171A80" w:rsidRDefault="0069730D" w:rsidP="001319BA">
      <w:pPr>
        <w:numPr>
          <w:ilvl w:val="0"/>
          <w:numId w:val="16"/>
        </w:numPr>
        <w:ind w:left="714" w:hanging="357"/>
        <w:rPr>
          <w:rFonts w:asciiTheme="majorHAnsi" w:eastAsia="Calibri" w:hAnsiTheme="majorHAnsi" w:cs="Times New Roman"/>
          <w:bCs w:val="0"/>
          <w:color w:val="7F7F7F" w:themeColor="text1" w:themeTint="80"/>
          <w:sz w:val="21"/>
          <w:szCs w:val="21"/>
          <w:lang w:val="sr-Cyrl-RS"/>
        </w:rPr>
      </w:pPr>
      <w:r w:rsidRPr="0069730D">
        <w:rPr>
          <w:rFonts w:asciiTheme="majorHAnsi" w:eastAsia="Calibri" w:hAnsiTheme="majorHAnsi" w:cs="Times New Roman"/>
          <w:color w:val="7F7F7F" w:themeColor="text1" w:themeTint="80"/>
          <w:sz w:val="21"/>
          <w:szCs w:val="21"/>
          <w:lang w:val="sr-Cyrl-RS"/>
        </w:rPr>
        <w:t>ограничење издавања нових гаранција, посебно гаранција јавним предузећима за текућу ликвидност и гаранција локалним самоуправама</w:t>
      </w:r>
      <w:r w:rsidR="00A46B36" w:rsidRPr="00171A80">
        <w:rPr>
          <w:rFonts w:asciiTheme="majorHAnsi" w:eastAsia="Calibri" w:hAnsiTheme="majorHAnsi" w:cs="Times New Roman"/>
          <w:bCs w:val="0"/>
          <w:color w:val="7F7F7F" w:themeColor="text1" w:themeTint="80"/>
          <w:sz w:val="21"/>
          <w:szCs w:val="21"/>
          <w:lang w:val="sr-Cyrl-RS"/>
        </w:rPr>
        <w:t>;</w:t>
      </w:r>
    </w:p>
    <w:p w:rsidR="00A46B36" w:rsidRPr="00171A80" w:rsidRDefault="0069730D" w:rsidP="001319BA">
      <w:pPr>
        <w:numPr>
          <w:ilvl w:val="0"/>
          <w:numId w:val="16"/>
        </w:numPr>
        <w:ind w:left="714" w:hanging="357"/>
        <w:rPr>
          <w:rFonts w:asciiTheme="majorHAnsi" w:eastAsia="Calibri" w:hAnsiTheme="majorHAnsi" w:cs="Times New Roman"/>
          <w:bCs w:val="0"/>
          <w:color w:val="7F7F7F" w:themeColor="text1" w:themeTint="80"/>
          <w:sz w:val="21"/>
          <w:szCs w:val="21"/>
          <w:lang w:val="sr-Cyrl-RS"/>
        </w:rPr>
      </w:pPr>
      <w:r w:rsidRPr="0069730D">
        <w:rPr>
          <w:rFonts w:asciiTheme="majorHAnsi" w:eastAsia="Calibri" w:hAnsiTheme="majorHAnsi" w:cs="Times New Roman"/>
          <w:color w:val="7F7F7F" w:themeColor="text1" w:themeTint="80"/>
          <w:sz w:val="21"/>
          <w:szCs w:val="21"/>
          <w:lang w:val="sr-Cyrl-RS"/>
        </w:rPr>
        <w:t>ограничење закључивања нових пројектних зајмова у случајевима да претходно одобрени зајмови нису ефикасно коришћени</w:t>
      </w:r>
      <w:r w:rsidR="00A46B36" w:rsidRPr="00171A80">
        <w:rPr>
          <w:rFonts w:asciiTheme="majorHAnsi" w:eastAsia="Calibri" w:hAnsiTheme="majorHAnsi" w:cs="Times New Roman"/>
          <w:bCs w:val="0"/>
          <w:color w:val="7F7F7F" w:themeColor="text1" w:themeTint="80"/>
          <w:sz w:val="21"/>
          <w:szCs w:val="21"/>
          <w:lang w:val="sr-Cyrl-RS"/>
        </w:rPr>
        <w:t>;</w:t>
      </w:r>
    </w:p>
    <w:p w:rsidR="00A46B36" w:rsidRPr="00171A80" w:rsidRDefault="0069730D" w:rsidP="001319BA">
      <w:pPr>
        <w:numPr>
          <w:ilvl w:val="0"/>
          <w:numId w:val="16"/>
        </w:numPr>
        <w:ind w:left="714" w:hanging="357"/>
        <w:rPr>
          <w:rFonts w:asciiTheme="majorHAnsi" w:eastAsia="Calibri" w:hAnsiTheme="majorHAnsi" w:cs="Times New Roman"/>
          <w:bCs w:val="0"/>
          <w:color w:val="7F7F7F" w:themeColor="text1" w:themeTint="80"/>
          <w:sz w:val="21"/>
          <w:szCs w:val="21"/>
          <w:lang w:val="sr-Cyrl-RS"/>
        </w:rPr>
      </w:pPr>
      <w:r w:rsidRPr="0069730D">
        <w:rPr>
          <w:rFonts w:asciiTheme="majorHAnsi" w:eastAsia="Calibri" w:hAnsiTheme="majorHAnsi" w:cs="Times New Roman"/>
          <w:color w:val="7F7F7F" w:themeColor="text1" w:themeTint="80"/>
          <w:sz w:val="21"/>
          <w:szCs w:val="21"/>
          <w:lang w:val="sr-Cyrl-RS"/>
        </w:rPr>
        <w:t>откуп једног дела скупљег дуга коришћењем средстава из повољнијих зајмова и приватизационих прихода уколико за то постоје могућности</w:t>
      </w:r>
      <w:r w:rsidR="00A46B36" w:rsidRPr="00171A80">
        <w:rPr>
          <w:rFonts w:asciiTheme="majorHAnsi" w:eastAsia="Calibri" w:hAnsiTheme="majorHAnsi" w:cs="Times New Roman"/>
          <w:bCs w:val="0"/>
          <w:color w:val="7F7F7F" w:themeColor="text1" w:themeTint="80"/>
          <w:sz w:val="21"/>
          <w:szCs w:val="21"/>
          <w:lang w:val="sr-Cyrl-RS"/>
        </w:rPr>
        <w:t xml:space="preserve">. </w:t>
      </w:r>
    </w:p>
    <w:p w:rsidR="0069730D" w:rsidRPr="0069730D" w:rsidRDefault="0069730D" w:rsidP="0069730D">
      <w:pPr>
        <w:rPr>
          <w:rFonts w:asciiTheme="majorHAnsi" w:eastAsia="Calibri" w:hAnsiTheme="majorHAnsi" w:cs="Times New Roman"/>
          <w:bCs w:val="0"/>
          <w:color w:val="7F7F7F" w:themeColor="text1" w:themeTint="80"/>
          <w:sz w:val="21"/>
          <w:szCs w:val="21"/>
          <w:lang w:val="sr-Cyrl-RS"/>
        </w:rPr>
      </w:pPr>
      <w:r w:rsidRPr="0069730D">
        <w:rPr>
          <w:rFonts w:asciiTheme="majorHAnsi" w:eastAsia="Calibri" w:hAnsiTheme="majorHAnsi" w:cs="Times New Roman"/>
          <w:bCs w:val="0"/>
          <w:color w:val="7F7F7F" w:themeColor="text1" w:themeTint="80"/>
          <w:sz w:val="21"/>
          <w:szCs w:val="21"/>
          <w:lang w:val="sr-Cyrl-RS"/>
        </w:rPr>
        <w:t>Програм мера за смањење фискалног дефицита и фискални оквир у периоду 2015 - 2017. године, којим је предвиђен пад консолидованог фискалног дефицита на 3,8% у 2017. години, представљају основни сценарио и саставни су део овог програма за смањење јавног дуга.</w:t>
      </w:r>
    </w:p>
    <w:p w:rsidR="00A46B36" w:rsidRPr="00171A80" w:rsidRDefault="0069730D" w:rsidP="0069730D">
      <w:pPr>
        <w:rPr>
          <w:rFonts w:asciiTheme="majorHAnsi" w:eastAsia="Calibri" w:hAnsiTheme="majorHAnsi" w:cs="Times New Roman"/>
          <w:bCs w:val="0"/>
          <w:color w:val="7F7F7F" w:themeColor="text1" w:themeTint="80"/>
          <w:sz w:val="21"/>
          <w:szCs w:val="21"/>
          <w:lang w:val="sr-Cyrl-RS"/>
        </w:rPr>
      </w:pPr>
      <w:r w:rsidRPr="0069730D">
        <w:rPr>
          <w:rFonts w:asciiTheme="majorHAnsi" w:eastAsia="Calibri" w:hAnsiTheme="majorHAnsi" w:cs="Times New Roman"/>
          <w:bCs w:val="0"/>
          <w:color w:val="7F7F7F" w:themeColor="text1" w:themeTint="80"/>
          <w:sz w:val="21"/>
          <w:szCs w:val="21"/>
          <w:lang w:val="sr-Cyrl-RS"/>
        </w:rPr>
        <w:t>У складу са фискалним правилима неопходно је предвидети динамику спуштања нивоа јавног дуга на 45% БДП. У овом програму дата је симулација спуштања нивоа дуга на законски ниво до 2030. године и претпоставке на којима се заснива. Овако дуг период прилагођавања заснован је на претпоставци да годишње прилагођавање дефицита веће од 1 п.п. БДП није оствариво у дужем периоду и у условима успореног, односно умереног раста, без већих последица по становништво и привреду. Из истог разлога није предвиђена путања фискалног резултата која подразумева остваривање фискалног суфицита, па стога учешће јавног дуга после одређеног периода опада само захваљујући расту БДП</w:t>
      </w:r>
      <w:r w:rsidR="00A46B36" w:rsidRPr="00171A80">
        <w:rPr>
          <w:rFonts w:asciiTheme="majorHAnsi" w:eastAsia="Calibri" w:hAnsiTheme="majorHAnsi" w:cs="Times New Roman"/>
          <w:bCs w:val="0"/>
          <w:color w:val="7F7F7F" w:themeColor="text1" w:themeTint="80"/>
          <w:sz w:val="21"/>
          <w:szCs w:val="21"/>
          <w:lang w:val="sr-Cyrl-RS"/>
        </w:rPr>
        <w:t xml:space="preserve">. </w:t>
      </w:r>
    </w:p>
    <w:p w:rsidR="00A46B36" w:rsidRPr="00171A80" w:rsidRDefault="00A46B36" w:rsidP="00A46B36">
      <w:pPr>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color w:val="7F7F7F" w:themeColor="text1" w:themeTint="80"/>
          <w:sz w:val="21"/>
          <w:szCs w:val="22"/>
          <w:lang w:val="sr-Cyrl-RS"/>
        </w:rPr>
        <w:t>Претпоставке у основном сценарију су:</w:t>
      </w:r>
    </w:p>
    <w:p w:rsidR="00A46B36" w:rsidRPr="00171A80" w:rsidRDefault="0069730D" w:rsidP="001319BA">
      <w:pPr>
        <w:numPr>
          <w:ilvl w:val="0"/>
          <w:numId w:val="4"/>
        </w:numPr>
        <w:ind w:left="714" w:hanging="357"/>
        <w:rPr>
          <w:rFonts w:asciiTheme="majorHAnsi" w:eastAsia="Calibri" w:hAnsiTheme="majorHAnsi" w:cs="Times New Roman"/>
          <w:bCs w:val="0"/>
          <w:color w:val="7F7F7F" w:themeColor="text1" w:themeTint="80"/>
          <w:sz w:val="21"/>
          <w:szCs w:val="22"/>
          <w:lang w:val="sr-Cyrl-RS"/>
        </w:rPr>
      </w:pPr>
      <w:r w:rsidRPr="0069730D">
        <w:rPr>
          <w:rFonts w:asciiTheme="majorHAnsi" w:eastAsia="Calibri" w:hAnsiTheme="majorHAnsi" w:cs="Times New Roman"/>
          <w:color w:val="7F7F7F" w:themeColor="text1" w:themeTint="80"/>
          <w:sz w:val="21"/>
          <w:szCs w:val="22"/>
          <w:lang w:val="sr-Cyrl-RS"/>
        </w:rPr>
        <w:t>фискално прилагођавање у периоду након 2017. године је на нешто нижем нивоу у односу на период 2014 - 2016. године</w:t>
      </w:r>
      <w:r w:rsidR="00A46B36" w:rsidRPr="00171A80">
        <w:rPr>
          <w:rFonts w:asciiTheme="majorHAnsi" w:eastAsia="Calibri" w:hAnsiTheme="majorHAnsi" w:cs="Times New Roman"/>
          <w:bCs w:val="0"/>
          <w:color w:val="7F7F7F" w:themeColor="text1" w:themeTint="80"/>
          <w:sz w:val="21"/>
          <w:szCs w:val="22"/>
          <w:lang w:val="sr-Cyrl-RS"/>
        </w:rPr>
        <w:t xml:space="preserve">; </w:t>
      </w:r>
    </w:p>
    <w:p w:rsidR="00A46B36" w:rsidRPr="00171A80" w:rsidRDefault="0069730D" w:rsidP="001319BA">
      <w:pPr>
        <w:numPr>
          <w:ilvl w:val="0"/>
          <w:numId w:val="4"/>
        </w:numPr>
        <w:ind w:left="714" w:hanging="357"/>
        <w:rPr>
          <w:rFonts w:asciiTheme="majorHAnsi" w:eastAsia="Calibri" w:hAnsiTheme="majorHAnsi" w:cs="Times New Roman"/>
          <w:bCs w:val="0"/>
          <w:color w:val="7F7F7F" w:themeColor="text1" w:themeTint="80"/>
          <w:sz w:val="21"/>
          <w:szCs w:val="22"/>
          <w:lang w:val="sr-Cyrl-RS"/>
        </w:rPr>
      </w:pPr>
      <w:r w:rsidRPr="0069730D">
        <w:rPr>
          <w:rFonts w:asciiTheme="majorHAnsi" w:eastAsia="Calibri" w:hAnsiTheme="majorHAnsi" w:cs="Times New Roman"/>
          <w:color w:val="7F7F7F" w:themeColor="text1" w:themeTint="80"/>
          <w:sz w:val="21"/>
          <w:szCs w:val="22"/>
          <w:lang w:val="sr-Cyrl-RS"/>
        </w:rPr>
        <w:t>пад па постепено повећање учешћа јавних прихода од 0,2% БДП просечно годишње услед раста ефикасности наплате</w:t>
      </w:r>
      <w:r w:rsidR="00A46B36" w:rsidRPr="00171A80">
        <w:rPr>
          <w:rFonts w:asciiTheme="majorHAnsi" w:eastAsia="Calibri" w:hAnsiTheme="majorHAnsi" w:cs="Times New Roman"/>
          <w:bCs w:val="0"/>
          <w:color w:val="7F7F7F" w:themeColor="text1" w:themeTint="80"/>
          <w:sz w:val="21"/>
          <w:szCs w:val="22"/>
          <w:lang w:val="sr-Cyrl-RS"/>
        </w:rPr>
        <w:t>;</w:t>
      </w:r>
    </w:p>
    <w:p w:rsidR="00A46B36" w:rsidRPr="00171A80" w:rsidRDefault="0069730D" w:rsidP="001319BA">
      <w:pPr>
        <w:numPr>
          <w:ilvl w:val="0"/>
          <w:numId w:val="4"/>
        </w:numPr>
        <w:ind w:left="714" w:hanging="357"/>
        <w:rPr>
          <w:rFonts w:asciiTheme="majorHAnsi" w:eastAsia="Calibri" w:hAnsiTheme="majorHAnsi" w:cs="Times New Roman"/>
          <w:bCs w:val="0"/>
          <w:color w:val="7F7F7F" w:themeColor="text1" w:themeTint="80"/>
          <w:sz w:val="21"/>
          <w:szCs w:val="22"/>
          <w:lang w:val="sr-Cyrl-RS"/>
        </w:rPr>
      </w:pPr>
      <w:r w:rsidRPr="0069730D">
        <w:rPr>
          <w:rFonts w:asciiTheme="majorHAnsi" w:eastAsia="Calibri" w:hAnsiTheme="majorHAnsi" w:cs="Times New Roman"/>
          <w:color w:val="7F7F7F" w:themeColor="text1" w:themeTint="80"/>
          <w:sz w:val="21"/>
          <w:szCs w:val="22"/>
          <w:lang w:val="sr-Cyrl-RS"/>
        </w:rPr>
        <w:t>достизање фискалног баланса у 2024. години и његово одржавање у периоду након тога</w:t>
      </w:r>
      <w:r w:rsidR="00A46B36" w:rsidRPr="00171A80">
        <w:rPr>
          <w:rFonts w:asciiTheme="majorHAnsi" w:eastAsia="Calibri" w:hAnsiTheme="majorHAnsi" w:cs="Times New Roman"/>
          <w:bCs w:val="0"/>
          <w:color w:val="7F7F7F" w:themeColor="text1" w:themeTint="80"/>
          <w:sz w:val="21"/>
          <w:szCs w:val="22"/>
          <w:lang w:val="sr-Cyrl-RS"/>
        </w:rPr>
        <w:t>;</w:t>
      </w:r>
    </w:p>
    <w:p w:rsidR="00A46B36" w:rsidRPr="00171A80" w:rsidRDefault="00E346C9" w:rsidP="001319BA">
      <w:pPr>
        <w:numPr>
          <w:ilvl w:val="0"/>
          <w:numId w:val="4"/>
        </w:numPr>
        <w:ind w:left="714" w:hanging="357"/>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color w:val="7F7F7F" w:themeColor="text1" w:themeTint="80"/>
          <w:sz w:val="21"/>
          <w:szCs w:val="22"/>
          <w:lang w:val="sr-Cyrl-RS"/>
        </w:rPr>
        <w:t>нето прираст издатих гаранција у просеку око нуле након 2017. године</w:t>
      </w:r>
      <w:r w:rsidR="00A46B36" w:rsidRPr="00171A80">
        <w:rPr>
          <w:rFonts w:asciiTheme="majorHAnsi" w:eastAsia="Calibri" w:hAnsiTheme="majorHAnsi" w:cs="Times New Roman"/>
          <w:bCs w:val="0"/>
          <w:color w:val="808080" w:themeColor="background1" w:themeShade="80"/>
          <w:sz w:val="21"/>
          <w:szCs w:val="22"/>
          <w:lang w:val="sr-Cyrl-RS"/>
        </w:rPr>
        <w:t>;</w:t>
      </w:r>
      <w:r w:rsidR="00A46B36" w:rsidRPr="00171A80">
        <w:rPr>
          <w:rFonts w:asciiTheme="majorHAnsi" w:eastAsia="Calibri" w:hAnsiTheme="majorHAnsi" w:cs="Times New Roman"/>
          <w:bCs w:val="0"/>
          <w:color w:val="FF0000"/>
          <w:sz w:val="21"/>
          <w:szCs w:val="22"/>
          <w:lang w:val="sr-Cyrl-RS"/>
        </w:rPr>
        <w:t xml:space="preserve"> </w:t>
      </w:r>
    </w:p>
    <w:p w:rsidR="00A46B36" w:rsidRPr="00171A80" w:rsidRDefault="00E346C9" w:rsidP="001319BA">
      <w:pPr>
        <w:numPr>
          <w:ilvl w:val="0"/>
          <w:numId w:val="4"/>
        </w:numPr>
        <w:ind w:left="714" w:hanging="357"/>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color w:val="7F7F7F" w:themeColor="text1" w:themeTint="80"/>
          <w:sz w:val="21"/>
          <w:szCs w:val="22"/>
          <w:lang w:val="sr-Cyrl-RS"/>
        </w:rPr>
        <w:t>реални раст БДП од 3% у дужем року, што подразумева просечни раст у одређеној мери виши од потенцијалног</w:t>
      </w:r>
      <w:r w:rsidR="00A46B36" w:rsidRPr="00171A80">
        <w:rPr>
          <w:rFonts w:asciiTheme="majorHAnsi" w:eastAsia="Calibri" w:hAnsiTheme="majorHAnsi" w:cs="Times New Roman"/>
          <w:bCs w:val="0"/>
          <w:color w:val="7F7F7F" w:themeColor="text1" w:themeTint="80"/>
          <w:sz w:val="21"/>
          <w:szCs w:val="22"/>
          <w:lang w:val="sr-Cyrl-RS"/>
        </w:rPr>
        <w:t>;</w:t>
      </w:r>
    </w:p>
    <w:p w:rsidR="00A46B36" w:rsidRPr="00171A80" w:rsidRDefault="00E346C9" w:rsidP="001319BA">
      <w:pPr>
        <w:numPr>
          <w:ilvl w:val="0"/>
          <w:numId w:val="4"/>
        </w:numPr>
        <w:ind w:left="714" w:hanging="357"/>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color w:val="7F7F7F" w:themeColor="text1" w:themeTint="80"/>
          <w:sz w:val="21"/>
          <w:szCs w:val="22"/>
          <w:lang w:val="sr-Cyrl-RS"/>
        </w:rPr>
        <w:t>годишњу инфлацију од око 4% просечно у посматраном периоду</w:t>
      </w:r>
      <w:r w:rsidR="00A46B36" w:rsidRPr="00171A80">
        <w:rPr>
          <w:rFonts w:asciiTheme="majorHAnsi" w:eastAsia="Calibri" w:hAnsiTheme="majorHAnsi" w:cs="Times New Roman"/>
          <w:bCs w:val="0"/>
          <w:color w:val="7F7F7F" w:themeColor="text1" w:themeTint="80"/>
          <w:sz w:val="21"/>
          <w:szCs w:val="22"/>
          <w:lang w:val="sr-Cyrl-RS"/>
        </w:rPr>
        <w:t>;</w:t>
      </w:r>
    </w:p>
    <w:p w:rsidR="00A46B36" w:rsidRPr="00171A80" w:rsidRDefault="00E346C9" w:rsidP="001319BA">
      <w:pPr>
        <w:numPr>
          <w:ilvl w:val="0"/>
          <w:numId w:val="4"/>
        </w:numPr>
        <w:ind w:left="714" w:hanging="357"/>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color w:val="7F7F7F" w:themeColor="text1" w:themeTint="80"/>
          <w:sz w:val="21"/>
          <w:szCs w:val="22"/>
          <w:lang w:val="sr-Cyrl-RS"/>
        </w:rPr>
        <w:t>просечну номиналну промену девизног курса од 2% годишње у посматраном периоду</w:t>
      </w:r>
      <w:r w:rsidR="00A46B36" w:rsidRPr="00171A80">
        <w:rPr>
          <w:rFonts w:asciiTheme="majorHAnsi" w:eastAsia="Calibri" w:hAnsiTheme="majorHAnsi" w:cs="Times New Roman"/>
          <w:bCs w:val="0"/>
          <w:color w:val="7F7F7F" w:themeColor="text1" w:themeTint="80"/>
          <w:sz w:val="21"/>
          <w:szCs w:val="22"/>
          <w:lang w:val="sr-Cyrl-RS"/>
        </w:rPr>
        <w:t>;</w:t>
      </w:r>
    </w:p>
    <w:p w:rsidR="00A46B36" w:rsidRPr="00171A80" w:rsidRDefault="00A46B36" w:rsidP="001319BA">
      <w:pPr>
        <w:numPr>
          <w:ilvl w:val="0"/>
          <w:numId w:val="4"/>
        </w:numPr>
        <w:ind w:left="714" w:hanging="357"/>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Cs w:val="0"/>
          <w:color w:val="7F7F7F" w:themeColor="text1" w:themeTint="80"/>
          <w:sz w:val="21"/>
          <w:szCs w:val="22"/>
          <w:lang w:val="sr-Cyrl-RS"/>
        </w:rPr>
        <w:t>без значајних негативних ефеката на кретање каматних стопа;</w:t>
      </w:r>
    </w:p>
    <w:p w:rsidR="00A46B36" w:rsidRDefault="00E346C9" w:rsidP="001319BA">
      <w:pPr>
        <w:numPr>
          <w:ilvl w:val="0"/>
          <w:numId w:val="4"/>
        </w:numPr>
        <w:ind w:left="714" w:hanging="357"/>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color w:val="7F7F7F" w:themeColor="text1" w:themeTint="80"/>
          <w:sz w:val="21"/>
          <w:szCs w:val="22"/>
          <w:lang w:val="sr-Cyrl-RS"/>
        </w:rPr>
        <w:t>без значајних прилива од приватизације у периоду 2018 - 2030. године</w:t>
      </w:r>
      <w:r w:rsidR="00A46B36" w:rsidRPr="00171A80">
        <w:rPr>
          <w:rFonts w:asciiTheme="majorHAnsi" w:eastAsia="Calibri" w:hAnsiTheme="majorHAnsi" w:cs="Times New Roman"/>
          <w:bCs w:val="0"/>
          <w:color w:val="7F7F7F" w:themeColor="text1" w:themeTint="80"/>
          <w:sz w:val="21"/>
          <w:szCs w:val="22"/>
          <w:lang w:val="sr-Cyrl-RS"/>
        </w:rPr>
        <w:t>.</w:t>
      </w:r>
    </w:p>
    <w:p w:rsidR="000A04FB" w:rsidRDefault="000A04FB" w:rsidP="000A04FB">
      <w:pPr>
        <w:rPr>
          <w:rFonts w:asciiTheme="majorHAnsi" w:eastAsia="Calibri" w:hAnsiTheme="majorHAnsi" w:cs="Times New Roman"/>
          <w:bCs w:val="0"/>
          <w:color w:val="7F7F7F" w:themeColor="text1" w:themeTint="80"/>
          <w:sz w:val="21"/>
          <w:szCs w:val="22"/>
          <w:lang w:val="sr-Cyrl-RS"/>
        </w:rPr>
      </w:pPr>
    </w:p>
    <w:p w:rsidR="000A04FB" w:rsidRDefault="000A04FB" w:rsidP="000A04FB">
      <w:pPr>
        <w:rPr>
          <w:rFonts w:asciiTheme="majorHAnsi" w:eastAsia="Calibri" w:hAnsiTheme="majorHAnsi" w:cs="Times New Roman"/>
          <w:bCs w:val="0"/>
          <w:color w:val="7F7F7F" w:themeColor="text1" w:themeTint="80"/>
          <w:sz w:val="21"/>
          <w:szCs w:val="22"/>
          <w:lang w:val="sr-Cyrl-RS"/>
        </w:rPr>
      </w:pPr>
    </w:p>
    <w:p w:rsidR="000A04FB" w:rsidRDefault="000A04FB" w:rsidP="000A04FB">
      <w:pPr>
        <w:rPr>
          <w:rFonts w:asciiTheme="majorHAnsi" w:eastAsia="Calibri" w:hAnsiTheme="majorHAnsi" w:cs="Times New Roman"/>
          <w:bCs w:val="0"/>
          <w:color w:val="7F7F7F" w:themeColor="text1" w:themeTint="80"/>
          <w:sz w:val="21"/>
          <w:szCs w:val="22"/>
          <w:lang w:val="sr-Cyrl-RS"/>
        </w:rPr>
      </w:pPr>
    </w:p>
    <w:p w:rsidR="00EE5FC0" w:rsidRPr="00171A80" w:rsidRDefault="00EE5FC0" w:rsidP="00EE5FC0">
      <w:pPr>
        <w:ind w:left="454" w:firstLine="0"/>
        <w:rPr>
          <w:rFonts w:asciiTheme="majorHAnsi" w:eastAsia="Calibri" w:hAnsiTheme="majorHAnsi" w:cs="Times New Roman"/>
          <w:bCs w:val="0"/>
          <w:color w:val="7F7F7F" w:themeColor="text1" w:themeTint="80"/>
          <w:sz w:val="21"/>
          <w:szCs w:val="22"/>
          <w:lang w:val="sr-Cyrl-RS"/>
        </w:rPr>
      </w:pPr>
    </w:p>
    <w:p w:rsidR="00A46B36" w:rsidRPr="00171A80" w:rsidRDefault="003F6B80" w:rsidP="00A46B36">
      <w:pPr>
        <w:ind w:firstLine="0"/>
        <w:jc w:val="left"/>
        <w:rPr>
          <w:rFonts w:asciiTheme="majorHAnsi" w:eastAsia="Calibri" w:hAnsiTheme="majorHAnsi" w:cs="Times New Roman"/>
          <w:b/>
          <w:bCs w:val="0"/>
          <w:color w:val="808080" w:themeColor="background1" w:themeShade="80"/>
          <w:sz w:val="21"/>
          <w:szCs w:val="21"/>
          <w:lang w:val="sr-Cyrl-RS"/>
        </w:rPr>
      </w:pPr>
      <w:r w:rsidRPr="00171A80">
        <w:rPr>
          <w:rFonts w:asciiTheme="majorHAnsi" w:eastAsia="Calibri" w:hAnsiTheme="majorHAnsi" w:cs="Times New Roman"/>
          <w:b/>
          <w:bCs w:val="0"/>
          <w:color w:val="808080" w:themeColor="background1" w:themeShade="80"/>
          <w:sz w:val="21"/>
          <w:szCs w:val="21"/>
          <w:lang w:val="sr-Cyrl-RS"/>
        </w:rPr>
        <w:lastRenderedPageBreak/>
        <w:t>Табела 13</w:t>
      </w:r>
      <w:r w:rsidR="00A46B36" w:rsidRPr="00171A80">
        <w:rPr>
          <w:rFonts w:asciiTheme="majorHAnsi" w:eastAsia="Calibri" w:hAnsiTheme="majorHAnsi" w:cs="Times New Roman"/>
          <w:b/>
          <w:bCs w:val="0"/>
          <w:color w:val="808080" w:themeColor="background1" w:themeShade="80"/>
          <w:sz w:val="21"/>
          <w:szCs w:val="21"/>
          <w:lang w:val="sr-Cyrl-RS"/>
        </w:rPr>
        <w:t>. Симулација нивоа укупног дуга у основном сценарију до 2030. године</w:t>
      </w:r>
    </w:p>
    <w:tbl>
      <w:tblPr>
        <w:tblStyle w:val="LightShading-Accent341"/>
        <w:tblpPr w:leftFromText="180" w:rightFromText="180" w:vertAnchor="text" w:horzAnchor="margin" w:tblpXSpec="center" w:tblpY="134"/>
        <w:tblW w:w="11375" w:type="dxa"/>
        <w:tblLook w:val="04A0" w:firstRow="1" w:lastRow="0" w:firstColumn="1" w:lastColumn="0" w:noHBand="0" w:noVBand="1"/>
      </w:tblPr>
      <w:tblGrid>
        <w:gridCol w:w="1292"/>
        <w:gridCol w:w="559"/>
        <w:gridCol w:w="559"/>
        <w:gridCol w:w="559"/>
        <w:gridCol w:w="559"/>
        <w:gridCol w:w="559"/>
        <w:gridCol w:w="559"/>
        <w:gridCol w:w="559"/>
        <w:gridCol w:w="559"/>
        <w:gridCol w:w="559"/>
        <w:gridCol w:w="559"/>
        <w:gridCol w:w="559"/>
        <w:gridCol w:w="559"/>
        <w:gridCol w:w="559"/>
        <w:gridCol w:w="559"/>
        <w:gridCol w:w="559"/>
        <w:gridCol w:w="566"/>
        <w:gridCol w:w="566"/>
        <w:gridCol w:w="566"/>
      </w:tblGrid>
      <w:tr w:rsidR="00A46B36" w:rsidRPr="00171A80" w:rsidTr="009B4941">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92" w:type="dxa"/>
            <w:hideMark/>
          </w:tcPr>
          <w:p w:rsidR="00A46B36" w:rsidRPr="00171A80" w:rsidRDefault="00A46B36" w:rsidP="00DE6DAA">
            <w:pPr>
              <w:spacing w:after="0"/>
              <w:ind w:firstLine="0"/>
              <w:jc w:val="left"/>
              <w:rPr>
                <w:rFonts w:asciiTheme="majorHAnsi" w:eastAsia="Calibri" w:hAnsiTheme="majorHAnsi" w:cs="Times New Roman"/>
                <w:b w:val="0"/>
                <w:color w:val="7F7F7F" w:themeColor="text1" w:themeTint="80"/>
                <w:sz w:val="14"/>
                <w:szCs w:val="14"/>
                <w:lang w:val="sr-Cyrl-RS"/>
              </w:rPr>
            </w:pPr>
            <w:r w:rsidRPr="00171A80">
              <w:rPr>
                <w:rFonts w:asciiTheme="majorHAnsi" w:eastAsia="Calibri" w:hAnsiTheme="majorHAnsi" w:cs="Times New Roman"/>
                <w:b w:val="0"/>
                <w:bCs/>
                <w:color w:val="7F7F7F" w:themeColor="text1" w:themeTint="80"/>
                <w:sz w:val="14"/>
                <w:szCs w:val="14"/>
                <w:lang w:val="sr-Cyrl-RS"/>
              </w:rPr>
              <w:t>Сценарио</w:t>
            </w:r>
            <w:r w:rsidR="009B4941" w:rsidRPr="00171A80">
              <w:rPr>
                <w:rFonts w:asciiTheme="majorHAnsi" w:eastAsia="Calibri" w:hAnsiTheme="majorHAnsi" w:cs="Times New Roman"/>
                <w:b w:val="0"/>
                <w:bCs/>
                <w:color w:val="7F7F7F" w:themeColor="text1" w:themeTint="80"/>
                <w:sz w:val="14"/>
                <w:szCs w:val="14"/>
                <w:lang w:val="sr-Cyrl-RS"/>
              </w:rPr>
              <w:t xml:space="preserve"> са применом</w:t>
            </w:r>
            <w:r w:rsidRPr="00171A80">
              <w:rPr>
                <w:rFonts w:asciiTheme="majorHAnsi" w:eastAsia="Calibri" w:hAnsiTheme="majorHAnsi" w:cs="Times New Roman"/>
                <w:b w:val="0"/>
                <w:bCs/>
                <w:color w:val="7F7F7F" w:themeColor="text1" w:themeTint="80"/>
                <w:sz w:val="14"/>
                <w:szCs w:val="14"/>
                <w:lang w:val="sr-Cyrl-RS"/>
              </w:rPr>
              <w:t xml:space="preserve"> мера</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2013</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2014</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2015</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2016</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2017</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2018</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2019</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2020</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2021</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2022</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2023</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2024</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2025</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2026</w:t>
            </w:r>
          </w:p>
        </w:tc>
        <w:tc>
          <w:tcPr>
            <w:tcW w:w="559"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2027</w:t>
            </w:r>
          </w:p>
        </w:tc>
        <w:tc>
          <w:tcPr>
            <w:tcW w:w="566"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2028</w:t>
            </w:r>
          </w:p>
        </w:tc>
        <w:tc>
          <w:tcPr>
            <w:tcW w:w="566"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2029</w:t>
            </w:r>
          </w:p>
        </w:tc>
        <w:tc>
          <w:tcPr>
            <w:tcW w:w="566" w:type="dxa"/>
            <w:noWrap/>
            <w:hideMark/>
          </w:tcPr>
          <w:p w:rsidR="00A46B36" w:rsidRPr="00171A80" w:rsidRDefault="00A46B36" w:rsidP="00A46B36">
            <w:pPr>
              <w:spacing w:after="0"/>
              <w:ind w:firstLine="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7F7F7F" w:themeColor="text1" w:themeTint="80"/>
                <w:sz w:val="14"/>
                <w:szCs w:val="14"/>
                <w:lang w:val="sr-Cyrl-RS"/>
              </w:rPr>
            </w:pPr>
            <w:r w:rsidRPr="00171A80">
              <w:rPr>
                <w:rFonts w:asciiTheme="majorHAnsi" w:eastAsia="Calibri" w:hAnsiTheme="majorHAnsi" w:cs="Times New Roman"/>
                <w:bCs/>
                <w:color w:val="7F7F7F" w:themeColor="text1" w:themeTint="80"/>
                <w:sz w:val="14"/>
                <w:szCs w:val="14"/>
                <w:lang w:val="sr-Cyrl-RS"/>
              </w:rPr>
              <w:t>2030</w:t>
            </w:r>
          </w:p>
        </w:tc>
      </w:tr>
      <w:tr w:rsidR="00A46B36" w:rsidRPr="00171A80" w:rsidTr="00197D7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92" w:type="dxa"/>
            <w:noWrap/>
            <w:hideMark/>
          </w:tcPr>
          <w:p w:rsidR="00A46B36" w:rsidRPr="00171A80" w:rsidRDefault="00A46B36" w:rsidP="00DE6DAA">
            <w:pPr>
              <w:spacing w:after="0"/>
              <w:ind w:firstLine="0"/>
              <w:jc w:val="left"/>
              <w:rPr>
                <w:rFonts w:asciiTheme="majorHAnsi" w:eastAsia="Calibri" w:hAnsiTheme="majorHAnsi" w:cs="Times New Roman"/>
                <w:b w:val="0"/>
                <w:bCs/>
                <w:color w:val="7F7F7F" w:themeColor="text1" w:themeTint="80"/>
                <w:sz w:val="14"/>
                <w:szCs w:val="14"/>
                <w:lang w:val="sr-Cyrl-RS"/>
              </w:rPr>
            </w:pPr>
            <w:r w:rsidRPr="00171A80">
              <w:rPr>
                <w:rFonts w:asciiTheme="majorHAnsi" w:eastAsia="Calibri" w:hAnsiTheme="majorHAnsi" w:cs="Times New Roman"/>
                <w:b w:val="0"/>
                <w:bCs/>
                <w:color w:val="7F7F7F" w:themeColor="text1" w:themeTint="80"/>
                <w:sz w:val="14"/>
                <w:szCs w:val="14"/>
                <w:lang w:val="sr-Cyrl-RS"/>
              </w:rPr>
              <w:t>Приходи</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39,7</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40,9</w:t>
            </w:r>
          </w:p>
        </w:tc>
        <w:tc>
          <w:tcPr>
            <w:tcW w:w="559" w:type="dxa"/>
            <w:noWrap/>
            <w:vAlign w:val="center"/>
            <w:hideMark/>
          </w:tcPr>
          <w:p w:rsidR="00A46B36" w:rsidRPr="00171A80" w:rsidRDefault="001A4477"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40,3</w:t>
            </w:r>
          </w:p>
        </w:tc>
        <w:tc>
          <w:tcPr>
            <w:tcW w:w="559" w:type="dxa"/>
            <w:noWrap/>
            <w:vAlign w:val="center"/>
            <w:hideMark/>
          </w:tcPr>
          <w:p w:rsidR="00A46B36" w:rsidRPr="00171A80" w:rsidRDefault="001A4477"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39,1</w:t>
            </w:r>
          </w:p>
        </w:tc>
        <w:tc>
          <w:tcPr>
            <w:tcW w:w="559" w:type="dxa"/>
            <w:noWrap/>
            <w:vAlign w:val="center"/>
            <w:hideMark/>
          </w:tcPr>
          <w:p w:rsidR="00A46B36" w:rsidRPr="00171A80" w:rsidRDefault="001A4477"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38,2</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38,2</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38,4</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38,5</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38,7</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38,8</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39,0</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39,1</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39,3</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39,4</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39,6</w:t>
            </w:r>
          </w:p>
        </w:tc>
        <w:tc>
          <w:tcPr>
            <w:tcW w:w="566"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39,8</w:t>
            </w:r>
          </w:p>
        </w:tc>
        <w:tc>
          <w:tcPr>
            <w:tcW w:w="566"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39,9</w:t>
            </w:r>
          </w:p>
        </w:tc>
        <w:tc>
          <w:tcPr>
            <w:tcW w:w="566"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40,1</w:t>
            </w:r>
          </w:p>
        </w:tc>
      </w:tr>
      <w:tr w:rsidR="00A46B36" w:rsidRPr="00171A80" w:rsidTr="00197D7D">
        <w:trPr>
          <w:trHeight w:val="303"/>
        </w:trPr>
        <w:tc>
          <w:tcPr>
            <w:cnfStyle w:val="001000000000" w:firstRow="0" w:lastRow="0" w:firstColumn="1" w:lastColumn="0" w:oddVBand="0" w:evenVBand="0" w:oddHBand="0" w:evenHBand="0" w:firstRowFirstColumn="0" w:firstRowLastColumn="0" w:lastRowFirstColumn="0" w:lastRowLastColumn="0"/>
            <w:tcW w:w="1292" w:type="dxa"/>
            <w:noWrap/>
            <w:hideMark/>
          </w:tcPr>
          <w:p w:rsidR="00A46B36" w:rsidRPr="00171A80" w:rsidRDefault="00A46B36" w:rsidP="00DE6DAA">
            <w:pPr>
              <w:spacing w:after="0"/>
              <w:ind w:firstLine="0"/>
              <w:jc w:val="left"/>
              <w:rPr>
                <w:rFonts w:asciiTheme="majorHAnsi" w:eastAsia="Calibri" w:hAnsiTheme="majorHAnsi" w:cs="Times New Roman"/>
                <w:b w:val="0"/>
                <w:bCs/>
                <w:color w:val="7F7F7F" w:themeColor="text1" w:themeTint="80"/>
                <w:sz w:val="14"/>
                <w:szCs w:val="14"/>
                <w:lang w:val="sr-Cyrl-RS"/>
              </w:rPr>
            </w:pPr>
            <w:r w:rsidRPr="00171A80">
              <w:rPr>
                <w:rFonts w:asciiTheme="majorHAnsi" w:eastAsia="Calibri" w:hAnsiTheme="majorHAnsi" w:cs="Times New Roman"/>
                <w:b w:val="0"/>
                <w:bCs/>
                <w:color w:val="7F7F7F" w:themeColor="text1" w:themeTint="80"/>
                <w:sz w:val="14"/>
                <w:szCs w:val="14"/>
                <w:lang w:val="sr-Cyrl-RS"/>
              </w:rPr>
              <w:t>Расходи</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45,0</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48,9</w:t>
            </w:r>
          </w:p>
        </w:tc>
        <w:tc>
          <w:tcPr>
            <w:tcW w:w="559" w:type="dxa"/>
            <w:noWrap/>
            <w:vAlign w:val="center"/>
          </w:tcPr>
          <w:p w:rsidR="00A46B36" w:rsidRPr="00171A80" w:rsidRDefault="001A4477"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46,1</w:t>
            </w:r>
          </w:p>
        </w:tc>
        <w:tc>
          <w:tcPr>
            <w:tcW w:w="559" w:type="dxa"/>
            <w:noWrap/>
            <w:vAlign w:val="center"/>
          </w:tcPr>
          <w:p w:rsidR="00A46B36" w:rsidRPr="00171A80" w:rsidRDefault="001A4477"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43,8</w:t>
            </w:r>
          </w:p>
        </w:tc>
        <w:tc>
          <w:tcPr>
            <w:tcW w:w="559" w:type="dxa"/>
            <w:noWrap/>
            <w:vAlign w:val="center"/>
          </w:tcPr>
          <w:p w:rsidR="00A46B36" w:rsidRPr="00171A80" w:rsidRDefault="001A4477"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41,9</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41,1</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40,6</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40,2</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40,0</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39,7</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39,4</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39,1</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39,3</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39,4</w:t>
            </w:r>
          </w:p>
        </w:tc>
        <w:tc>
          <w:tcPr>
            <w:tcW w:w="559"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39,6</w:t>
            </w:r>
          </w:p>
        </w:tc>
        <w:tc>
          <w:tcPr>
            <w:tcW w:w="566"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39,8</w:t>
            </w:r>
          </w:p>
        </w:tc>
        <w:tc>
          <w:tcPr>
            <w:tcW w:w="566"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40,0</w:t>
            </w:r>
          </w:p>
        </w:tc>
        <w:tc>
          <w:tcPr>
            <w:tcW w:w="566" w:type="dxa"/>
            <w:noWrap/>
            <w:vAlign w:val="center"/>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40,1</w:t>
            </w:r>
          </w:p>
        </w:tc>
      </w:tr>
      <w:tr w:rsidR="00A46B36" w:rsidRPr="00171A80" w:rsidTr="00197D7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92" w:type="dxa"/>
            <w:noWrap/>
            <w:hideMark/>
          </w:tcPr>
          <w:p w:rsidR="00A46B36" w:rsidRPr="00171A80" w:rsidRDefault="00A46B36" w:rsidP="00DE6DAA">
            <w:pPr>
              <w:spacing w:after="0"/>
              <w:ind w:firstLine="0"/>
              <w:jc w:val="left"/>
              <w:rPr>
                <w:rFonts w:asciiTheme="majorHAnsi" w:eastAsia="Calibri" w:hAnsiTheme="majorHAnsi" w:cs="Times New Roman"/>
                <w:b w:val="0"/>
                <w:bCs/>
                <w:i/>
                <w:iCs/>
                <w:color w:val="7F7F7F" w:themeColor="text1" w:themeTint="80"/>
                <w:sz w:val="14"/>
                <w:szCs w:val="14"/>
                <w:lang w:val="sr-Cyrl-RS"/>
              </w:rPr>
            </w:pPr>
            <w:r w:rsidRPr="00171A80">
              <w:rPr>
                <w:rFonts w:asciiTheme="majorHAnsi" w:eastAsia="Calibri" w:hAnsiTheme="majorHAnsi" w:cs="Times New Roman"/>
                <w:b w:val="0"/>
                <w:bCs/>
                <w:i/>
                <w:iCs/>
                <w:color w:val="7F7F7F" w:themeColor="text1" w:themeTint="80"/>
                <w:sz w:val="14"/>
                <w:szCs w:val="14"/>
                <w:lang w:val="sr-Cyrl-RS"/>
              </w:rPr>
              <w:t>прилагођавање расхода</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 </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3,9</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-2,9</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-2,3</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-1,8</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-0,7</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-0,6</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-0,4</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-0,3</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-0,3</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-0,3</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r w:rsidRPr="00171A80">
              <w:rPr>
                <w:rFonts w:asciiTheme="majorHAnsi" w:eastAsia="Calibri" w:hAnsiTheme="majorHAnsi" w:cs="Times New Roman"/>
                <w:i/>
                <w:iCs/>
                <w:color w:val="7F7F7F" w:themeColor="text1" w:themeTint="80"/>
                <w:sz w:val="14"/>
                <w:szCs w:val="14"/>
                <w:lang w:val="sr-Cyrl-RS"/>
              </w:rPr>
              <w:t>-0,3</w:t>
            </w:r>
          </w:p>
        </w:tc>
        <w:tc>
          <w:tcPr>
            <w:tcW w:w="559" w:type="dxa"/>
            <w:noWrap/>
            <w:vAlign w:val="center"/>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p>
        </w:tc>
        <w:tc>
          <w:tcPr>
            <w:tcW w:w="559" w:type="dxa"/>
            <w:noWrap/>
            <w:vAlign w:val="center"/>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p>
        </w:tc>
        <w:tc>
          <w:tcPr>
            <w:tcW w:w="559" w:type="dxa"/>
            <w:noWrap/>
            <w:vAlign w:val="center"/>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p>
        </w:tc>
        <w:tc>
          <w:tcPr>
            <w:tcW w:w="566" w:type="dxa"/>
            <w:noWrap/>
            <w:vAlign w:val="center"/>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p>
        </w:tc>
        <w:tc>
          <w:tcPr>
            <w:tcW w:w="566" w:type="dxa"/>
            <w:noWrap/>
            <w:vAlign w:val="center"/>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p>
        </w:tc>
        <w:tc>
          <w:tcPr>
            <w:tcW w:w="566" w:type="dxa"/>
            <w:noWrap/>
            <w:vAlign w:val="center"/>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7F7F7F" w:themeColor="text1" w:themeTint="80"/>
                <w:sz w:val="14"/>
                <w:szCs w:val="14"/>
                <w:lang w:val="sr-Cyrl-RS"/>
              </w:rPr>
            </w:pPr>
          </w:p>
        </w:tc>
      </w:tr>
      <w:tr w:rsidR="00A46B36" w:rsidRPr="00171A80" w:rsidTr="00197D7D">
        <w:trPr>
          <w:trHeight w:val="303"/>
        </w:trPr>
        <w:tc>
          <w:tcPr>
            <w:cnfStyle w:val="001000000000" w:firstRow="0" w:lastRow="0" w:firstColumn="1" w:lastColumn="0" w:oddVBand="0" w:evenVBand="0" w:oddHBand="0" w:evenHBand="0" w:firstRowFirstColumn="0" w:firstRowLastColumn="0" w:lastRowFirstColumn="0" w:lastRowLastColumn="0"/>
            <w:tcW w:w="1292" w:type="dxa"/>
            <w:noWrap/>
            <w:hideMark/>
          </w:tcPr>
          <w:p w:rsidR="00A46B36" w:rsidRPr="00171A80" w:rsidRDefault="00A46B36" w:rsidP="00DE6DAA">
            <w:pPr>
              <w:spacing w:after="0"/>
              <w:ind w:firstLine="0"/>
              <w:jc w:val="left"/>
              <w:rPr>
                <w:rFonts w:asciiTheme="majorHAnsi" w:eastAsia="Calibri" w:hAnsiTheme="majorHAnsi" w:cs="Times New Roman"/>
                <w:b w:val="0"/>
                <w:bCs/>
                <w:color w:val="7F7F7F" w:themeColor="text1" w:themeTint="80"/>
                <w:sz w:val="14"/>
                <w:szCs w:val="14"/>
                <w:lang w:val="sr-Cyrl-RS"/>
              </w:rPr>
            </w:pPr>
            <w:r w:rsidRPr="00171A80">
              <w:rPr>
                <w:rFonts w:asciiTheme="majorHAnsi" w:eastAsia="Calibri" w:hAnsiTheme="majorHAnsi" w:cs="Times New Roman"/>
                <w:b w:val="0"/>
                <w:bCs/>
                <w:color w:val="7F7F7F" w:themeColor="text1" w:themeTint="80"/>
                <w:sz w:val="14"/>
                <w:szCs w:val="14"/>
                <w:lang w:val="sr-Cyrl-RS"/>
              </w:rPr>
              <w:t xml:space="preserve">Фискални резултат </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-5,3</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-7,9</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-5,9</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-4,7</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-3,8</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-2,9</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-2,2</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-1,7</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-1,3</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-0,9</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-0,4</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0,0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0,0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0,0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0,0</w:t>
            </w:r>
          </w:p>
        </w:tc>
        <w:tc>
          <w:tcPr>
            <w:tcW w:w="566"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0,0</w:t>
            </w:r>
          </w:p>
        </w:tc>
        <w:tc>
          <w:tcPr>
            <w:tcW w:w="566"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0,0</w:t>
            </w:r>
          </w:p>
        </w:tc>
        <w:tc>
          <w:tcPr>
            <w:tcW w:w="566"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0,0</w:t>
            </w:r>
          </w:p>
        </w:tc>
      </w:tr>
      <w:tr w:rsidR="00A46B36" w:rsidRPr="00171A80" w:rsidTr="00197D7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92" w:type="dxa"/>
            <w:noWrap/>
            <w:hideMark/>
          </w:tcPr>
          <w:p w:rsidR="00A46B36" w:rsidRPr="00171A80" w:rsidRDefault="00A46B36" w:rsidP="00DE6DAA">
            <w:pPr>
              <w:spacing w:after="0"/>
              <w:ind w:firstLine="0"/>
              <w:jc w:val="left"/>
              <w:rPr>
                <w:rFonts w:asciiTheme="majorHAnsi" w:eastAsia="Calibri" w:hAnsiTheme="majorHAnsi" w:cs="Times New Roman"/>
                <w:b w:val="0"/>
                <w:bCs/>
                <w:color w:val="7F7F7F" w:themeColor="text1" w:themeTint="80"/>
                <w:sz w:val="14"/>
                <w:szCs w:val="14"/>
                <w:lang w:val="sr-Cyrl-RS"/>
              </w:rPr>
            </w:pPr>
            <w:r w:rsidRPr="00171A80">
              <w:rPr>
                <w:rFonts w:asciiTheme="majorHAnsi" w:eastAsia="Calibri" w:hAnsiTheme="majorHAnsi" w:cs="Times New Roman"/>
                <w:b w:val="0"/>
                <w:bCs/>
                <w:color w:val="7F7F7F" w:themeColor="text1" w:themeTint="80"/>
                <w:sz w:val="14"/>
                <w:szCs w:val="14"/>
                <w:lang w:val="sr-Cyrl-RS"/>
              </w:rPr>
              <w:t> </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 </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66"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66"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p>
        </w:tc>
        <w:tc>
          <w:tcPr>
            <w:tcW w:w="566"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 </w:t>
            </w:r>
          </w:p>
        </w:tc>
      </w:tr>
      <w:tr w:rsidR="00A46B36" w:rsidRPr="00171A80" w:rsidTr="00197D7D">
        <w:trPr>
          <w:trHeight w:val="303"/>
        </w:trPr>
        <w:tc>
          <w:tcPr>
            <w:cnfStyle w:val="001000000000" w:firstRow="0" w:lastRow="0" w:firstColumn="1" w:lastColumn="0" w:oddVBand="0" w:evenVBand="0" w:oddHBand="0" w:evenHBand="0" w:firstRowFirstColumn="0" w:firstRowLastColumn="0" w:lastRowFirstColumn="0" w:lastRowLastColumn="0"/>
            <w:tcW w:w="1292" w:type="dxa"/>
            <w:noWrap/>
            <w:hideMark/>
          </w:tcPr>
          <w:p w:rsidR="00A46B36" w:rsidRPr="00171A80" w:rsidRDefault="00A46B36" w:rsidP="00DE6DAA">
            <w:pPr>
              <w:spacing w:after="0"/>
              <w:ind w:firstLine="0"/>
              <w:jc w:val="left"/>
              <w:rPr>
                <w:rFonts w:asciiTheme="majorHAnsi" w:eastAsia="Calibri" w:hAnsiTheme="majorHAnsi" w:cs="Times New Roman"/>
                <w:b w:val="0"/>
                <w:bCs/>
                <w:color w:val="7F7F7F" w:themeColor="text1" w:themeTint="80"/>
                <w:sz w:val="14"/>
                <w:szCs w:val="14"/>
                <w:lang w:val="sr-Cyrl-RS"/>
              </w:rPr>
            </w:pPr>
            <w:r w:rsidRPr="00171A80">
              <w:rPr>
                <w:rFonts w:asciiTheme="majorHAnsi" w:eastAsia="Calibri" w:hAnsiTheme="majorHAnsi" w:cs="Times New Roman"/>
                <w:b w:val="0"/>
                <w:bCs/>
                <w:color w:val="7F7F7F" w:themeColor="text1" w:themeTint="80"/>
                <w:sz w:val="14"/>
                <w:szCs w:val="14"/>
                <w:lang w:val="sr-Cyrl-RS"/>
              </w:rPr>
              <w:t>Јавни дуг у БДП</w:t>
            </w:r>
          </w:p>
        </w:tc>
        <w:tc>
          <w:tcPr>
            <w:tcW w:w="559" w:type="dxa"/>
            <w:noWrap/>
            <w:vAlign w:val="center"/>
            <w:hideMark/>
          </w:tcPr>
          <w:p w:rsidR="00A46B36" w:rsidRPr="00171A80" w:rsidRDefault="00F232D7"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61,1</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69,9</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77,7</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79,2</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78,7</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77,3</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75,2</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72,8</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70,0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67,1</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64,0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60,7</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57,6</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54,5</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51,8</w:t>
            </w:r>
          </w:p>
        </w:tc>
        <w:tc>
          <w:tcPr>
            <w:tcW w:w="566"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49,1</w:t>
            </w:r>
          </w:p>
        </w:tc>
        <w:tc>
          <w:tcPr>
            <w:tcW w:w="566"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46,7</w:t>
            </w:r>
          </w:p>
        </w:tc>
        <w:tc>
          <w:tcPr>
            <w:tcW w:w="566"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44,4</w:t>
            </w:r>
          </w:p>
        </w:tc>
      </w:tr>
      <w:tr w:rsidR="00A46B36" w:rsidRPr="00171A80" w:rsidTr="00197D7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92" w:type="dxa"/>
            <w:noWrap/>
            <w:hideMark/>
          </w:tcPr>
          <w:p w:rsidR="00A46B36" w:rsidRPr="00171A80" w:rsidRDefault="00A46B36" w:rsidP="00DE6DAA">
            <w:pPr>
              <w:spacing w:after="0"/>
              <w:ind w:firstLine="0"/>
              <w:jc w:val="left"/>
              <w:rPr>
                <w:rFonts w:asciiTheme="majorHAnsi" w:eastAsia="Calibri" w:hAnsiTheme="majorHAnsi" w:cs="Times New Roman"/>
                <w:b w:val="0"/>
                <w:bCs/>
                <w:color w:val="7F7F7F" w:themeColor="text1" w:themeTint="80"/>
                <w:sz w:val="14"/>
                <w:szCs w:val="14"/>
                <w:lang w:val="sr-Cyrl-RS"/>
              </w:rPr>
            </w:pPr>
            <w:r w:rsidRPr="00171A80">
              <w:rPr>
                <w:rFonts w:asciiTheme="majorHAnsi" w:eastAsia="Calibri" w:hAnsiTheme="majorHAnsi" w:cs="Times New Roman"/>
                <w:b w:val="0"/>
                <w:bCs/>
                <w:color w:val="7F7F7F" w:themeColor="text1" w:themeTint="80"/>
                <w:sz w:val="14"/>
                <w:szCs w:val="14"/>
                <w:lang w:val="sr-Cyrl-RS"/>
              </w:rPr>
              <w:t>Јавни дуг у БДП, без примене мера</w:t>
            </w:r>
          </w:p>
        </w:tc>
        <w:tc>
          <w:tcPr>
            <w:tcW w:w="559" w:type="dxa"/>
            <w:noWrap/>
            <w:vAlign w:val="center"/>
            <w:hideMark/>
          </w:tcPr>
          <w:p w:rsidR="00A46B36" w:rsidRPr="00171A80" w:rsidRDefault="00F232D7"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61,1</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69,9</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78,7</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83,1</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86,1</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97,4</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87,4</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88,6</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89,8</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97,1</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92,4</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93,7</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94,9</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96,2</w:t>
            </w:r>
          </w:p>
        </w:tc>
        <w:tc>
          <w:tcPr>
            <w:tcW w:w="559"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97,4</w:t>
            </w:r>
          </w:p>
        </w:tc>
        <w:tc>
          <w:tcPr>
            <w:tcW w:w="566"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98,6</w:t>
            </w:r>
          </w:p>
        </w:tc>
        <w:tc>
          <w:tcPr>
            <w:tcW w:w="566"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99,6</w:t>
            </w:r>
          </w:p>
        </w:tc>
        <w:tc>
          <w:tcPr>
            <w:tcW w:w="566" w:type="dxa"/>
            <w:noWrap/>
            <w:vAlign w:val="center"/>
            <w:hideMark/>
          </w:tcPr>
          <w:p w:rsidR="00A46B36" w:rsidRPr="00171A80" w:rsidRDefault="00A46B36" w:rsidP="00A46B36">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100,7</w:t>
            </w:r>
          </w:p>
        </w:tc>
      </w:tr>
      <w:tr w:rsidR="00A46B36" w:rsidRPr="00171A80" w:rsidTr="00197D7D">
        <w:trPr>
          <w:trHeight w:val="318"/>
        </w:trPr>
        <w:tc>
          <w:tcPr>
            <w:cnfStyle w:val="001000000000" w:firstRow="0" w:lastRow="0" w:firstColumn="1" w:lastColumn="0" w:oddVBand="0" w:evenVBand="0" w:oddHBand="0" w:evenHBand="0" w:firstRowFirstColumn="0" w:firstRowLastColumn="0" w:lastRowFirstColumn="0" w:lastRowLastColumn="0"/>
            <w:tcW w:w="1292" w:type="dxa"/>
            <w:noWrap/>
            <w:hideMark/>
          </w:tcPr>
          <w:p w:rsidR="00A46B36" w:rsidRPr="00171A80" w:rsidRDefault="00A46B36" w:rsidP="00DE6DAA">
            <w:pPr>
              <w:spacing w:after="0"/>
              <w:ind w:firstLine="0"/>
              <w:jc w:val="left"/>
              <w:rPr>
                <w:rFonts w:asciiTheme="majorHAnsi" w:eastAsia="Calibri" w:hAnsiTheme="majorHAnsi" w:cs="Times New Roman"/>
                <w:b w:val="0"/>
                <w:bCs/>
                <w:color w:val="7F7F7F" w:themeColor="text1" w:themeTint="80"/>
                <w:sz w:val="14"/>
                <w:szCs w:val="14"/>
                <w:lang w:val="sr-Cyrl-RS"/>
              </w:rPr>
            </w:pPr>
            <w:r w:rsidRPr="00171A80">
              <w:rPr>
                <w:rFonts w:asciiTheme="majorHAnsi" w:eastAsia="Calibri" w:hAnsiTheme="majorHAnsi" w:cs="Times New Roman"/>
                <w:b w:val="0"/>
                <w:bCs/>
                <w:color w:val="7F7F7F" w:themeColor="text1" w:themeTint="80"/>
                <w:sz w:val="14"/>
                <w:szCs w:val="14"/>
                <w:lang w:val="sr-Cyrl-RS"/>
              </w:rPr>
              <w:t>БДП реални раст %</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2,6</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-2,0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-0,5</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1,5</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2,0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59"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66"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66"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c>
          <w:tcPr>
            <w:tcW w:w="566" w:type="dxa"/>
            <w:noWrap/>
            <w:vAlign w:val="center"/>
            <w:hideMark/>
          </w:tcPr>
          <w:p w:rsidR="00A46B36" w:rsidRPr="00171A80" w:rsidRDefault="00A46B36" w:rsidP="00A46B36">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7F7F7F" w:themeColor="text1" w:themeTint="80"/>
                <w:sz w:val="14"/>
                <w:szCs w:val="14"/>
                <w:lang w:val="sr-Cyrl-RS"/>
              </w:rPr>
            </w:pPr>
            <w:r w:rsidRPr="00171A80">
              <w:rPr>
                <w:rFonts w:asciiTheme="majorHAnsi" w:eastAsia="Calibri" w:hAnsiTheme="majorHAnsi" w:cs="Times New Roman"/>
                <w:color w:val="7F7F7F" w:themeColor="text1" w:themeTint="80"/>
                <w:sz w:val="14"/>
                <w:szCs w:val="14"/>
                <w:lang w:val="sr-Cyrl-RS"/>
              </w:rPr>
              <w:t>3,0</w:t>
            </w:r>
          </w:p>
        </w:tc>
      </w:tr>
    </w:tbl>
    <w:p w:rsidR="00EE5FC0" w:rsidRDefault="00EE5FC0" w:rsidP="00F87228">
      <w:pPr>
        <w:spacing w:after="0"/>
        <w:ind w:firstLine="0"/>
        <w:rPr>
          <w:rFonts w:asciiTheme="majorHAnsi" w:hAnsiTheme="majorHAnsi"/>
          <w:color w:val="7F7F7F" w:themeColor="text1" w:themeTint="80"/>
          <w:sz w:val="21"/>
          <w:szCs w:val="21"/>
          <w:lang w:val="sr-Cyrl-RS"/>
        </w:rPr>
      </w:pPr>
    </w:p>
    <w:p w:rsidR="00A46B36" w:rsidRPr="00171A80" w:rsidRDefault="00E346C9" w:rsidP="00A46B36">
      <w:pPr>
        <w:ind w:firstLine="708"/>
        <w:rPr>
          <w:rFonts w:asciiTheme="majorHAnsi" w:hAnsiTheme="majorHAnsi"/>
          <w:color w:val="7F7F7F" w:themeColor="text1" w:themeTint="80"/>
          <w:sz w:val="21"/>
          <w:szCs w:val="21"/>
          <w:lang w:val="sr-Cyrl-RS"/>
        </w:rPr>
      </w:pPr>
      <w:r w:rsidRPr="00E346C9">
        <w:rPr>
          <w:rFonts w:asciiTheme="majorHAnsi" w:hAnsiTheme="majorHAnsi"/>
          <w:color w:val="7F7F7F" w:themeColor="text1" w:themeTint="80"/>
          <w:sz w:val="21"/>
          <w:szCs w:val="21"/>
          <w:lang w:val="sr-Cyrl-RS"/>
        </w:rPr>
        <w:t>Резултати ове симулације јасно говоре да је и након 2017. године потребно предузети даље мере на смањењу фискалног дефицита, јер у супротном не би дошло до пада учешћа јавног дуга у БДП. Највећи терет фискалног прилагођавања је на почетку посматраног периода уз постепено опадање. Укупно кумулативно прилагођавање од 2015. до 2024. године на страни расхода је око 10 п.п. или око 1 п.п. годишње у просеку. Досадашње искуство говори да је у дугом року овај ниво консолидације на горњој граници могућности, али изводљив. Значајнији допринос смањењу расхода у каснијем периоду, услед постепеног опадања нивоа дуга, омогућава смањење расхода за камате, што представља позитивну промену у структури расхода. Кретање расхода за камате у периоду од 2014 - 2017. године у значајној мери умањује ефекте уштеда постигнуте на другим позицијама, и њихово смањење, као најнепродуктивнијег расходног облика, представља приоритет. Значајну улогу у процесу смањења учешћа јавног дуга у БДП имаће свакако и убрзање привредног раста у наредном периоду, повећање запослености и раст потрошње, који ће заједно имати позитиван утицај на кретање јавних прихода</w:t>
      </w:r>
      <w:r w:rsidR="00A46B36" w:rsidRPr="00171A80">
        <w:rPr>
          <w:rFonts w:asciiTheme="majorHAnsi" w:hAnsiTheme="majorHAnsi"/>
          <w:color w:val="7F7F7F" w:themeColor="text1" w:themeTint="80"/>
          <w:sz w:val="21"/>
          <w:szCs w:val="21"/>
          <w:lang w:val="sr-Cyrl-RS"/>
        </w:rPr>
        <w:t xml:space="preserve">. </w:t>
      </w:r>
    </w:p>
    <w:p w:rsidR="00A46B36" w:rsidRPr="000A04FB" w:rsidRDefault="00A46B36" w:rsidP="000A04FB">
      <w:pPr>
        <w:spacing w:after="0"/>
        <w:ind w:firstLine="0"/>
        <w:jc w:val="center"/>
        <w:rPr>
          <w:rFonts w:asciiTheme="majorHAnsi" w:hAnsiTheme="majorHAnsi"/>
          <w:color w:val="7F7F7F" w:themeColor="text1" w:themeTint="80"/>
          <w:sz w:val="21"/>
          <w:szCs w:val="21"/>
          <w:lang w:val="sr-Cyrl-RS"/>
        </w:rPr>
      </w:pPr>
      <w:r w:rsidRPr="00171A80">
        <w:rPr>
          <w:rFonts w:asciiTheme="majorHAnsi" w:hAnsiTheme="majorHAnsi"/>
          <w:b/>
          <w:color w:val="7F7F7F" w:themeColor="text1" w:themeTint="80"/>
          <w:sz w:val="21"/>
          <w:szCs w:val="21"/>
          <w:lang w:val="sr-Cyrl-RS"/>
        </w:rPr>
        <w:t xml:space="preserve">Графикон </w:t>
      </w:r>
      <w:r w:rsidR="003F6B80" w:rsidRPr="00171A80">
        <w:rPr>
          <w:rFonts w:asciiTheme="majorHAnsi" w:hAnsiTheme="majorHAnsi"/>
          <w:b/>
          <w:color w:val="7F7F7F" w:themeColor="text1" w:themeTint="80"/>
          <w:sz w:val="21"/>
          <w:szCs w:val="21"/>
          <w:lang w:val="sr-Cyrl-RS"/>
        </w:rPr>
        <w:t>12</w:t>
      </w:r>
      <w:r w:rsidRPr="00171A80">
        <w:rPr>
          <w:rFonts w:asciiTheme="majorHAnsi" w:hAnsiTheme="majorHAnsi"/>
          <w:b/>
          <w:color w:val="7F7F7F" w:themeColor="text1" w:themeTint="80"/>
          <w:sz w:val="21"/>
          <w:szCs w:val="21"/>
          <w:lang w:val="sr-Cyrl-RS"/>
        </w:rPr>
        <w:t>. Поређење различитих сценарија и утицај на висину јавног дуга</w:t>
      </w:r>
    </w:p>
    <w:p w:rsidR="00A46B36" w:rsidRPr="00171A80" w:rsidRDefault="00777637" w:rsidP="00A46B36">
      <w:pPr>
        <w:ind w:firstLine="0"/>
        <w:rPr>
          <w:rFonts w:asciiTheme="majorHAnsi" w:eastAsia="Calibri" w:hAnsiTheme="majorHAnsi" w:cs="Times New Roman"/>
          <w:bCs w:val="0"/>
          <w:sz w:val="21"/>
          <w:szCs w:val="22"/>
          <w:lang w:val="sr-Cyrl-RS"/>
        </w:rPr>
      </w:pPr>
      <w:r w:rsidRPr="00171A80">
        <w:rPr>
          <w:noProof/>
          <w:lang w:val="en-US"/>
        </w:rPr>
        <w:drawing>
          <wp:inline distT="0" distB="0" distL="0" distR="0" wp14:anchorId="4A1858B0" wp14:editId="230F299D">
            <wp:extent cx="5731510" cy="3686175"/>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346C9" w:rsidRPr="00E346C9" w:rsidRDefault="00E346C9" w:rsidP="00E346C9">
      <w:pPr>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bCs w:val="0"/>
          <w:color w:val="7F7F7F" w:themeColor="text1" w:themeTint="80"/>
          <w:sz w:val="21"/>
          <w:szCs w:val="22"/>
          <w:lang w:val="sr-Cyrl-RS"/>
        </w:rPr>
        <w:lastRenderedPageBreak/>
        <w:t xml:space="preserve">На графикону су приказане симулације алтернативних сценарија кретања јавног дуга, у зависности од промена одређених претпоставки у основном сценарију. Ради бољег поређења извршена је варијација само једне варијабле, као фактора ризика који утиче на ниво дуга. У стварности су могуће многобројне комбинације кретања различитих фактора који делују на јавни дуг. </w:t>
      </w:r>
    </w:p>
    <w:p w:rsidR="00E346C9" w:rsidRPr="00E346C9" w:rsidRDefault="00E346C9" w:rsidP="00E346C9">
      <w:pPr>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bCs w:val="0"/>
          <w:color w:val="7F7F7F" w:themeColor="text1" w:themeTint="80"/>
          <w:sz w:val="21"/>
          <w:szCs w:val="22"/>
          <w:lang w:val="sr-Cyrl-RS"/>
        </w:rPr>
        <w:t xml:space="preserve">Сценарио </w:t>
      </w:r>
      <w:r w:rsidRPr="00E346C9">
        <w:rPr>
          <w:rFonts w:asciiTheme="majorHAnsi" w:eastAsia="Calibri" w:hAnsiTheme="majorHAnsi" w:cs="Times New Roman"/>
          <w:bCs w:val="0"/>
          <w:i/>
          <w:color w:val="7F7F7F" w:themeColor="text1" w:themeTint="80"/>
          <w:sz w:val="21"/>
          <w:szCs w:val="22"/>
          <w:lang w:val="sr-Cyrl-RS"/>
        </w:rPr>
        <w:t>„успорени раст”</w:t>
      </w:r>
      <w:r w:rsidRPr="00E346C9">
        <w:rPr>
          <w:rFonts w:asciiTheme="majorHAnsi" w:eastAsia="Calibri" w:hAnsiTheme="majorHAnsi" w:cs="Times New Roman"/>
          <w:bCs w:val="0"/>
          <w:color w:val="7F7F7F" w:themeColor="text1" w:themeTint="80"/>
          <w:sz w:val="21"/>
          <w:szCs w:val="22"/>
          <w:lang w:val="sr-Cyrl-RS"/>
        </w:rPr>
        <w:t xml:space="preserve"> подразумева просечан реални раст БДП од око 2% у посматраном периоду уз исти ниво фискалног дефицита, што не значи и исти ниво фискалног прилагођавања. На крају периода јавни дуг достиже ниво од 62,9%. Опасност коју подразумева овакав сценарио продуженог успореног раста (који у тренутним околностима не делује толико скромно), лежи у томе што и поред истог нивоа фискалног прилагођавања на страни дефицита, ниво јавног дуга не пада довољно брзо. Са друге стране, успорени раст сам по себи продукује више нивое фискалног дефицита, па су неопходна још већа смањења расхода како би се задржала ионако неповољна путања. Присутан је ризик улазака у спиралу успореног раста услед високог дефицита и неопходности мера штедње. </w:t>
      </w:r>
    </w:p>
    <w:p w:rsidR="00E346C9" w:rsidRPr="00E346C9" w:rsidRDefault="00E346C9" w:rsidP="00E346C9">
      <w:pPr>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bCs w:val="0"/>
          <w:color w:val="7F7F7F" w:themeColor="text1" w:themeTint="80"/>
          <w:sz w:val="21"/>
          <w:szCs w:val="22"/>
          <w:lang w:val="sr-Cyrl-RS"/>
        </w:rPr>
        <w:t xml:space="preserve">Сценарио </w:t>
      </w:r>
      <w:r w:rsidRPr="00E346C9">
        <w:rPr>
          <w:rFonts w:asciiTheme="majorHAnsi" w:eastAsia="Calibri" w:hAnsiTheme="majorHAnsi" w:cs="Times New Roman"/>
          <w:bCs w:val="0"/>
          <w:i/>
          <w:color w:val="7F7F7F" w:themeColor="text1" w:themeTint="80"/>
          <w:sz w:val="21"/>
          <w:szCs w:val="22"/>
          <w:lang w:val="sr-Cyrl-RS"/>
        </w:rPr>
        <w:t>„нема консолидације након 2018. године”</w:t>
      </w:r>
      <w:r w:rsidRPr="00E346C9">
        <w:rPr>
          <w:rFonts w:asciiTheme="majorHAnsi" w:eastAsia="Calibri" w:hAnsiTheme="majorHAnsi" w:cs="Times New Roman"/>
          <w:bCs w:val="0"/>
          <w:color w:val="7F7F7F" w:themeColor="text1" w:themeTint="80"/>
          <w:sz w:val="21"/>
          <w:szCs w:val="22"/>
          <w:lang w:val="sr-Cyrl-RS"/>
        </w:rPr>
        <w:t xml:space="preserve"> подразумева одсуство даљих мера на смањењу фискалног дефицита, при чему се он у посматраном периоду не спушта испод 3,7% БДП. У овом случају не долази до смањења нивоа учешћа јавног дуга и поред претходно спроведених мера фискалног прилагођавања у периоду од 2015 - 2017. године. У случају комбинације овог и претходног сценарија ниво дуга попримио би још неповољнију путању.</w:t>
      </w:r>
    </w:p>
    <w:p w:rsidR="00E346C9" w:rsidRPr="00E346C9" w:rsidRDefault="00E346C9" w:rsidP="00E346C9">
      <w:pPr>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bCs w:val="0"/>
          <w:color w:val="7F7F7F" w:themeColor="text1" w:themeTint="80"/>
          <w:sz w:val="21"/>
          <w:szCs w:val="22"/>
          <w:lang w:val="sr-Cyrl-RS"/>
        </w:rPr>
        <w:t xml:space="preserve">Сценарио </w:t>
      </w:r>
      <w:r w:rsidRPr="00E346C9">
        <w:rPr>
          <w:rFonts w:asciiTheme="majorHAnsi" w:eastAsia="Calibri" w:hAnsiTheme="majorHAnsi" w:cs="Times New Roman"/>
          <w:bCs w:val="0"/>
          <w:i/>
          <w:color w:val="7F7F7F" w:themeColor="text1" w:themeTint="80"/>
          <w:sz w:val="21"/>
          <w:szCs w:val="22"/>
          <w:lang w:val="sr-Cyrl-RS"/>
        </w:rPr>
        <w:t>„више издате гаранције”</w:t>
      </w:r>
      <w:r w:rsidRPr="00E346C9">
        <w:rPr>
          <w:rFonts w:asciiTheme="majorHAnsi" w:eastAsia="Calibri" w:hAnsiTheme="majorHAnsi" w:cs="Times New Roman"/>
          <w:bCs w:val="0"/>
          <w:color w:val="7F7F7F" w:themeColor="text1" w:themeTint="80"/>
          <w:sz w:val="21"/>
          <w:szCs w:val="22"/>
          <w:lang w:val="sr-Cyrl-RS"/>
        </w:rPr>
        <w:t xml:space="preserve"> подразумева напуштање мере која се односи на прираст нето издатих гаранција. У овом случају уведена је претпоставка о годишњем нето прирасту од око 1%, што задржава ниво нето прираста издатих гаранција, који је присутан у периоду пре 2014. године. На крају посматраног периода ниво јавног дуга виши је за око 10% БДП. Евидентно је да се бројни позитивни ефекти могу остварити бољом контролом и увођењем строжијих критеријума за издавање нових гаранција.</w:t>
      </w:r>
    </w:p>
    <w:p w:rsidR="00E346C9" w:rsidRPr="00E346C9" w:rsidRDefault="00E346C9" w:rsidP="00E346C9">
      <w:pPr>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bCs w:val="0"/>
          <w:color w:val="7F7F7F" w:themeColor="text1" w:themeTint="80"/>
          <w:sz w:val="21"/>
          <w:szCs w:val="22"/>
          <w:lang w:val="sr-Cyrl-RS"/>
        </w:rPr>
        <w:t xml:space="preserve">Сценарио </w:t>
      </w:r>
      <w:r w:rsidRPr="00E346C9">
        <w:rPr>
          <w:rFonts w:asciiTheme="majorHAnsi" w:eastAsia="Calibri" w:hAnsiTheme="majorHAnsi" w:cs="Times New Roman"/>
          <w:bCs w:val="0"/>
          <w:i/>
          <w:color w:val="7F7F7F" w:themeColor="text1" w:themeTint="80"/>
          <w:sz w:val="21"/>
          <w:szCs w:val="22"/>
          <w:lang w:val="sr-Cyrl-RS"/>
        </w:rPr>
        <w:t>„без примене мера”</w:t>
      </w:r>
      <w:r w:rsidRPr="00E346C9">
        <w:rPr>
          <w:rFonts w:asciiTheme="majorHAnsi" w:eastAsia="Calibri" w:hAnsiTheme="majorHAnsi" w:cs="Times New Roman"/>
          <w:bCs w:val="0"/>
          <w:color w:val="7F7F7F" w:themeColor="text1" w:themeTint="80"/>
          <w:sz w:val="21"/>
          <w:szCs w:val="22"/>
          <w:lang w:val="sr-Cyrl-RS"/>
        </w:rPr>
        <w:t xml:space="preserve"> претпоставља другачију путању учешћа дуга и у периоду од 2015. до 2017. године. Почетни ниво дуга у 2015. години је виши за 1 п.п, а у 2017. години виши је за 7,4 п.п. Овај сценарио представља најлошију варијанту која подразумева одсуство мера фискалне консолидације у наредном трогодишњем периоду. Путања дуга која произилази из овог сценарија је најнеповољнија, има експлозивну путању и врло брзо достиже драматичне размере. Претпоставка је да се фискални дефицит одржава на нивоу из 2013. године од око 5% годишње док остали приказани сценарији претпостављају пуну примену мера бар до 2018. године, па се на овај начин најјасније приказују размере и утицај одсуства мера фискалне консолидације у наредне три године. </w:t>
      </w:r>
    </w:p>
    <w:p w:rsidR="00E346C9" w:rsidRPr="00E346C9" w:rsidRDefault="00E346C9" w:rsidP="00E346C9">
      <w:pPr>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bCs w:val="0"/>
          <w:color w:val="7F7F7F" w:themeColor="text1" w:themeTint="80"/>
          <w:sz w:val="21"/>
          <w:szCs w:val="22"/>
          <w:lang w:val="sr-Cyrl-RS"/>
        </w:rPr>
        <w:t>Претпоставке основног сценарија су доста ригорозне, подразумевају значајно смањење учешћа јавних расхода у БДП, одсуство прираста нето гаранција али и значајне константне стопе раста БДП. И поред тога спуштање учешћа дуга на законски ниво је спор и дуготрајан процес.</w:t>
      </w:r>
    </w:p>
    <w:p w:rsidR="00A46B36" w:rsidRPr="00171A80" w:rsidRDefault="00E346C9" w:rsidP="00E346C9">
      <w:pPr>
        <w:rPr>
          <w:rFonts w:asciiTheme="majorHAnsi" w:eastAsia="Calibri" w:hAnsiTheme="majorHAnsi" w:cs="Times New Roman"/>
          <w:bCs w:val="0"/>
          <w:color w:val="7F7F7F" w:themeColor="text1" w:themeTint="80"/>
          <w:sz w:val="21"/>
          <w:szCs w:val="22"/>
          <w:lang w:val="sr-Cyrl-RS"/>
        </w:rPr>
      </w:pPr>
      <w:r w:rsidRPr="00E346C9">
        <w:rPr>
          <w:rFonts w:asciiTheme="majorHAnsi" w:eastAsia="Calibri" w:hAnsiTheme="majorHAnsi" w:cs="Times New Roman"/>
          <w:bCs w:val="0"/>
          <w:color w:val="7F7F7F" w:themeColor="text1" w:themeTint="80"/>
          <w:sz w:val="21"/>
          <w:szCs w:val="22"/>
          <w:lang w:val="sr-Cyrl-RS"/>
        </w:rPr>
        <w:t>Поређења ради, уколико би циљ био да се ниво дуга смањи на 45% БДП у 2027. години (</w:t>
      </w:r>
      <w:r w:rsidR="00F74EED">
        <w:rPr>
          <w:rFonts w:asciiTheme="majorHAnsi" w:eastAsia="Calibri" w:hAnsiTheme="majorHAnsi" w:cs="Times New Roman"/>
          <w:bCs w:val="0"/>
          <w:color w:val="7F7F7F" w:themeColor="text1" w:themeTint="80"/>
          <w:sz w:val="21"/>
          <w:szCs w:val="22"/>
          <w:lang w:val="sr-Cyrl-RS"/>
        </w:rPr>
        <w:t>три</w:t>
      </w:r>
      <w:r w:rsidRPr="00E346C9">
        <w:rPr>
          <w:rFonts w:asciiTheme="majorHAnsi" w:eastAsia="Calibri" w:hAnsiTheme="majorHAnsi" w:cs="Times New Roman"/>
          <w:bCs w:val="0"/>
          <w:color w:val="7F7F7F" w:themeColor="text1" w:themeTint="80"/>
          <w:sz w:val="21"/>
          <w:szCs w:val="22"/>
          <w:lang w:val="sr-Cyrl-RS"/>
        </w:rPr>
        <w:t xml:space="preserve"> године раније), било би потребно снажније фискално прилагођавање и достизање фискалног суфицита од око 0,25% БДП већ од 2022. године. На следећем графикону су приказани пројектовани фискални резултати у две варијанте од којих је основни сценарио у складу са програмом за смањење дуга, а алтернативни сценарио подразумева спуштање дуга на 45% БДП у 2027. години. Да би ово било остварено потребно је много веће фискално прилагођавање, односно у 2018. години за овакав резултат било би потребно просечно додатно прилагођавање на страни дефицита од 0,8% БДП у периоду 2018 - 2025. године што износи око 54 млрд динара годишње, а укупно преко 600 млрд динара кумулативног прилагођавања у том периоду. За тај износ би било потребно повећати приходе, смањити расходе или креирати комбинацију мера на приходној и расходној страни. Након 2025. године неопходно је одржавати фискални суфицит на постојећем нивоу</w:t>
      </w:r>
      <w:r w:rsidR="00DE6DAA">
        <w:rPr>
          <w:rFonts w:asciiTheme="majorHAnsi" w:eastAsia="Calibri" w:hAnsiTheme="majorHAnsi" w:cs="Times New Roman"/>
          <w:bCs w:val="0"/>
          <w:color w:val="7F7F7F" w:themeColor="text1" w:themeTint="80"/>
          <w:sz w:val="21"/>
          <w:szCs w:val="22"/>
          <w:lang w:val="sr-Cyrl-RS"/>
        </w:rPr>
        <w:t>.</w:t>
      </w:r>
    </w:p>
    <w:p w:rsidR="00A46B36" w:rsidRPr="00171A80" w:rsidRDefault="003F6B80" w:rsidP="00A46B36">
      <w:pPr>
        <w:ind w:firstLine="0"/>
        <w:jc w:val="center"/>
        <w:rPr>
          <w:rFonts w:asciiTheme="majorHAnsi" w:eastAsia="Calibri" w:hAnsiTheme="majorHAnsi" w:cs="Times New Roman"/>
          <w:b/>
          <w:bCs w:val="0"/>
          <w:vanish/>
          <w:color w:val="7F7F7F" w:themeColor="text1" w:themeTint="80"/>
          <w:sz w:val="21"/>
          <w:szCs w:val="22"/>
          <w:lang w:val="sr-Cyrl-RS"/>
        </w:rPr>
      </w:pPr>
      <w:r w:rsidRPr="00171A80">
        <w:rPr>
          <w:rFonts w:asciiTheme="majorHAnsi" w:eastAsia="Calibri" w:hAnsiTheme="majorHAnsi" w:cs="Times New Roman"/>
          <w:b/>
          <w:bCs w:val="0"/>
          <w:color w:val="7F7F7F" w:themeColor="text1" w:themeTint="80"/>
          <w:sz w:val="21"/>
          <w:szCs w:val="22"/>
          <w:lang w:val="sr-Cyrl-RS"/>
        </w:rPr>
        <w:lastRenderedPageBreak/>
        <w:t>Графикон 13</w:t>
      </w:r>
      <w:r w:rsidR="00A46B36" w:rsidRPr="00171A80">
        <w:rPr>
          <w:rFonts w:asciiTheme="majorHAnsi" w:eastAsia="Calibri" w:hAnsiTheme="majorHAnsi" w:cs="Times New Roman"/>
          <w:b/>
          <w:bCs w:val="0"/>
          <w:color w:val="7F7F7F" w:themeColor="text1" w:themeTint="80"/>
          <w:sz w:val="21"/>
          <w:szCs w:val="22"/>
          <w:lang w:val="sr-Cyrl-RS"/>
        </w:rPr>
        <w:t>. Фискални резултат и додатно прилагођавање у зависности од динамике смањења јавног дуга</w:t>
      </w:r>
    </w:p>
    <w:p w:rsidR="00A46B36" w:rsidRPr="00171A80" w:rsidRDefault="00A46B36" w:rsidP="00A46B36">
      <w:pPr>
        <w:ind w:firstLine="0"/>
        <w:jc w:val="left"/>
        <w:rPr>
          <w:rFonts w:asciiTheme="majorHAnsi" w:eastAsia="Calibri" w:hAnsiTheme="majorHAnsi" w:cs="Times New Roman"/>
          <w:bCs w:val="0"/>
          <w:sz w:val="21"/>
          <w:szCs w:val="22"/>
          <w:lang w:val="sr-Cyrl-RS"/>
        </w:rPr>
      </w:pPr>
      <w:r w:rsidRPr="00171A80">
        <w:rPr>
          <w:rFonts w:asciiTheme="majorHAnsi" w:hAnsiTheme="majorHAnsi"/>
          <w:noProof/>
          <w:lang w:val="en-US"/>
        </w:rPr>
        <w:drawing>
          <wp:inline distT="0" distB="0" distL="0" distR="0" wp14:anchorId="17BC1F10" wp14:editId="2700770A">
            <wp:extent cx="5731510" cy="3248025"/>
            <wp:effectExtent l="0" t="0" r="254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46C9" w:rsidRPr="00E346C9" w:rsidRDefault="00E346C9" w:rsidP="00E346C9">
      <w:pPr>
        <w:spacing w:after="0"/>
        <w:rPr>
          <w:rFonts w:asciiTheme="majorHAnsi" w:eastAsia="Calibri" w:hAnsiTheme="majorHAnsi" w:cs="Times New Roman"/>
          <w:bCs w:val="0"/>
          <w:color w:val="7F7F7F" w:themeColor="text1" w:themeTint="80"/>
          <w:sz w:val="21"/>
          <w:szCs w:val="21"/>
          <w:lang w:val="sr-Cyrl-RS"/>
        </w:rPr>
      </w:pPr>
      <w:r w:rsidRPr="00E346C9">
        <w:rPr>
          <w:rFonts w:asciiTheme="majorHAnsi" w:eastAsia="Calibri" w:hAnsiTheme="majorHAnsi" w:cs="Times New Roman"/>
          <w:bCs w:val="0"/>
          <w:color w:val="7F7F7F" w:themeColor="text1" w:themeTint="80"/>
          <w:sz w:val="21"/>
          <w:szCs w:val="21"/>
          <w:lang w:val="sr-Cyrl-RS"/>
        </w:rPr>
        <w:t>Из ових разлога фискална политика и након 2017. године мора бити усредсређена на даље успоравање раста дуга, путем смањења релативног учешћа дефицита у БДП и кроз фискално прилагођавање на страни расхода. Важно је напоменути да ће успешном спровођењу овог програма допринети и адекватна контрола и праћење издавања нових гаранција. Задржавање издатих гаранција у нивоу утврђеном овим програмом као предуслов има унапређење процеса праћења, процене ризика и приоритизације инвестиционих пројеката.</w:t>
      </w:r>
    </w:p>
    <w:p w:rsidR="00A46B36" w:rsidRPr="00E346C9" w:rsidRDefault="00E346C9" w:rsidP="00E346C9">
      <w:pPr>
        <w:spacing w:after="0"/>
        <w:rPr>
          <w:rFonts w:asciiTheme="majorHAnsi" w:eastAsia="Calibri" w:hAnsiTheme="majorHAnsi" w:cs="Times New Roman"/>
          <w:bCs w:val="0"/>
          <w:color w:val="7F7F7F" w:themeColor="text1" w:themeTint="80"/>
          <w:sz w:val="21"/>
          <w:szCs w:val="21"/>
          <w:lang w:val="sr-Latn-RS"/>
        </w:rPr>
      </w:pPr>
      <w:r w:rsidRPr="00E346C9">
        <w:rPr>
          <w:rFonts w:asciiTheme="majorHAnsi" w:eastAsia="Calibri" w:hAnsiTheme="majorHAnsi" w:cs="Times New Roman"/>
          <w:bCs w:val="0"/>
          <w:color w:val="7F7F7F" w:themeColor="text1" w:themeTint="80"/>
          <w:sz w:val="21"/>
          <w:szCs w:val="21"/>
          <w:lang w:val="sr-Cyrl-RS"/>
        </w:rPr>
        <w:t>Сценарио у коме би Влада одступила од фискалног оквира, утврђеног овом стратегијом, укључујући поред мера фискалног прилагођавања и наставак спровођења структурних реформи, могао би довести до кризе јавног дуга и макроекономске нестабилности. Спречавање кризе дуга и успоравање његовог раста могуће је остварити једино кроз смањење дефицита већ од 2015. године, путем примене мера штедње и контроле раста расхода, али и наставком спровођења реформи које ће у средњорочном периоду довести до оздрављења јавних финансија</w:t>
      </w:r>
      <w:r>
        <w:rPr>
          <w:rFonts w:asciiTheme="majorHAnsi" w:eastAsia="Calibri" w:hAnsiTheme="majorHAnsi" w:cs="Times New Roman"/>
          <w:bCs w:val="0"/>
          <w:color w:val="7F7F7F" w:themeColor="text1" w:themeTint="80"/>
          <w:sz w:val="21"/>
          <w:szCs w:val="21"/>
          <w:lang w:val="sr-Latn-RS"/>
        </w:rPr>
        <w:t>.</w:t>
      </w:r>
    </w:p>
    <w:p w:rsidR="001319BA" w:rsidRPr="00171A80" w:rsidRDefault="001319BA" w:rsidP="001319BA">
      <w:pPr>
        <w:spacing w:after="0"/>
        <w:rPr>
          <w:rFonts w:asciiTheme="majorHAnsi" w:eastAsia="Calibri" w:hAnsiTheme="majorHAnsi" w:cs="Times New Roman"/>
          <w:bCs w:val="0"/>
          <w:color w:val="7F7F7F" w:themeColor="text1" w:themeTint="80"/>
          <w:sz w:val="21"/>
          <w:szCs w:val="21"/>
          <w:lang w:val="sr-Cyrl-RS"/>
        </w:rPr>
      </w:pPr>
    </w:p>
    <w:p w:rsidR="00A71B27" w:rsidRPr="00171A80" w:rsidRDefault="00A71B27" w:rsidP="001319BA">
      <w:pPr>
        <w:pStyle w:val="Heading3"/>
        <w:numPr>
          <w:ilvl w:val="1"/>
          <w:numId w:val="2"/>
        </w:numPr>
        <w:spacing w:before="0" w:after="0"/>
        <w:ind w:left="357" w:hanging="357"/>
        <w:rPr>
          <w:rFonts w:asciiTheme="majorHAnsi" w:hAnsiTheme="majorHAnsi"/>
          <w:b w:val="0"/>
          <w:lang w:val="sr-Cyrl-RS"/>
        </w:rPr>
      </w:pPr>
      <w:bookmarkStart w:id="46" w:name="_Toc407617167"/>
      <w:r w:rsidRPr="00171A80">
        <w:rPr>
          <w:rFonts w:asciiTheme="majorHAnsi" w:hAnsiTheme="majorHAnsi"/>
          <w:b w:val="0"/>
          <w:lang w:val="sr-Cyrl-RS"/>
        </w:rPr>
        <w:t>Фискални ризици</w:t>
      </w:r>
      <w:bookmarkEnd w:id="45"/>
      <w:bookmarkEnd w:id="46"/>
    </w:p>
    <w:p w:rsidR="00A71B27" w:rsidRPr="00171A80" w:rsidRDefault="00A71B27" w:rsidP="006D67D3">
      <w:pPr>
        <w:pStyle w:val="IFS2012naslov3"/>
      </w:pPr>
    </w:p>
    <w:p w:rsidR="00E346C9" w:rsidRPr="00E346C9" w:rsidRDefault="00E346C9" w:rsidP="00E346C9">
      <w:pPr>
        <w:ind w:firstLine="706"/>
        <w:rPr>
          <w:rFonts w:asciiTheme="majorHAnsi" w:eastAsia="Calibri" w:hAnsiTheme="majorHAnsi" w:cs="Times New Roman"/>
          <w:bCs w:val="0"/>
          <w:color w:val="7F7F7F" w:themeColor="text1" w:themeTint="80"/>
          <w:sz w:val="21"/>
          <w:szCs w:val="21"/>
          <w:lang w:val="sr-Cyrl-RS"/>
        </w:rPr>
      </w:pPr>
      <w:r w:rsidRPr="00E346C9">
        <w:rPr>
          <w:rFonts w:asciiTheme="majorHAnsi" w:eastAsia="Calibri" w:hAnsiTheme="majorHAnsi" w:cs="Times New Roman"/>
          <w:bCs w:val="0"/>
          <w:color w:val="7F7F7F" w:themeColor="text1" w:themeTint="80"/>
          <w:sz w:val="21"/>
          <w:szCs w:val="21"/>
          <w:lang w:val="sr-Cyrl-RS"/>
        </w:rPr>
        <w:t xml:space="preserve">Фискалним ризицима сматрају се околности које би, уколико се реализују, довеле до значајнијег пада прихода или повећања расхода и фактори који на други начин утичу на висину дефицита и јавног дуга. Остварење предвиђеног обима прихода, расхода и резултата зависи од успеха фискалне политике да минимизира вероватноћу реализације ризика. Успех у управљању фискалним ризицима зависи од политичких, макроекономских и социјалних околности у земљи и у окружењу. Уколико се спровођење и остварење средњорочног макро-фискалног оквира заснива на свеобухватном програму фискалне консолидације, тада ризици везани за њено спровођење, било које врсте, представљају значајан извор фискалних ризика. </w:t>
      </w:r>
    </w:p>
    <w:p w:rsidR="00E346C9" w:rsidRPr="00E346C9" w:rsidRDefault="00E346C9" w:rsidP="00E346C9">
      <w:pPr>
        <w:ind w:firstLine="706"/>
        <w:rPr>
          <w:rFonts w:asciiTheme="majorHAnsi" w:eastAsia="Calibri" w:hAnsiTheme="majorHAnsi" w:cs="Times New Roman"/>
          <w:bCs w:val="0"/>
          <w:color w:val="7F7F7F" w:themeColor="text1" w:themeTint="80"/>
          <w:sz w:val="21"/>
          <w:szCs w:val="21"/>
          <w:lang w:val="sr-Cyrl-RS"/>
        </w:rPr>
      </w:pPr>
      <w:r w:rsidRPr="00E346C9">
        <w:rPr>
          <w:rFonts w:asciiTheme="majorHAnsi" w:eastAsia="Calibri" w:hAnsiTheme="majorHAnsi" w:cs="Times New Roman"/>
          <w:bCs w:val="0"/>
          <w:i/>
          <w:color w:val="7F7F7F" w:themeColor="text1" w:themeTint="80"/>
          <w:sz w:val="21"/>
          <w:szCs w:val="21"/>
          <w:lang w:val="sr-Cyrl-RS"/>
        </w:rPr>
        <w:t>Пад привредне активности</w:t>
      </w:r>
      <w:r w:rsidRPr="00E346C9">
        <w:rPr>
          <w:rFonts w:asciiTheme="majorHAnsi" w:eastAsia="Calibri" w:hAnsiTheme="majorHAnsi" w:cs="Times New Roman"/>
          <w:bCs w:val="0"/>
          <w:color w:val="7F7F7F" w:themeColor="text1" w:themeTint="80"/>
          <w:sz w:val="21"/>
          <w:szCs w:val="21"/>
          <w:lang w:val="sr-Cyrl-RS"/>
        </w:rPr>
        <w:t xml:space="preserve">. Негативни сценарио који у наредном периоду подразумева пад привредне активности или мањи раст, довео би до значајног смањења прилива капитала, смањења спољнотрговинске размене, и по основу смањене активности до сужавања дефицита текућег рачуна. У том случају дошло би до мањих прихода, и последично већег дефицита, уколико се не би ишло на додатно прилагођавање на расходној страни. У складу са оценама осетљивости фискалног баланса, свака промена реалног раста за 1 п.п. БДП доводи до промене фискалног резултата од око 0,4 % БДП. У случају да се у наредном трогодишњем периоду </w:t>
      </w:r>
      <w:r w:rsidRPr="00E346C9">
        <w:rPr>
          <w:rFonts w:asciiTheme="majorHAnsi" w:eastAsia="Calibri" w:hAnsiTheme="majorHAnsi" w:cs="Times New Roman"/>
          <w:bCs w:val="0"/>
          <w:color w:val="7F7F7F" w:themeColor="text1" w:themeTint="80"/>
          <w:sz w:val="21"/>
          <w:szCs w:val="21"/>
          <w:lang w:val="sr-Cyrl-RS"/>
        </w:rPr>
        <w:lastRenderedPageBreak/>
        <w:t xml:space="preserve">остваре ниже стопе реалног раста БДП (по 1 п.п. мање просечно годишње) од планираних, кумулативно повећање фискалног дефицита би износило преко 50 млрд динара. </w:t>
      </w:r>
    </w:p>
    <w:p w:rsidR="00E346C9" w:rsidRPr="00E346C9" w:rsidRDefault="00E346C9" w:rsidP="00E346C9">
      <w:pPr>
        <w:ind w:firstLine="706"/>
        <w:rPr>
          <w:rFonts w:asciiTheme="majorHAnsi" w:eastAsia="Calibri" w:hAnsiTheme="majorHAnsi" w:cs="Times New Roman"/>
          <w:bCs w:val="0"/>
          <w:color w:val="7F7F7F" w:themeColor="text1" w:themeTint="80"/>
          <w:sz w:val="21"/>
          <w:szCs w:val="21"/>
          <w:lang w:val="sr-Cyrl-RS"/>
        </w:rPr>
      </w:pPr>
      <w:r w:rsidRPr="00E346C9">
        <w:rPr>
          <w:rFonts w:asciiTheme="majorHAnsi" w:eastAsia="Calibri" w:hAnsiTheme="majorHAnsi" w:cs="Times New Roman"/>
          <w:bCs w:val="0"/>
          <w:i/>
          <w:color w:val="7F7F7F" w:themeColor="text1" w:themeTint="80"/>
          <w:sz w:val="21"/>
          <w:szCs w:val="21"/>
          <w:lang w:val="sr-Cyrl-RS"/>
        </w:rPr>
        <w:t>Инфлација</w:t>
      </w:r>
      <w:r w:rsidRPr="00E346C9">
        <w:rPr>
          <w:rFonts w:asciiTheme="majorHAnsi" w:eastAsia="Calibri" w:hAnsiTheme="majorHAnsi" w:cs="Times New Roman"/>
          <w:bCs w:val="0"/>
          <w:color w:val="7F7F7F" w:themeColor="text1" w:themeTint="80"/>
          <w:sz w:val="21"/>
          <w:szCs w:val="21"/>
          <w:lang w:val="sr-Cyrl-RS"/>
        </w:rPr>
        <w:t xml:space="preserve">. Инфлација је основна детерминанта опште макроекономске стабилности. Услед модификације фискалних правила о индексацији плата и пензија, у наредном периоду инфлација ће у мањој мери опредељивати кретање укупног нивоа расхода, него што је то био случај у ранијем периоду. Што се тиче приходне стране утицај инфлације на индиректне порезе може бити краткорочно повољан, али услед неминовног прилагођавања реалног нивоа потрошње тај ефекат се губи уколико је ниво дохотка ограничен. Сличан краткорочни ефекат има и девизни курс. Поједине приходне ставке се усклађују годишње са инфлацијом (углавном непорески приходи и висина појединих акцизних стопа), па са те стране постоји одређени ризик, али услед ниских пројектованих вредности инфлације он није висок. Инфлација са друге стране може индиректно да утиче на висину дефицита и јавног дуга. У случају да се креће значајно изнад таргетираних вредности, током процеса усклађивања релевантних каматних стопа, може доћи до повећања каматних стопа на јавни дуг. Са друге стране индекс потрошачких цена великим делом утиче на кретање укупног дефлатора БДП, самим тим и на висину номиналног БДП, као имениоца учешћа дефицита и јавног дуга у бруто домаћем производу. </w:t>
      </w:r>
    </w:p>
    <w:p w:rsidR="00E346C9" w:rsidRPr="00E346C9" w:rsidRDefault="00E346C9" w:rsidP="00E346C9">
      <w:pPr>
        <w:ind w:firstLine="706"/>
        <w:rPr>
          <w:rFonts w:asciiTheme="majorHAnsi" w:eastAsia="Calibri" w:hAnsiTheme="majorHAnsi" w:cs="Times New Roman"/>
          <w:bCs w:val="0"/>
          <w:color w:val="7F7F7F" w:themeColor="text1" w:themeTint="80"/>
          <w:sz w:val="21"/>
          <w:szCs w:val="21"/>
          <w:lang w:val="sr-Cyrl-RS"/>
        </w:rPr>
      </w:pPr>
      <w:r w:rsidRPr="00E346C9">
        <w:rPr>
          <w:rFonts w:asciiTheme="majorHAnsi" w:eastAsia="Calibri" w:hAnsiTheme="majorHAnsi" w:cs="Times New Roman"/>
          <w:bCs w:val="0"/>
          <w:i/>
          <w:color w:val="7F7F7F" w:themeColor="text1" w:themeTint="80"/>
          <w:sz w:val="21"/>
          <w:szCs w:val="21"/>
          <w:lang w:val="sr-Cyrl-RS"/>
        </w:rPr>
        <w:t>Каматe</w:t>
      </w:r>
      <w:r w:rsidRPr="00E346C9">
        <w:rPr>
          <w:rFonts w:asciiTheme="majorHAnsi" w:eastAsia="Calibri" w:hAnsiTheme="majorHAnsi" w:cs="Times New Roman"/>
          <w:bCs w:val="0"/>
          <w:color w:val="7F7F7F" w:themeColor="text1" w:themeTint="80"/>
          <w:sz w:val="21"/>
          <w:szCs w:val="21"/>
          <w:lang w:val="sr-Cyrl-RS"/>
        </w:rPr>
        <w:t>. На издатке за камате, осим висине и структуре јавног дуга утичу и фактори као што су девизни курс и каматне стопе на међународном и домаћем тржишту. С обзиром на непредвидивост кретања појединих варијабли, могуће је повећање потребних средстава за камате у наредном периоду. Значајан део јавног дуга (али и фискалног дефицита) представљају активиране гаранције издате јавним предузећима. У случају да предузећа могу да извршавају своје обавезе ове гаранције увећавају ниво јавног дуга, али не захтевају додатна средства. Уколико предузећа не могу да плаћају своје обавезе ове гаранције се активирају и потребна су додатна средства, како за отплату главнице, тако и за камате.</w:t>
      </w:r>
    </w:p>
    <w:p w:rsidR="00E346C9" w:rsidRPr="00E346C9" w:rsidRDefault="00E346C9" w:rsidP="00E346C9">
      <w:pPr>
        <w:ind w:firstLine="706"/>
        <w:rPr>
          <w:rFonts w:asciiTheme="majorHAnsi" w:eastAsia="Calibri" w:hAnsiTheme="majorHAnsi" w:cs="Times New Roman"/>
          <w:bCs w:val="0"/>
          <w:color w:val="7F7F7F" w:themeColor="text1" w:themeTint="80"/>
          <w:sz w:val="21"/>
          <w:szCs w:val="21"/>
          <w:lang w:val="sr-Cyrl-RS"/>
        </w:rPr>
      </w:pPr>
      <w:r w:rsidRPr="00E346C9">
        <w:rPr>
          <w:rFonts w:asciiTheme="majorHAnsi" w:eastAsia="Calibri" w:hAnsiTheme="majorHAnsi" w:cs="Times New Roman"/>
          <w:bCs w:val="0"/>
          <w:i/>
          <w:color w:val="7F7F7F" w:themeColor="text1" w:themeTint="80"/>
          <w:sz w:val="21"/>
          <w:szCs w:val="21"/>
          <w:lang w:val="sr-Cyrl-RS"/>
        </w:rPr>
        <w:t>Сива економија</w:t>
      </w:r>
      <w:r w:rsidRPr="00E346C9">
        <w:rPr>
          <w:rFonts w:asciiTheme="majorHAnsi" w:eastAsia="Calibri" w:hAnsiTheme="majorHAnsi" w:cs="Times New Roman"/>
          <w:bCs w:val="0"/>
          <w:color w:val="7F7F7F" w:themeColor="text1" w:themeTint="80"/>
          <w:sz w:val="21"/>
          <w:szCs w:val="21"/>
          <w:lang w:val="sr-Cyrl-RS"/>
        </w:rPr>
        <w:t xml:space="preserve">. Програмом мера фискалне консолидације предвиђени су и даљи напори на сузбијању пореске евазије и сиве економије. Уколико не би дошло до остварења очекиваних ефеката на том пољу или уколико дође до даљег погоршања, могући су одређени подбачаји на приходној страни. Борба против сиве економије посебно мора да обухвати смањивање нелегалне трговине дуванским производима, смањивање сиве економије у области рада и запошљавања и наставак добрих резултата у области трговине нафтним дериватима. </w:t>
      </w:r>
    </w:p>
    <w:p w:rsidR="00E346C9" w:rsidRPr="00E346C9" w:rsidRDefault="00E346C9" w:rsidP="00E346C9">
      <w:pPr>
        <w:ind w:firstLine="706"/>
        <w:rPr>
          <w:rFonts w:asciiTheme="majorHAnsi" w:eastAsia="Calibri" w:hAnsiTheme="majorHAnsi" w:cs="Times New Roman"/>
          <w:bCs w:val="0"/>
          <w:color w:val="7F7F7F" w:themeColor="text1" w:themeTint="80"/>
          <w:sz w:val="21"/>
          <w:szCs w:val="21"/>
          <w:lang w:val="sr-Cyrl-RS"/>
        </w:rPr>
      </w:pPr>
      <w:r w:rsidRPr="00E346C9">
        <w:rPr>
          <w:rFonts w:asciiTheme="majorHAnsi" w:eastAsia="Calibri" w:hAnsiTheme="majorHAnsi" w:cs="Times New Roman"/>
          <w:bCs w:val="0"/>
          <w:i/>
          <w:color w:val="7F7F7F" w:themeColor="text1" w:themeTint="80"/>
          <w:sz w:val="21"/>
          <w:szCs w:val="21"/>
          <w:lang w:val="sr-Cyrl-RS"/>
        </w:rPr>
        <w:t>Уплата добити јавних предузећа</w:t>
      </w:r>
      <w:r w:rsidRPr="00E346C9">
        <w:rPr>
          <w:rFonts w:asciiTheme="majorHAnsi" w:eastAsia="Calibri" w:hAnsiTheme="majorHAnsi" w:cs="Times New Roman"/>
          <w:bCs w:val="0"/>
          <w:color w:val="7F7F7F" w:themeColor="text1" w:themeTint="80"/>
          <w:sz w:val="21"/>
          <w:szCs w:val="21"/>
          <w:lang w:val="sr-Cyrl-RS"/>
        </w:rPr>
        <w:t xml:space="preserve">. Пројекцијом прихода у наредне три године предвиђена су и значајна средства по основу уплате добити од стране јавних предузећа. У просеку је планирано од 0,3% до 0,5% БДП по овом основу у наредне три године. Значајан извор фискалних ризика лежи у потенцијалним проблемима која могу да се јаве у пословању јавних предузећа, процесу њихове реорганизације, решавању структурних проблема у пословању, као што су вишак радне снаге и економска одрживост цена услуга и производа. </w:t>
      </w:r>
    </w:p>
    <w:p w:rsidR="00E346C9" w:rsidRPr="00E346C9" w:rsidRDefault="00E346C9" w:rsidP="00E346C9">
      <w:pPr>
        <w:ind w:firstLine="706"/>
        <w:rPr>
          <w:rFonts w:asciiTheme="majorHAnsi" w:eastAsia="Calibri" w:hAnsiTheme="majorHAnsi" w:cs="Times New Roman"/>
          <w:bCs w:val="0"/>
          <w:color w:val="7F7F7F" w:themeColor="text1" w:themeTint="80"/>
          <w:sz w:val="21"/>
          <w:szCs w:val="21"/>
          <w:lang w:val="sr-Cyrl-RS"/>
        </w:rPr>
      </w:pPr>
      <w:r w:rsidRPr="00E346C9">
        <w:rPr>
          <w:rFonts w:asciiTheme="majorHAnsi" w:eastAsia="Calibri" w:hAnsiTheme="majorHAnsi" w:cs="Times New Roman"/>
          <w:bCs w:val="0"/>
          <w:i/>
          <w:color w:val="7F7F7F" w:themeColor="text1" w:themeTint="80"/>
          <w:sz w:val="21"/>
          <w:szCs w:val="21"/>
          <w:lang w:val="sr-Cyrl-RS"/>
        </w:rPr>
        <w:t>Неутрошена средства из претходних година</w:t>
      </w:r>
      <w:r w:rsidRPr="00E346C9">
        <w:rPr>
          <w:rFonts w:asciiTheme="majorHAnsi" w:eastAsia="Calibri" w:hAnsiTheme="majorHAnsi" w:cs="Times New Roman"/>
          <w:bCs w:val="0"/>
          <w:color w:val="7F7F7F" w:themeColor="text1" w:themeTint="80"/>
          <w:sz w:val="21"/>
          <w:szCs w:val="21"/>
          <w:lang w:val="sr-Cyrl-RS"/>
        </w:rPr>
        <w:t xml:space="preserve">. У протеклом периоду код појединих нивоа власти формирала су се значајна неутрошена средства која се углавном у приближном износу пребацују у наредни период и на тај начин не доводе до дисторзије фискалног резултата. Уколико би, међутим, дошло до пада ликвидности и слабије наплате текућих прихода, може доћи до убрзаног трошења ових средстава и повећања фискалног дефицита. Иако овако генерисан део фискалног дефицита не утиче на ниво јавног дуга у тренутку његовог стварања, неповољно делује на ниво ликвидности у будућем периоду и ствара у некој мери погрешну слику о стању јавних финансија. </w:t>
      </w:r>
    </w:p>
    <w:p w:rsidR="00197D7D" w:rsidRPr="00171A80" w:rsidRDefault="00E346C9" w:rsidP="00E346C9">
      <w:pPr>
        <w:ind w:firstLine="706"/>
        <w:rPr>
          <w:rFonts w:asciiTheme="majorHAnsi" w:eastAsia="Calibri" w:hAnsiTheme="majorHAnsi" w:cs="Times New Roman"/>
          <w:bCs w:val="0"/>
          <w:color w:val="7F7F7F" w:themeColor="text1" w:themeTint="80"/>
          <w:sz w:val="21"/>
          <w:szCs w:val="21"/>
          <w:lang w:val="sr-Cyrl-RS"/>
        </w:rPr>
      </w:pPr>
      <w:r w:rsidRPr="00E346C9">
        <w:rPr>
          <w:rFonts w:asciiTheme="majorHAnsi" w:eastAsia="Calibri" w:hAnsiTheme="majorHAnsi" w:cs="Times New Roman"/>
          <w:bCs w:val="0"/>
          <w:i/>
          <w:color w:val="7F7F7F" w:themeColor="text1" w:themeTint="80"/>
          <w:sz w:val="21"/>
          <w:szCs w:val="21"/>
          <w:lang w:val="sr-Cyrl-RS"/>
        </w:rPr>
        <w:t>Пројектни зајмови</w:t>
      </w:r>
      <w:r w:rsidRPr="00E346C9">
        <w:rPr>
          <w:rFonts w:asciiTheme="majorHAnsi" w:eastAsia="Calibri" w:hAnsiTheme="majorHAnsi" w:cs="Times New Roman"/>
          <w:bCs w:val="0"/>
          <w:color w:val="7F7F7F" w:themeColor="text1" w:themeTint="80"/>
          <w:sz w:val="21"/>
          <w:szCs w:val="21"/>
          <w:lang w:val="sr-Cyrl-RS"/>
        </w:rPr>
        <w:t>. Пројектни зајмови су кључан извор финансирања значајних инфраструктурних пројеката. Средства ових зајмова улазе у обрачун фискалног резултата и то у највећој мери као капитални расходи. Иако брже повлачење ових средстава није неповољно са становишта кретања привредне активности и може да представља базу за динамичнији развој у будућности, оно повећава расходну страну буџета, фискални дефицит и јавни дуг. Процена и анализа трошкова, динамике и обима повлачења средстава у прошлости су кључни фактори за процену оправданости планирања појединачних пројектних зајмова</w:t>
      </w:r>
      <w:r w:rsidR="00197D7D" w:rsidRPr="00171A80">
        <w:rPr>
          <w:rFonts w:asciiTheme="majorHAnsi" w:eastAsia="Calibri" w:hAnsiTheme="majorHAnsi" w:cs="Times New Roman"/>
          <w:bCs w:val="0"/>
          <w:color w:val="7F7F7F" w:themeColor="text1" w:themeTint="80"/>
          <w:sz w:val="21"/>
          <w:szCs w:val="21"/>
          <w:lang w:val="sr-Cyrl-RS"/>
        </w:rPr>
        <w:t xml:space="preserve">. </w:t>
      </w:r>
    </w:p>
    <w:p w:rsidR="00A71B27" w:rsidRPr="00171A80" w:rsidRDefault="00A71B27" w:rsidP="00F87228">
      <w:pPr>
        <w:pStyle w:val="Heading3"/>
        <w:numPr>
          <w:ilvl w:val="1"/>
          <w:numId w:val="2"/>
        </w:numPr>
        <w:spacing w:before="0" w:after="0"/>
        <w:ind w:left="357" w:hanging="357"/>
        <w:rPr>
          <w:rFonts w:asciiTheme="majorHAnsi" w:hAnsiTheme="majorHAnsi"/>
          <w:b w:val="0"/>
          <w:lang w:val="sr-Cyrl-RS"/>
        </w:rPr>
      </w:pPr>
      <w:bookmarkStart w:id="47" w:name="_Toc337117126"/>
      <w:bookmarkStart w:id="48" w:name="_Toc407617168"/>
      <w:r w:rsidRPr="00171A80">
        <w:rPr>
          <w:rFonts w:asciiTheme="majorHAnsi" w:hAnsiTheme="majorHAnsi"/>
          <w:b w:val="0"/>
          <w:lang w:val="sr-Cyrl-RS"/>
        </w:rPr>
        <w:lastRenderedPageBreak/>
        <w:t>Циклично прилагођени фискални баланс</w:t>
      </w:r>
      <w:bookmarkEnd w:id="47"/>
      <w:bookmarkEnd w:id="48"/>
    </w:p>
    <w:p w:rsidR="00197D7D" w:rsidRPr="005E5E59" w:rsidRDefault="00197D7D" w:rsidP="00F87228">
      <w:pPr>
        <w:spacing w:after="0"/>
        <w:ind w:firstLine="0"/>
        <w:jc w:val="left"/>
        <w:rPr>
          <w:rFonts w:asciiTheme="majorHAnsi" w:hAnsiTheme="majorHAnsi"/>
          <w:sz w:val="26"/>
          <w:szCs w:val="26"/>
          <w:lang w:val="sr-Cyrl-RS"/>
        </w:rPr>
      </w:pPr>
    </w:p>
    <w:p w:rsidR="00D77048" w:rsidRPr="00D77048" w:rsidRDefault="00D77048" w:rsidP="00D77048">
      <w:pPr>
        <w:rPr>
          <w:rFonts w:asciiTheme="majorHAnsi" w:eastAsia="Calibri" w:hAnsiTheme="majorHAnsi" w:cs="Times New Roman"/>
          <w:bCs w:val="0"/>
          <w:color w:val="7F7F7F" w:themeColor="text1" w:themeTint="80"/>
          <w:sz w:val="21"/>
          <w:szCs w:val="21"/>
          <w:lang w:val="sr-Cyrl-RS"/>
        </w:rPr>
      </w:pPr>
      <w:r w:rsidRPr="00D77048">
        <w:rPr>
          <w:rFonts w:asciiTheme="majorHAnsi" w:eastAsia="Calibri" w:hAnsiTheme="majorHAnsi" w:cs="Times New Roman"/>
          <w:bCs w:val="0"/>
          <w:color w:val="7F7F7F" w:themeColor="text1" w:themeTint="80"/>
          <w:sz w:val="21"/>
          <w:szCs w:val="21"/>
          <w:lang w:val="sr-Cyrl-RS"/>
        </w:rPr>
        <w:t>Циклично прилагођени фискални баланс је фискални баланс из кога је искључен изоловани утицај привредног циклуса, а идентитет од кога се полази је следећи:</w:t>
      </w:r>
    </w:p>
    <w:p w:rsidR="00D77048" w:rsidRPr="00D77048" w:rsidRDefault="00D77048" w:rsidP="00D77048">
      <w:pPr>
        <w:jc w:val="center"/>
        <w:rPr>
          <w:rFonts w:asciiTheme="majorHAnsi" w:eastAsia="Calibri" w:hAnsiTheme="majorHAnsi" w:cs="Times New Roman"/>
          <w:bCs w:val="0"/>
          <w:color w:val="7F7F7F" w:themeColor="text1" w:themeTint="80"/>
          <w:sz w:val="21"/>
          <w:szCs w:val="21"/>
          <w:lang w:val="sr-Cyrl-RS"/>
        </w:rPr>
      </w:pPr>
      <w:r w:rsidRPr="00D77048">
        <w:rPr>
          <w:rFonts w:asciiTheme="majorHAnsi" w:eastAsia="Calibri" w:hAnsiTheme="majorHAnsi" w:cs="Times New Roman"/>
          <w:bCs w:val="0"/>
          <w:color w:val="7F7F7F" w:themeColor="text1" w:themeTint="80"/>
          <w:sz w:val="21"/>
          <w:szCs w:val="21"/>
          <w:lang w:val="sr-Cyrl-RS"/>
        </w:rPr>
        <w:t>B = CB + CAB</w:t>
      </w:r>
    </w:p>
    <w:p w:rsidR="00197D7D" w:rsidRPr="00171A80" w:rsidRDefault="00D77048" w:rsidP="00D77048">
      <w:pPr>
        <w:rPr>
          <w:rFonts w:asciiTheme="majorHAnsi" w:eastAsia="Calibri" w:hAnsiTheme="majorHAnsi" w:cs="Times New Roman"/>
          <w:bCs w:val="0"/>
          <w:color w:val="7F7F7F" w:themeColor="text1" w:themeTint="80"/>
          <w:sz w:val="21"/>
          <w:szCs w:val="21"/>
          <w:lang w:val="sr-Cyrl-RS"/>
        </w:rPr>
      </w:pPr>
      <w:r w:rsidRPr="00D77048">
        <w:rPr>
          <w:rFonts w:asciiTheme="majorHAnsi" w:eastAsia="Calibri" w:hAnsiTheme="majorHAnsi" w:cs="Times New Roman"/>
          <w:bCs w:val="0"/>
          <w:color w:val="7F7F7F" w:themeColor="text1" w:themeTint="80"/>
          <w:sz w:val="21"/>
          <w:szCs w:val="21"/>
          <w:lang w:val="sr-Cyrl-RS"/>
        </w:rPr>
        <w:t>Део фискалног баланса (</w:t>
      </w:r>
      <w:r w:rsidRPr="00D77048">
        <w:rPr>
          <w:rFonts w:asciiTheme="majorHAnsi" w:eastAsia="Calibri" w:hAnsiTheme="majorHAnsi" w:cs="Times New Roman"/>
          <w:bCs w:val="0"/>
          <w:i/>
          <w:color w:val="7F7F7F" w:themeColor="text1" w:themeTint="80"/>
          <w:sz w:val="21"/>
          <w:szCs w:val="21"/>
          <w:lang w:val="sr-Cyrl-RS"/>
        </w:rPr>
        <w:t xml:space="preserve">B) </w:t>
      </w:r>
      <w:r w:rsidRPr="00D77048">
        <w:rPr>
          <w:rFonts w:asciiTheme="majorHAnsi" w:eastAsia="Calibri" w:hAnsiTheme="majorHAnsi" w:cs="Times New Roman"/>
          <w:bCs w:val="0"/>
          <w:color w:val="7F7F7F" w:themeColor="text1" w:themeTint="80"/>
          <w:sz w:val="21"/>
          <w:szCs w:val="21"/>
          <w:lang w:val="sr-Cyrl-RS"/>
        </w:rPr>
        <w:t>који се аутоматски прилагођава цикличним флуктуацијама назива се циклично прилагођени фискални баланс (</w:t>
      </w:r>
      <w:r w:rsidRPr="00D77048">
        <w:rPr>
          <w:rFonts w:asciiTheme="majorHAnsi" w:eastAsia="Calibri" w:hAnsiTheme="majorHAnsi" w:cs="Times New Roman"/>
          <w:bCs w:val="0"/>
          <w:i/>
          <w:color w:val="7F7F7F" w:themeColor="text1" w:themeTint="80"/>
          <w:sz w:val="21"/>
          <w:szCs w:val="21"/>
          <w:lang w:val="sr-Cyrl-RS"/>
        </w:rPr>
        <w:t xml:space="preserve">CAB), </w:t>
      </w:r>
      <w:r w:rsidRPr="00D77048">
        <w:rPr>
          <w:rFonts w:asciiTheme="majorHAnsi" w:eastAsia="Calibri" w:hAnsiTheme="majorHAnsi" w:cs="Times New Roman"/>
          <w:bCs w:val="0"/>
          <w:color w:val="7F7F7F" w:themeColor="text1" w:themeTint="80"/>
          <w:sz w:val="21"/>
          <w:szCs w:val="21"/>
          <w:lang w:val="sr-Cyrl-RS"/>
        </w:rPr>
        <w:t xml:space="preserve">а циљ процедуре је изоловање цикличне компоненте фискалног баланса </w:t>
      </w:r>
      <w:r w:rsidRPr="00D77048">
        <w:rPr>
          <w:rFonts w:asciiTheme="majorHAnsi" w:eastAsia="Calibri" w:hAnsiTheme="majorHAnsi" w:cs="Times New Roman"/>
          <w:bCs w:val="0"/>
          <w:i/>
          <w:color w:val="7F7F7F" w:themeColor="text1" w:themeTint="80"/>
          <w:sz w:val="21"/>
          <w:szCs w:val="21"/>
          <w:lang w:val="sr-Cyrl-RS"/>
        </w:rPr>
        <w:t>(CB</w:t>
      </w:r>
      <w:r w:rsidRPr="00D77048">
        <w:rPr>
          <w:rFonts w:asciiTheme="majorHAnsi" w:eastAsia="Calibri" w:hAnsiTheme="majorHAnsi" w:cs="Times New Roman"/>
          <w:bCs w:val="0"/>
          <w:color w:val="7F7F7F" w:themeColor="text1" w:themeTint="80"/>
          <w:sz w:val="21"/>
          <w:szCs w:val="21"/>
          <w:lang w:val="sr-Cyrl-RS"/>
        </w:rPr>
        <w:t>) која је резултат присуства производног јаза. Стварни фискални баланс биће једнак циклично прилагођеном у случају да је производни јаз једнак нули, тј. ако је стопа раста реалног БДП једнака потенцијалној</w:t>
      </w:r>
      <w:r w:rsidR="00197D7D" w:rsidRPr="00171A80">
        <w:rPr>
          <w:rFonts w:asciiTheme="majorHAnsi" w:eastAsia="Calibri" w:hAnsiTheme="majorHAnsi" w:cs="Times New Roman"/>
          <w:bCs w:val="0"/>
          <w:color w:val="7F7F7F" w:themeColor="text1" w:themeTint="80"/>
          <w:sz w:val="21"/>
          <w:szCs w:val="21"/>
          <w:lang w:val="sr-Cyrl-RS"/>
        </w:rPr>
        <w:t>.</w:t>
      </w:r>
    </w:p>
    <w:p w:rsidR="00197D7D" w:rsidRPr="00171A80" w:rsidRDefault="00D77048" w:rsidP="00197D7D">
      <w:pPr>
        <w:rPr>
          <w:rFonts w:asciiTheme="majorHAnsi" w:eastAsia="Calibri" w:hAnsiTheme="majorHAnsi" w:cs="Times New Roman"/>
          <w:bCs w:val="0"/>
          <w:color w:val="7F7F7F" w:themeColor="text1" w:themeTint="80"/>
          <w:sz w:val="21"/>
          <w:szCs w:val="21"/>
          <w:lang w:val="sr-Cyrl-RS"/>
        </w:rPr>
      </w:pPr>
      <w:r w:rsidRPr="00D77048">
        <w:rPr>
          <w:rFonts w:asciiTheme="majorHAnsi" w:eastAsia="Calibri" w:hAnsiTheme="majorHAnsi" w:cs="Times New Roman"/>
          <w:bCs w:val="0"/>
          <w:color w:val="7F7F7F" w:themeColor="text1" w:themeTint="80"/>
          <w:sz w:val="21"/>
          <w:szCs w:val="21"/>
          <w:lang w:val="sr-Cyrl-RS"/>
        </w:rPr>
        <w:t>За оцењивање циклично прилагођеног дефицита коришћен је приступ ОЕЦД и то дезагрегирани приступ, што подразумева оцењивање еластичности појединачних категорија циклично осетљивих прихода и расхода. Циклично прилагођени баланс израчунава се по с</w:t>
      </w:r>
      <w:r>
        <w:rPr>
          <w:rFonts w:asciiTheme="majorHAnsi" w:eastAsia="Calibri" w:hAnsiTheme="majorHAnsi" w:cs="Times New Roman"/>
          <w:bCs w:val="0"/>
          <w:color w:val="7F7F7F" w:themeColor="text1" w:themeTint="80"/>
          <w:sz w:val="21"/>
          <w:szCs w:val="21"/>
          <w:lang w:val="sr-Cyrl-RS"/>
        </w:rPr>
        <w:t>ледећој формули</w:t>
      </w:r>
      <w:r w:rsidR="00197D7D" w:rsidRPr="00171A80">
        <w:rPr>
          <w:rFonts w:asciiTheme="majorHAnsi" w:eastAsia="Calibri" w:hAnsiTheme="majorHAnsi" w:cs="Times New Roman"/>
          <w:bCs w:val="0"/>
          <w:color w:val="7F7F7F" w:themeColor="text1" w:themeTint="80"/>
          <w:sz w:val="21"/>
          <w:szCs w:val="21"/>
          <w:lang w:val="sr-Cyrl-RS"/>
        </w:rPr>
        <w:t>:</w:t>
      </w:r>
    </w:p>
    <w:p w:rsidR="00197D7D" w:rsidRPr="00171A80" w:rsidRDefault="00197D7D" w:rsidP="00197D7D">
      <w:pPr>
        <w:jc w:val="center"/>
        <w:rPr>
          <w:rFonts w:asciiTheme="majorHAnsi" w:eastAsia="Calibri" w:hAnsiTheme="majorHAnsi" w:cs="Times New Roman"/>
          <w:b/>
          <w:bCs w:val="0"/>
          <w:color w:val="7F7F7F" w:themeColor="text1" w:themeTint="80"/>
          <w:sz w:val="21"/>
          <w:szCs w:val="21"/>
          <w:lang w:val="sr-Cyrl-RS"/>
        </w:rPr>
      </w:pPr>
      <w:r w:rsidRPr="00171A80">
        <w:rPr>
          <w:rFonts w:asciiTheme="majorHAnsi" w:eastAsia="Calibri" w:hAnsiTheme="majorHAnsi" w:cs="Times New Roman"/>
          <w:b/>
          <w:bCs w:val="0"/>
          <w:color w:val="7F7F7F" w:themeColor="text1" w:themeTint="80"/>
          <w:sz w:val="21"/>
          <w:szCs w:val="21"/>
          <w:lang w:val="sr-Cyrl-RS"/>
        </w:rPr>
        <w:t>CAB</w:t>
      </w:r>
      <w:r w:rsidRPr="00171A80">
        <w:rPr>
          <w:rFonts w:asciiTheme="majorHAnsi" w:eastAsia="Calibri" w:hAnsiTheme="majorHAnsi" w:cs="Times New Roman"/>
          <w:b/>
          <w:bCs w:val="0"/>
          <w:color w:val="7F7F7F" w:themeColor="text1" w:themeTint="80"/>
          <w:sz w:val="21"/>
          <w:szCs w:val="21"/>
          <w:vertAlign w:val="subscript"/>
          <w:lang w:val="sr-Cyrl-RS"/>
        </w:rPr>
        <w:t>t</w:t>
      </w:r>
      <w:r w:rsidRPr="00171A80">
        <w:rPr>
          <w:rFonts w:asciiTheme="majorHAnsi" w:eastAsia="Calibri" w:hAnsiTheme="majorHAnsi" w:cs="Times New Roman"/>
          <w:b/>
          <w:bCs w:val="0"/>
          <w:color w:val="7F7F7F" w:themeColor="text1" w:themeTint="80"/>
          <w:sz w:val="21"/>
          <w:szCs w:val="21"/>
          <w:lang w:val="sr-Cyrl-RS"/>
        </w:rPr>
        <w:t xml:space="preserve"> = B</w:t>
      </w:r>
      <w:r w:rsidRPr="00171A80">
        <w:rPr>
          <w:rFonts w:asciiTheme="majorHAnsi" w:eastAsia="Calibri" w:hAnsiTheme="majorHAnsi" w:cs="Times New Roman"/>
          <w:b/>
          <w:bCs w:val="0"/>
          <w:color w:val="7F7F7F" w:themeColor="text1" w:themeTint="80"/>
          <w:sz w:val="21"/>
          <w:szCs w:val="21"/>
          <w:vertAlign w:val="subscript"/>
          <w:lang w:val="sr-Cyrl-RS"/>
        </w:rPr>
        <w:t xml:space="preserve"> t</w:t>
      </w:r>
      <w:r w:rsidRPr="00171A80">
        <w:rPr>
          <w:rFonts w:asciiTheme="majorHAnsi" w:eastAsia="Calibri" w:hAnsiTheme="majorHAnsi" w:cs="Times New Roman"/>
          <w:b/>
          <w:bCs w:val="0"/>
          <w:color w:val="7F7F7F" w:themeColor="text1" w:themeTint="80"/>
          <w:sz w:val="21"/>
          <w:szCs w:val="21"/>
          <w:lang w:val="sr-Cyrl-RS"/>
        </w:rPr>
        <w:t xml:space="preserve"> – η (Y</w:t>
      </w:r>
      <w:r w:rsidRPr="00171A80">
        <w:rPr>
          <w:rFonts w:asciiTheme="majorHAnsi" w:eastAsia="Calibri" w:hAnsiTheme="majorHAnsi" w:cs="Times New Roman"/>
          <w:b/>
          <w:bCs w:val="0"/>
          <w:color w:val="7F7F7F" w:themeColor="text1" w:themeTint="80"/>
          <w:sz w:val="21"/>
          <w:szCs w:val="21"/>
          <w:vertAlign w:val="subscript"/>
          <w:lang w:val="sr-Cyrl-RS"/>
        </w:rPr>
        <w:t>t</w:t>
      </w:r>
      <w:r w:rsidRPr="00171A80">
        <w:rPr>
          <w:rFonts w:asciiTheme="majorHAnsi" w:eastAsia="Calibri" w:hAnsiTheme="majorHAnsi" w:cs="Times New Roman"/>
          <w:b/>
          <w:bCs w:val="0"/>
          <w:color w:val="7F7F7F" w:themeColor="text1" w:themeTint="80"/>
          <w:sz w:val="21"/>
          <w:szCs w:val="21"/>
          <w:lang w:val="sr-Cyrl-RS"/>
        </w:rPr>
        <w:t xml:space="preserve"> -Y</w:t>
      </w:r>
      <w:r w:rsidRPr="00171A80">
        <w:rPr>
          <w:rFonts w:asciiTheme="majorHAnsi" w:eastAsia="Calibri" w:hAnsiTheme="majorHAnsi" w:cs="Times New Roman"/>
          <w:b/>
          <w:bCs w:val="0"/>
          <w:color w:val="7F7F7F" w:themeColor="text1" w:themeTint="80"/>
          <w:sz w:val="21"/>
          <w:szCs w:val="21"/>
          <w:vertAlign w:val="subscript"/>
          <w:lang w:val="sr-Cyrl-RS"/>
        </w:rPr>
        <w:t>t</w:t>
      </w:r>
      <w:r w:rsidRPr="00171A80">
        <w:rPr>
          <w:rFonts w:asciiTheme="majorHAnsi" w:eastAsia="Calibri" w:hAnsiTheme="majorHAnsi" w:cs="Times New Roman"/>
          <w:b/>
          <w:bCs w:val="0"/>
          <w:color w:val="7F7F7F" w:themeColor="text1" w:themeTint="80"/>
          <w:sz w:val="21"/>
          <w:szCs w:val="21"/>
          <w:lang w:val="sr-Cyrl-RS"/>
        </w:rPr>
        <w:t>*)/Y</w:t>
      </w:r>
      <w:r w:rsidRPr="00171A80">
        <w:rPr>
          <w:rFonts w:asciiTheme="majorHAnsi" w:eastAsia="Calibri" w:hAnsiTheme="majorHAnsi" w:cs="Times New Roman"/>
          <w:b/>
          <w:bCs w:val="0"/>
          <w:color w:val="7F7F7F" w:themeColor="text1" w:themeTint="80"/>
          <w:sz w:val="21"/>
          <w:szCs w:val="21"/>
          <w:vertAlign w:val="subscript"/>
          <w:lang w:val="sr-Cyrl-RS"/>
        </w:rPr>
        <w:t>t</w:t>
      </w:r>
      <w:r w:rsidRPr="00171A80">
        <w:rPr>
          <w:rFonts w:asciiTheme="majorHAnsi" w:eastAsia="Calibri" w:hAnsiTheme="majorHAnsi" w:cs="Times New Roman"/>
          <w:b/>
          <w:bCs w:val="0"/>
          <w:color w:val="7F7F7F" w:themeColor="text1" w:themeTint="80"/>
          <w:sz w:val="21"/>
          <w:szCs w:val="21"/>
          <w:lang w:val="sr-Cyrl-RS"/>
        </w:rPr>
        <w:t>*</w:t>
      </w:r>
    </w:p>
    <w:p w:rsidR="00D77048" w:rsidRPr="00D77048" w:rsidRDefault="00D77048" w:rsidP="00D77048">
      <w:pPr>
        <w:rPr>
          <w:rFonts w:asciiTheme="majorHAnsi" w:eastAsia="Calibri" w:hAnsiTheme="majorHAnsi" w:cs="Times New Roman"/>
          <w:bCs w:val="0"/>
          <w:color w:val="7F7F7F" w:themeColor="text1" w:themeTint="80"/>
          <w:sz w:val="21"/>
          <w:szCs w:val="21"/>
          <w:lang w:val="sr-Cyrl-RS"/>
        </w:rPr>
      </w:pPr>
      <w:r w:rsidRPr="00D77048">
        <w:rPr>
          <w:rFonts w:asciiTheme="majorHAnsi" w:eastAsia="Calibri" w:hAnsiTheme="majorHAnsi" w:cs="Times New Roman"/>
          <w:bCs w:val="0"/>
          <w:color w:val="7F7F7F" w:themeColor="text1" w:themeTint="80"/>
          <w:sz w:val="21"/>
          <w:szCs w:val="21"/>
          <w:lang w:val="sr-Cyrl-RS"/>
        </w:rPr>
        <w:t xml:space="preserve">У претходној формули </w:t>
      </w:r>
      <w:r w:rsidRPr="00D77048">
        <w:rPr>
          <w:rFonts w:asciiTheme="majorHAnsi" w:eastAsia="Calibri" w:hAnsiTheme="majorHAnsi" w:cs="Times New Roman"/>
          <w:bCs w:val="0"/>
          <w:i/>
          <w:color w:val="7F7F7F" w:themeColor="text1" w:themeTint="80"/>
          <w:sz w:val="21"/>
          <w:szCs w:val="21"/>
          <w:lang w:val="sr-Cyrl-RS"/>
        </w:rPr>
        <w:t>η(Y</w:t>
      </w:r>
      <w:r w:rsidRPr="00D77048">
        <w:rPr>
          <w:rFonts w:asciiTheme="majorHAnsi" w:eastAsia="Calibri" w:hAnsiTheme="majorHAnsi" w:cs="Times New Roman"/>
          <w:bCs w:val="0"/>
          <w:i/>
          <w:color w:val="7F7F7F" w:themeColor="text1" w:themeTint="80"/>
          <w:sz w:val="21"/>
          <w:szCs w:val="21"/>
          <w:vertAlign w:val="subscript"/>
          <w:lang w:val="sr-Cyrl-RS"/>
        </w:rPr>
        <w:t>t</w:t>
      </w:r>
      <w:r w:rsidRPr="00D77048">
        <w:rPr>
          <w:rFonts w:asciiTheme="majorHAnsi" w:eastAsia="Calibri" w:hAnsiTheme="majorHAnsi" w:cs="Times New Roman"/>
          <w:bCs w:val="0"/>
          <w:i/>
          <w:color w:val="7F7F7F" w:themeColor="text1" w:themeTint="80"/>
          <w:sz w:val="21"/>
          <w:szCs w:val="21"/>
          <w:lang w:val="sr-Cyrl-RS"/>
        </w:rPr>
        <w:t xml:space="preserve"> -Y</w:t>
      </w:r>
      <w:r w:rsidRPr="00D77048">
        <w:rPr>
          <w:rFonts w:asciiTheme="majorHAnsi" w:eastAsia="Calibri" w:hAnsiTheme="majorHAnsi" w:cs="Times New Roman"/>
          <w:bCs w:val="0"/>
          <w:i/>
          <w:color w:val="7F7F7F" w:themeColor="text1" w:themeTint="80"/>
          <w:sz w:val="21"/>
          <w:szCs w:val="21"/>
          <w:vertAlign w:val="subscript"/>
          <w:lang w:val="sr-Cyrl-RS"/>
        </w:rPr>
        <w:t>t</w:t>
      </w:r>
      <w:r w:rsidRPr="00D77048">
        <w:rPr>
          <w:rFonts w:asciiTheme="majorHAnsi" w:eastAsia="Calibri" w:hAnsiTheme="majorHAnsi" w:cs="Times New Roman"/>
          <w:bCs w:val="0"/>
          <w:i/>
          <w:color w:val="7F7F7F" w:themeColor="text1" w:themeTint="80"/>
          <w:sz w:val="21"/>
          <w:szCs w:val="21"/>
          <w:lang w:val="sr-Cyrl-RS"/>
        </w:rPr>
        <w:t>*)/Y</w:t>
      </w:r>
      <w:r w:rsidRPr="00D77048">
        <w:rPr>
          <w:rFonts w:asciiTheme="majorHAnsi" w:eastAsia="Calibri" w:hAnsiTheme="majorHAnsi" w:cs="Times New Roman"/>
          <w:bCs w:val="0"/>
          <w:i/>
          <w:color w:val="7F7F7F" w:themeColor="text1" w:themeTint="80"/>
          <w:sz w:val="21"/>
          <w:szCs w:val="21"/>
          <w:vertAlign w:val="subscript"/>
          <w:lang w:val="sr-Cyrl-RS"/>
        </w:rPr>
        <w:t>t</w:t>
      </w:r>
      <w:r w:rsidRPr="00D77048">
        <w:rPr>
          <w:rFonts w:asciiTheme="majorHAnsi" w:eastAsia="Calibri" w:hAnsiTheme="majorHAnsi" w:cs="Times New Roman"/>
          <w:bCs w:val="0"/>
          <w:i/>
          <w:color w:val="7F7F7F" w:themeColor="text1" w:themeTint="80"/>
          <w:sz w:val="21"/>
          <w:szCs w:val="21"/>
          <w:lang w:val="sr-Cyrl-RS"/>
        </w:rPr>
        <w:t>*</w:t>
      </w:r>
      <w:r w:rsidRPr="00D77048">
        <w:rPr>
          <w:rFonts w:asciiTheme="majorHAnsi" w:eastAsia="Calibri" w:hAnsiTheme="majorHAnsi" w:cs="Times New Roman"/>
          <w:bCs w:val="0"/>
          <w:color w:val="7F7F7F" w:themeColor="text1" w:themeTint="80"/>
          <w:sz w:val="21"/>
          <w:szCs w:val="21"/>
          <w:lang w:val="sr-Cyrl-RS"/>
        </w:rPr>
        <w:t xml:space="preserve"> представља циклични део баланса, представљен као производ коефицијента осетљивости баланса у односу на производни јаз </w:t>
      </w:r>
      <w:r w:rsidRPr="00D77048">
        <w:rPr>
          <w:rFonts w:asciiTheme="majorHAnsi" w:eastAsia="Calibri" w:hAnsiTheme="majorHAnsi" w:cs="Times New Roman"/>
          <w:bCs w:val="0"/>
          <w:i/>
          <w:color w:val="7F7F7F" w:themeColor="text1" w:themeTint="80"/>
          <w:sz w:val="21"/>
          <w:szCs w:val="21"/>
          <w:lang w:val="sr-Cyrl-RS"/>
        </w:rPr>
        <w:t>(η)</w:t>
      </w:r>
      <w:r w:rsidRPr="00D77048">
        <w:rPr>
          <w:rFonts w:asciiTheme="majorHAnsi" w:eastAsia="Calibri" w:hAnsiTheme="majorHAnsi" w:cs="Times New Roman"/>
          <w:bCs w:val="0"/>
          <w:color w:val="7F7F7F" w:themeColor="text1" w:themeTint="80"/>
          <w:sz w:val="21"/>
          <w:szCs w:val="21"/>
          <w:lang w:val="sr-Cyrl-RS"/>
        </w:rPr>
        <w:t xml:space="preserve"> и оцењеног производног јаза у посматраној години </w:t>
      </w:r>
      <w:r w:rsidRPr="00D77048">
        <w:rPr>
          <w:rFonts w:asciiTheme="majorHAnsi" w:eastAsia="Calibri" w:hAnsiTheme="majorHAnsi" w:cs="Times New Roman"/>
          <w:bCs w:val="0"/>
          <w:i/>
          <w:color w:val="7F7F7F" w:themeColor="text1" w:themeTint="80"/>
          <w:sz w:val="21"/>
          <w:szCs w:val="21"/>
          <w:lang w:val="sr-Cyrl-RS"/>
        </w:rPr>
        <w:t>((Y</w:t>
      </w:r>
      <w:r w:rsidRPr="00D77048">
        <w:rPr>
          <w:rFonts w:asciiTheme="majorHAnsi" w:eastAsia="Calibri" w:hAnsiTheme="majorHAnsi" w:cs="Times New Roman"/>
          <w:bCs w:val="0"/>
          <w:i/>
          <w:color w:val="7F7F7F" w:themeColor="text1" w:themeTint="80"/>
          <w:sz w:val="21"/>
          <w:szCs w:val="21"/>
          <w:vertAlign w:val="subscript"/>
          <w:lang w:val="sr-Cyrl-RS"/>
        </w:rPr>
        <w:t>t</w:t>
      </w:r>
      <w:r w:rsidRPr="00D77048">
        <w:rPr>
          <w:rFonts w:asciiTheme="majorHAnsi" w:eastAsia="Calibri" w:hAnsiTheme="majorHAnsi" w:cs="Times New Roman"/>
          <w:bCs w:val="0"/>
          <w:i/>
          <w:color w:val="7F7F7F" w:themeColor="text1" w:themeTint="80"/>
          <w:sz w:val="21"/>
          <w:szCs w:val="21"/>
          <w:lang w:val="sr-Cyrl-RS"/>
        </w:rPr>
        <w:t xml:space="preserve"> -Y</w:t>
      </w:r>
      <w:r w:rsidRPr="00D77048">
        <w:rPr>
          <w:rFonts w:asciiTheme="majorHAnsi" w:eastAsia="Calibri" w:hAnsiTheme="majorHAnsi" w:cs="Times New Roman"/>
          <w:bCs w:val="0"/>
          <w:i/>
          <w:color w:val="7F7F7F" w:themeColor="text1" w:themeTint="80"/>
          <w:sz w:val="21"/>
          <w:szCs w:val="21"/>
          <w:vertAlign w:val="subscript"/>
          <w:lang w:val="sr-Cyrl-RS"/>
        </w:rPr>
        <w:t>t</w:t>
      </w:r>
      <w:r w:rsidRPr="00D77048">
        <w:rPr>
          <w:rFonts w:asciiTheme="majorHAnsi" w:eastAsia="Calibri" w:hAnsiTheme="majorHAnsi" w:cs="Times New Roman"/>
          <w:bCs w:val="0"/>
          <w:i/>
          <w:color w:val="7F7F7F" w:themeColor="text1" w:themeTint="80"/>
          <w:sz w:val="21"/>
          <w:szCs w:val="21"/>
          <w:lang w:val="sr-Cyrl-RS"/>
        </w:rPr>
        <w:t>*)/Y</w:t>
      </w:r>
      <w:r w:rsidRPr="00D77048">
        <w:rPr>
          <w:rFonts w:asciiTheme="majorHAnsi" w:eastAsia="Calibri" w:hAnsiTheme="majorHAnsi" w:cs="Times New Roman"/>
          <w:bCs w:val="0"/>
          <w:i/>
          <w:color w:val="7F7F7F" w:themeColor="text1" w:themeTint="80"/>
          <w:sz w:val="21"/>
          <w:szCs w:val="21"/>
          <w:vertAlign w:val="subscript"/>
          <w:lang w:val="sr-Cyrl-RS"/>
        </w:rPr>
        <w:t>t</w:t>
      </w:r>
      <w:r w:rsidRPr="00D77048">
        <w:rPr>
          <w:rFonts w:asciiTheme="majorHAnsi" w:eastAsia="Calibri" w:hAnsiTheme="majorHAnsi" w:cs="Times New Roman"/>
          <w:bCs w:val="0"/>
          <w:i/>
          <w:color w:val="7F7F7F" w:themeColor="text1" w:themeTint="80"/>
          <w:sz w:val="21"/>
          <w:szCs w:val="21"/>
          <w:lang w:val="sr-Cyrl-RS"/>
        </w:rPr>
        <w:t>*).</w:t>
      </w:r>
      <w:r w:rsidRPr="00D77048">
        <w:rPr>
          <w:rFonts w:asciiTheme="majorHAnsi" w:eastAsia="Calibri" w:hAnsiTheme="majorHAnsi" w:cs="Times New Roman"/>
          <w:bCs w:val="0"/>
          <w:color w:val="7F7F7F" w:themeColor="text1" w:themeTint="80"/>
          <w:sz w:val="21"/>
          <w:szCs w:val="21"/>
          <w:lang w:val="sr-Cyrl-RS"/>
        </w:rPr>
        <w:t xml:space="preserve"> Коефицијент осетљивости фискалног баланса једнак је разлици коефицијената осетљивости прихода и расхода </w:t>
      </w:r>
      <w:r w:rsidRPr="007616D9">
        <w:rPr>
          <w:rFonts w:asciiTheme="majorHAnsi" w:eastAsia="Calibri" w:hAnsiTheme="majorHAnsi" w:cs="Times New Roman"/>
          <w:bCs w:val="0"/>
          <w:i/>
          <w:color w:val="7F7F7F" w:themeColor="text1" w:themeTint="80"/>
          <w:sz w:val="21"/>
          <w:szCs w:val="21"/>
          <w:lang w:val="sr-Cyrl-RS"/>
        </w:rPr>
        <w:t>η = η</w:t>
      </w:r>
      <w:r w:rsidRPr="007616D9">
        <w:rPr>
          <w:rFonts w:asciiTheme="majorHAnsi" w:eastAsia="Calibri" w:hAnsiTheme="majorHAnsi" w:cs="Times New Roman"/>
          <w:bCs w:val="0"/>
          <w:i/>
          <w:color w:val="7F7F7F" w:themeColor="text1" w:themeTint="80"/>
          <w:sz w:val="21"/>
          <w:szCs w:val="21"/>
          <w:vertAlign w:val="subscript"/>
          <w:lang w:val="sr-Cyrl-RS"/>
        </w:rPr>
        <w:t>Т -</w:t>
      </w:r>
      <w:r w:rsidRPr="007616D9">
        <w:rPr>
          <w:rFonts w:asciiTheme="majorHAnsi" w:eastAsia="Calibri" w:hAnsiTheme="majorHAnsi" w:cs="Times New Roman"/>
          <w:bCs w:val="0"/>
          <w:i/>
          <w:color w:val="7F7F7F" w:themeColor="text1" w:themeTint="80"/>
          <w:sz w:val="21"/>
          <w:szCs w:val="21"/>
          <w:lang w:val="sr-Cyrl-RS"/>
        </w:rPr>
        <w:t xml:space="preserve"> η</w:t>
      </w:r>
      <w:r w:rsidRPr="007616D9">
        <w:rPr>
          <w:rFonts w:asciiTheme="majorHAnsi" w:eastAsia="Calibri" w:hAnsiTheme="majorHAnsi" w:cs="Times New Roman"/>
          <w:bCs w:val="0"/>
          <w:i/>
          <w:color w:val="7F7F7F" w:themeColor="text1" w:themeTint="80"/>
          <w:sz w:val="21"/>
          <w:szCs w:val="21"/>
          <w:vertAlign w:val="subscript"/>
          <w:lang w:val="sr-Cyrl-RS"/>
        </w:rPr>
        <w:t>G</w:t>
      </w:r>
      <w:r w:rsidRPr="00D77048">
        <w:rPr>
          <w:rFonts w:asciiTheme="majorHAnsi" w:eastAsia="Calibri" w:hAnsiTheme="majorHAnsi" w:cs="Times New Roman"/>
          <w:bCs w:val="0"/>
          <w:color w:val="7F7F7F" w:themeColor="text1" w:themeTint="80"/>
          <w:sz w:val="21"/>
          <w:szCs w:val="21"/>
          <w:lang w:val="sr-Cyrl-RS"/>
        </w:rPr>
        <w:t>.</w:t>
      </w:r>
    </w:p>
    <w:p w:rsidR="00D77048" w:rsidRPr="00D77048" w:rsidRDefault="00D77048" w:rsidP="00D77048">
      <w:pPr>
        <w:rPr>
          <w:rFonts w:asciiTheme="majorHAnsi" w:eastAsia="Calibri" w:hAnsiTheme="majorHAnsi" w:cs="Times New Roman"/>
          <w:bCs w:val="0"/>
          <w:color w:val="7F7F7F" w:themeColor="text1" w:themeTint="80"/>
          <w:sz w:val="21"/>
          <w:szCs w:val="21"/>
          <w:lang w:val="sr-Cyrl-RS"/>
        </w:rPr>
      </w:pPr>
      <w:r w:rsidRPr="00D77048">
        <w:rPr>
          <w:rFonts w:asciiTheme="majorHAnsi" w:eastAsia="Calibri" w:hAnsiTheme="majorHAnsi" w:cs="Times New Roman"/>
          <w:bCs w:val="0"/>
          <w:color w:val="7F7F7F" w:themeColor="text1" w:themeTint="80"/>
          <w:sz w:val="21"/>
          <w:szCs w:val="21"/>
          <w:lang w:val="sr-Cyrl-RS"/>
        </w:rPr>
        <w:t>За оцену укупне осетљивости јавних прихода прво се оцењују еластичности следећих категорија прихода (приходи чија се пореска основица сматра циклично осетљивом): пореза на доходак, пореза на добит, социјалних доприноса и пореза на потрошњу.</w:t>
      </w:r>
    </w:p>
    <w:p w:rsidR="00D77048" w:rsidRPr="00D77048" w:rsidRDefault="00D77048" w:rsidP="00D77048">
      <w:pPr>
        <w:rPr>
          <w:rFonts w:asciiTheme="majorHAnsi" w:eastAsia="Calibri" w:hAnsiTheme="majorHAnsi" w:cs="Times New Roman"/>
          <w:bCs w:val="0"/>
          <w:color w:val="7F7F7F" w:themeColor="text1" w:themeTint="80"/>
          <w:sz w:val="21"/>
          <w:szCs w:val="21"/>
          <w:lang w:val="sr-Cyrl-RS"/>
        </w:rPr>
      </w:pPr>
      <w:r w:rsidRPr="00D77048">
        <w:rPr>
          <w:rFonts w:asciiTheme="majorHAnsi" w:eastAsia="Calibri" w:hAnsiTheme="majorHAnsi" w:cs="Times New Roman"/>
          <w:bCs w:val="0"/>
          <w:color w:val="7F7F7F" w:themeColor="text1" w:themeTint="80"/>
          <w:sz w:val="21"/>
          <w:szCs w:val="21"/>
          <w:lang w:val="sr-Cyrl-RS"/>
        </w:rPr>
        <w:t xml:space="preserve">На страни расхода, у оквиру методологије ОЕЦД врши се оцењивање еластичности јаза незапослености, јер се претпоставља да је једино та компонента циклично осетљива, односно под утицајем пословног циклуса. Иако се и за неке друге категорије расхода може сматрати да су циклични (део расхода за социјалну помоћ), према ОЕЦД приступу они се сматрају дискреционим. </w:t>
      </w:r>
    </w:p>
    <w:p w:rsidR="00D77048" w:rsidRPr="00D77048" w:rsidRDefault="00D77048" w:rsidP="00D77048">
      <w:pPr>
        <w:rPr>
          <w:rFonts w:asciiTheme="majorHAnsi" w:eastAsia="Calibri" w:hAnsiTheme="majorHAnsi" w:cs="Times New Roman"/>
          <w:bCs w:val="0"/>
          <w:color w:val="7F7F7F" w:themeColor="text1" w:themeTint="80"/>
          <w:sz w:val="21"/>
          <w:szCs w:val="21"/>
          <w:lang w:val="sr-Cyrl-RS"/>
        </w:rPr>
      </w:pPr>
      <w:r w:rsidRPr="00D77048">
        <w:rPr>
          <w:rFonts w:asciiTheme="majorHAnsi" w:eastAsia="Calibri" w:hAnsiTheme="majorHAnsi" w:cs="Times New Roman"/>
          <w:bCs w:val="0"/>
          <w:color w:val="7F7F7F" w:themeColor="text1" w:themeTint="80"/>
          <w:sz w:val="21"/>
          <w:szCs w:val="21"/>
          <w:lang w:val="sr-Cyrl-RS"/>
        </w:rPr>
        <w:t xml:space="preserve">За оцену еластичности неопходно је проценити еластичност појединачне пореске основице у односу на производни јаз, а то се врши применом одговарајућих економетријских метода. </w:t>
      </w:r>
      <w:r w:rsidRPr="00D77048">
        <w:rPr>
          <w:rFonts w:asciiTheme="majorHAnsi" w:eastAsia="Calibri" w:hAnsiTheme="majorHAnsi" w:cs="Times New Roman"/>
          <w:color w:val="7F7F7F" w:themeColor="text1" w:themeTint="80"/>
          <w:sz w:val="21"/>
          <w:szCs w:val="21"/>
          <w:lang w:val="sr-Cyrl-RS"/>
        </w:rPr>
        <w:t>Следећи корак у одређивању коефицијената осетљивости прихода и расхода (</w:t>
      </w:r>
      <w:r w:rsidRPr="00D77048">
        <w:rPr>
          <w:rFonts w:asciiTheme="majorHAnsi" w:eastAsia="Calibri" w:hAnsiTheme="majorHAnsi" w:cs="Times New Roman"/>
          <w:bCs w:val="0"/>
          <w:color w:val="7F7F7F" w:themeColor="text1" w:themeTint="80"/>
          <w:sz w:val="21"/>
          <w:szCs w:val="21"/>
          <w:lang w:val="sr-Cyrl-RS"/>
        </w:rPr>
        <w:t>η</w:t>
      </w:r>
      <w:r w:rsidRPr="00D77048">
        <w:rPr>
          <w:rFonts w:asciiTheme="majorHAnsi" w:eastAsia="Calibri" w:hAnsiTheme="majorHAnsi" w:cs="Times New Roman"/>
          <w:bCs w:val="0"/>
          <w:color w:val="7F7F7F" w:themeColor="text1" w:themeTint="80"/>
          <w:sz w:val="21"/>
          <w:szCs w:val="21"/>
          <w:vertAlign w:val="subscript"/>
          <w:lang w:val="sr-Cyrl-RS"/>
        </w:rPr>
        <w:t>Т</w:t>
      </w:r>
      <w:r w:rsidRPr="00D77048">
        <w:rPr>
          <w:rFonts w:asciiTheme="majorHAnsi" w:eastAsia="Calibri" w:hAnsiTheme="majorHAnsi" w:cs="Times New Roman"/>
          <w:color w:val="7F7F7F" w:themeColor="text1" w:themeTint="80"/>
          <w:sz w:val="21"/>
          <w:szCs w:val="21"/>
          <w:lang w:val="sr-Cyrl-RS"/>
        </w:rPr>
        <w:t xml:space="preserve"> и </w:t>
      </w:r>
      <w:r w:rsidRPr="00D77048">
        <w:rPr>
          <w:rFonts w:asciiTheme="majorHAnsi" w:eastAsia="Calibri" w:hAnsiTheme="majorHAnsi" w:cs="Times New Roman"/>
          <w:bCs w:val="0"/>
          <w:color w:val="7F7F7F" w:themeColor="text1" w:themeTint="80"/>
          <w:sz w:val="21"/>
          <w:szCs w:val="21"/>
          <w:lang w:val="sr-Cyrl-RS"/>
        </w:rPr>
        <w:t>η</w:t>
      </w:r>
      <w:r w:rsidRPr="00D77048">
        <w:rPr>
          <w:rFonts w:asciiTheme="majorHAnsi" w:eastAsia="Calibri" w:hAnsiTheme="majorHAnsi" w:cs="Times New Roman"/>
          <w:bCs w:val="0"/>
          <w:color w:val="7F7F7F" w:themeColor="text1" w:themeTint="80"/>
          <w:sz w:val="21"/>
          <w:szCs w:val="21"/>
          <w:vertAlign w:val="subscript"/>
          <w:lang w:val="sr-Cyrl-RS"/>
        </w:rPr>
        <w:t>G</w:t>
      </w:r>
      <w:r w:rsidRPr="00D77048">
        <w:rPr>
          <w:rFonts w:asciiTheme="majorHAnsi" w:eastAsia="Calibri" w:hAnsiTheme="majorHAnsi" w:cs="Times New Roman"/>
          <w:color w:val="7F7F7F" w:themeColor="text1" w:themeTint="80"/>
          <w:sz w:val="21"/>
          <w:szCs w:val="21"/>
          <w:lang w:val="sr-Cyrl-RS"/>
        </w:rPr>
        <w:t xml:space="preserve">), је пондерисање добијених еластичности </w:t>
      </w:r>
      <w:r w:rsidRPr="00D77048">
        <w:rPr>
          <w:rFonts w:asciiTheme="majorHAnsi" w:eastAsia="Calibri" w:hAnsiTheme="majorHAnsi" w:cs="Times New Roman"/>
          <w:bCs w:val="0"/>
          <w:color w:val="7F7F7F" w:themeColor="text1" w:themeTint="80"/>
          <w:sz w:val="21"/>
          <w:szCs w:val="21"/>
          <w:lang w:val="sr-Cyrl-RS"/>
        </w:rPr>
        <w:t xml:space="preserve">учешћем у примарним приходима или расходима, и њиховим сабирањем се добијају коефицијенти укупне еластичности. </w:t>
      </w:r>
    </w:p>
    <w:p w:rsidR="00D77048" w:rsidRPr="00D77048" w:rsidRDefault="00D77048" w:rsidP="00D77048">
      <w:pPr>
        <w:rPr>
          <w:rFonts w:asciiTheme="majorHAnsi" w:eastAsia="Calibri" w:hAnsiTheme="majorHAnsi" w:cs="Times New Roman"/>
          <w:bCs w:val="0"/>
          <w:color w:val="7F7F7F" w:themeColor="text1" w:themeTint="80"/>
          <w:sz w:val="21"/>
          <w:szCs w:val="21"/>
          <w:lang w:val="sr-Cyrl-RS"/>
        </w:rPr>
      </w:pPr>
      <w:r w:rsidRPr="00D77048">
        <w:rPr>
          <w:rFonts w:asciiTheme="majorHAnsi" w:eastAsia="Calibri" w:hAnsiTheme="majorHAnsi" w:cs="Times New Roman"/>
          <w:bCs w:val="0"/>
          <w:color w:val="7F7F7F" w:themeColor="text1" w:themeTint="80"/>
          <w:sz w:val="21"/>
          <w:szCs w:val="21"/>
          <w:lang w:val="sr-Cyrl-RS"/>
        </w:rPr>
        <w:t>Множењем овако добијених еластичности прихода и расхода са учешћем циклично осетљивих прихода и расхода у БДП</w:t>
      </w:r>
      <w:r w:rsidRPr="00D77048">
        <w:rPr>
          <w:rFonts w:asciiTheme="majorHAnsi" w:eastAsia="Calibri" w:hAnsiTheme="majorHAnsi" w:cs="Times New Roman"/>
          <w:color w:val="7F7F7F" w:themeColor="text1" w:themeTint="80"/>
          <w:sz w:val="21"/>
          <w:szCs w:val="21"/>
          <w:lang w:val="sr-Cyrl-RS"/>
        </w:rPr>
        <w:t xml:space="preserve"> (просек периода), добијају се коефицијенти осетљивости јавних прихода и расхода, и за приходе оцењено је да износи </w:t>
      </w:r>
      <w:r w:rsidRPr="00D77048">
        <w:rPr>
          <w:rFonts w:asciiTheme="majorHAnsi" w:eastAsia="Calibri" w:hAnsiTheme="majorHAnsi" w:cs="Times New Roman"/>
          <w:bCs w:val="0"/>
          <w:color w:val="7F7F7F" w:themeColor="text1" w:themeTint="80"/>
          <w:sz w:val="21"/>
          <w:szCs w:val="21"/>
          <w:lang w:val="sr-Cyrl-RS"/>
        </w:rPr>
        <w:t>η</w:t>
      </w:r>
      <w:r w:rsidRPr="00D77048">
        <w:rPr>
          <w:rFonts w:asciiTheme="majorHAnsi" w:eastAsia="Calibri" w:hAnsiTheme="majorHAnsi" w:cs="Times New Roman"/>
          <w:bCs w:val="0"/>
          <w:color w:val="7F7F7F" w:themeColor="text1" w:themeTint="80"/>
          <w:sz w:val="21"/>
          <w:szCs w:val="21"/>
          <w:vertAlign w:val="subscript"/>
          <w:lang w:val="sr-Cyrl-RS"/>
        </w:rPr>
        <w:t>Т</w:t>
      </w:r>
      <w:r w:rsidRPr="00D77048">
        <w:rPr>
          <w:rFonts w:asciiTheme="majorHAnsi" w:eastAsia="Calibri" w:hAnsiTheme="majorHAnsi" w:cs="Times New Roman"/>
          <w:bCs w:val="0"/>
          <w:color w:val="7F7F7F" w:themeColor="text1" w:themeTint="80"/>
          <w:sz w:val="21"/>
          <w:szCs w:val="21"/>
          <w:lang w:val="sr-Cyrl-RS"/>
        </w:rPr>
        <w:t>=0,386 а за расходе η</w:t>
      </w:r>
      <w:r w:rsidRPr="00D77048">
        <w:rPr>
          <w:rFonts w:asciiTheme="majorHAnsi" w:eastAsia="Calibri" w:hAnsiTheme="majorHAnsi" w:cs="Times New Roman"/>
          <w:bCs w:val="0"/>
          <w:color w:val="7F7F7F" w:themeColor="text1" w:themeTint="80"/>
          <w:sz w:val="21"/>
          <w:szCs w:val="21"/>
          <w:vertAlign w:val="subscript"/>
          <w:lang w:val="sr-Cyrl-RS"/>
        </w:rPr>
        <w:t>G</w:t>
      </w:r>
      <w:r w:rsidRPr="00D77048">
        <w:rPr>
          <w:rFonts w:asciiTheme="majorHAnsi" w:eastAsia="Calibri" w:hAnsiTheme="majorHAnsi" w:cs="Times New Roman"/>
          <w:bCs w:val="0"/>
          <w:color w:val="7F7F7F" w:themeColor="text1" w:themeTint="80"/>
          <w:sz w:val="21"/>
          <w:szCs w:val="21"/>
          <w:lang w:val="sr-Cyrl-RS"/>
        </w:rPr>
        <w:t>=-0,01</w:t>
      </w:r>
      <w:r w:rsidRPr="00D77048">
        <w:rPr>
          <w:rFonts w:asciiTheme="majorHAnsi" w:eastAsia="Calibri" w:hAnsiTheme="majorHAnsi" w:cs="Times New Roman"/>
          <w:color w:val="7F7F7F" w:themeColor="text1" w:themeTint="80"/>
          <w:sz w:val="21"/>
          <w:szCs w:val="21"/>
          <w:lang w:val="sr-Cyrl-RS"/>
        </w:rPr>
        <w:t xml:space="preserve">. Укупна осетљивост фискалног баланса добијена као збир осетљивости прихода и расхода је </w:t>
      </w:r>
      <w:r w:rsidRPr="00D77048">
        <w:rPr>
          <w:rFonts w:asciiTheme="majorHAnsi" w:eastAsia="Calibri" w:hAnsiTheme="majorHAnsi" w:cs="Times New Roman"/>
          <w:bCs w:val="0"/>
          <w:color w:val="7F7F7F" w:themeColor="text1" w:themeTint="80"/>
          <w:sz w:val="21"/>
          <w:szCs w:val="21"/>
          <w:lang w:val="sr-Cyrl-RS"/>
        </w:rPr>
        <w:t>η = 0,386 – (-0,01</w:t>
      </w:r>
      <w:r w:rsidRPr="00D77048">
        <w:rPr>
          <w:rFonts w:asciiTheme="majorHAnsi" w:eastAsia="Calibri" w:hAnsiTheme="majorHAnsi" w:cs="Times New Roman"/>
          <w:color w:val="7F7F7F" w:themeColor="text1" w:themeTint="80"/>
          <w:sz w:val="21"/>
          <w:szCs w:val="21"/>
          <w:lang w:val="sr-Cyrl-RS"/>
        </w:rPr>
        <w:t>) = 0,387.</w:t>
      </w:r>
    </w:p>
    <w:p w:rsidR="00197D7D" w:rsidRDefault="00D77048" w:rsidP="00D77048">
      <w:pPr>
        <w:rPr>
          <w:rFonts w:asciiTheme="majorHAnsi" w:eastAsia="Calibri" w:hAnsiTheme="majorHAnsi" w:cs="Times New Roman"/>
          <w:bCs w:val="0"/>
          <w:color w:val="7F7F7F" w:themeColor="text1" w:themeTint="80"/>
          <w:sz w:val="21"/>
          <w:szCs w:val="22"/>
          <w:lang w:val="sr-Cyrl-RS"/>
        </w:rPr>
      </w:pPr>
      <w:r w:rsidRPr="00D77048">
        <w:rPr>
          <w:rFonts w:asciiTheme="majorHAnsi" w:eastAsia="Calibri" w:hAnsiTheme="majorHAnsi" w:cs="Times New Roman"/>
          <w:bCs w:val="0"/>
          <w:color w:val="7F7F7F" w:themeColor="text1" w:themeTint="80"/>
          <w:sz w:val="21"/>
          <w:szCs w:val="21"/>
          <w:lang w:val="sr-Cyrl-RS"/>
        </w:rPr>
        <w:t xml:space="preserve">Добијени резултати и њихово тумачење у великој мери зависе од дужине коришћене серије у економетријској оцени еластичности, од поузданости статистичких података, постојања структурних ломова у серији, промена методологије и обухвата. Значајан утицај на оцену фискалне позиције има избор методе за оцену производног јаза. У следећој табели приказан је оцењен производни јаз добијен на основу </w:t>
      </w:r>
      <w:r w:rsidRPr="00D77048">
        <w:rPr>
          <w:rFonts w:asciiTheme="majorHAnsi" w:eastAsia="Calibri" w:hAnsiTheme="majorHAnsi" w:cs="Times New Roman"/>
          <w:bCs w:val="0"/>
          <w:i/>
          <w:color w:val="7F7F7F" w:themeColor="text1" w:themeTint="80"/>
          <w:sz w:val="21"/>
          <w:szCs w:val="21"/>
          <w:lang w:val="sr-Cyrl-RS"/>
        </w:rPr>
        <w:t>Cobb–Douglas-</w:t>
      </w:r>
      <w:r w:rsidRPr="00851EE2">
        <w:rPr>
          <w:rFonts w:asciiTheme="majorHAnsi" w:eastAsia="Calibri" w:hAnsiTheme="majorHAnsi" w:cs="Times New Roman"/>
          <w:bCs w:val="0"/>
          <w:color w:val="7F7F7F" w:themeColor="text1" w:themeTint="80"/>
          <w:sz w:val="21"/>
          <w:szCs w:val="21"/>
          <w:lang w:val="sr-Cyrl-RS"/>
        </w:rPr>
        <w:t>ове</w:t>
      </w:r>
      <w:r w:rsidRPr="00D77048">
        <w:rPr>
          <w:rFonts w:asciiTheme="majorHAnsi" w:eastAsia="Calibri" w:hAnsiTheme="majorHAnsi" w:cs="Times New Roman"/>
          <w:bCs w:val="0"/>
          <w:color w:val="7F7F7F" w:themeColor="text1" w:themeTint="80"/>
          <w:sz w:val="21"/>
          <w:szCs w:val="21"/>
          <w:lang w:val="sr-Cyrl-RS"/>
        </w:rPr>
        <w:t xml:space="preserve"> производне функције. Применом других метода (</w:t>
      </w:r>
      <w:r w:rsidR="00B97A4D">
        <w:rPr>
          <w:rFonts w:asciiTheme="majorHAnsi" w:eastAsia="Calibri" w:hAnsiTheme="majorHAnsi" w:cs="Times New Roman"/>
          <w:bCs w:val="0"/>
          <w:i/>
          <w:color w:val="7F7F7F" w:themeColor="text1" w:themeTint="80"/>
          <w:sz w:val="21"/>
          <w:szCs w:val="21"/>
          <w:lang w:val="sr-Cyrl-RS"/>
        </w:rPr>
        <w:t>Hodrik–</w:t>
      </w:r>
      <w:r w:rsidRPr="00D77048">
        <w:rPr>
          <w:rFonts w:asciiTheme="majorHAnsi" w:eastAsia="Calibri" w:hAnsiTheme="majorHAnsi" w:cs="Times New Roman"/>
          <w:bCs w:val="0"/>
          <w:i/>
          <w:color w:val="7F7F7F" w:themeColor="text1" w:themeTint="80"/>
          <w:sz w:val="21"/>
          <w:szCs w:val="21"/>
          <w:lang w:val="sr-Cyrl-RS"/>
        </w:rPr>
        <w:t>Prescott</w:t>
      </w:r>
      <w:r w:rsidRPr="00D77048">
        <w:rPr>
          <w:rFonts w:asciiTheme="majorHAnsi" w:eastAsia="Calibri" w:hAnsiTheme="majorHAnsi" w:cs="Times New Roman"/>
          <w:bCs w:val="0"/>
          <w:color w:val="7F7F7F" w:themeColor="text1" w:themeTint="80"/>
          <w:sz w:val="21"/>
          <w:szCs w:val="21"/>
          <w:lang w:val="sr-Cyrl-RS"/>
        </w:rPr>
        <w:t xml:space="preserve"> филтер, </w:t>
      </w:r>
      <w:r w:rsidRPr="00D77048">
        <w:rPr>
          <w:rFonts w:asciiTheme="majorHAnsi" w:eastAsia="Calibri" w:hAnsiTheme="majorHAnsi" w:cs="Times New Roman"/>
          <w:bCs w:val="0"/>
          <w:i/>
          <w:color w:val="7F7F7F" w:themeColor="text1" w:themeTint="80"/>
          <w:sz w:val="21"/>
          <w:szCs w:val="21"/>
          <w:lang w:val="sr-Cyrl-RS"/>
        </w:rPr>
        <w:t>Kalman</w:t>
      </w:r>
      <w:r w:rsidRPr="00D77048">
        <w:rPr>
          <w:rFonts w:asciiTheme="majorHAnsi" w:eastAsia="Calibri" w:hAnsiTheme="majorHAnsi" w:cs="Times New Roman"/>
          <w:bCs w:val="0"/>
          <w:color w:val="7F7F7F" w:themeColor="text1" w:themeTint="80"/>
          <w:sz w:val="21"/>
          <w:szCs w:val="21"/>
          <w:lang w:val="sr-Cyrl-RS"/>
        </w:rPr>
        <w:t xml:space="preserve"> филтер и др.) добијени су квалитативно слични резултати. Све методе процене у периоду након кризе дају ниже вредности потенцијалног раста, тако да су и вредности негативног производног јаза релативно мање, а позитиван производни јаз се достиже на крају пројекционог периода</w:t>
      </w:r>
      <w:r w:rsidR="00197D7D" w:rsidRPr="00171A80">
        <w:rPr>
          <w:rFonts w:asciiTheme="majorHAnsi" w:eastAsia="Calibri" w:hAnsiTheme="majorHAnsi" w:cs="Times New Roman"/>
          <w:bCs w:val="0"/>
          <w:color w:val="7F7F7F" w:themeColor="text1" w:themeTint="80"/>
          <w:sz w:val="21"/>
          <w:szCs w:val="22"/>
          <w:lang w:val="sr-Cyrl-RS"/>
        </w:rPr>
        <w:t xml:space="preserve">. </w:t>
      </w:r>
    </w:p>
    <w:p w:rsidR="001319BA" w:rsidRDefault="001319BA" w:rsidP="00D77048">
      <w:pPr>
        <w:rPr>
          <w:rFonts w:asciiTheme="majorHAnsi" w:eastAsia="Calibri" w:hAnsiTheme="majorHAnsi" w:cs="Times New Roman"/>
          <w:bCs w:val="0"/>
          <w:color w:val="7F7F7F" w:themeColor="text1" w:themeTint="80"/>
          <w:sz w:val="21"/>
          <w:szCs w:val="22"/>
          <w:lang w:val="sr-Cyrl-RS"/>
        </w:rPr>
      </w:pPr>
    </w:p>
    <w:p w:rsidR="001319BA" w:rsidRPr="00171A80" w:rsidRDefault="001319BA" w:rsidP="00D77048">
      <w:pPr>
        <w:rPr>
          <w:rFonts w:asciiTheme="majorHAnsi" w:eastAsia="Calibri" w:hAnsiTheme="majorHAnsi" w:cs="Times New Roman"/>
          <w:bCs w:val="0"/>
          <w:color w:val="7F7F7F" w:themeColor="text1" w:themeTint="80"/>
          <w:sz w:val="21"/>
          <w:szCs w:val="22"/>
          <w:lang w:val="sr-Cyrl-RS"/>
        </w:rPr>
      </w:pPr>
    </w:p>
    <w:p w:rsidR="00197D7D" w:rsidRPr="00171A80" w:rsidRDefault="003F6B80" w:rsidP="001319BA">
      <w:pPr>
        <w:ind w:firstLine="0"/>
        <w:jc w:val="left"/>
        <w:rPr>
          <w:rFonts w:asciiTheme="majorHAnsi" w:eastAsia="Calibri" w:hAnsiTheme="majorHAnsi" w:cs="Times New Roman"/>
          <w:bCs w:val="0"/>
          <w:color w:val="7F7F7F" w:themeColor="text1" w:themeTint="80"/>
          <w:sz w:val="21"/>
          <w:szCs w:val="22"/>
          <w:lang w:val="sr-Cyrl-RS"/>
        </w:rPr>
      </w:pPr>
      <w:r w:rsidRPr="00171A80">
        <w:rPr>
          <w:rFonts w:asciiTheme="majorHAnsi" w:eastAsia="Calibri" w:hAnsiTheme="majorHAnsi" w:cs="Times New Roman"/>
          <w:b/>
          <w:bCs w:val="0"/>
          <w:color w:val="7F7F7F" w:themeColor="text1" w:themeTint="80"/>
          <w:sz w:val="21"/>
          <w:szCs w:val="22"/>
          <w:lang w:val="sr-Cyrl-RS"/>
        </w:rPr>
        <w:lastRenderedPageBreak/>
        <w:t>Табела 14</w:t>
      </w:r>
      <w:r w:rsidR="00197D7D" w:rsidRPr="00171A80">
        <w:rPr>
          <w:rFonts w:asciiTheme="majorHAnsi" w:eastAsia="Calibri" w:hAnsiTheme="majorHAnsi" w:cs="Times New Roman"/>
          <w:b/>
          <w:bCs w:val="0"/>
          <w:color w:val="7F7F7F" w:themeColor="text1" w:themeTint="80"/>
          <w:sz w:val="21"/>
          <w:szCs w:val="22"/>
          <w:lang w:val="sr-Cyrl-RS"/>
        </w:rPr>
        <w:t>. Фискални баланс и компоненте за обрачун циклично прил</w:t>
      </w:r>
      <w:r w:rsidR="00D143C5" w:rsidRPr="00171A80">
        <w:rPr>
          <w:rFonts w:asciiTheme="majorHAnsi" w:eastAsia="Calibri" w:hAnsiTheme="majorHAnsi" w:cs="Times New Roman"/>
          <w:b/>
          <w:bCs w:val="0"/>
          <w:color w:val="7F7F7F" w:themeColor="text1" w:themeTint="80"/>
          <w:sz w:val="21"/>
          <w:szCs w:val="22"/>
          <w:lang w:val="sr-Cyrl-RS"/>
        </w:rPr>
        <w:t>агођеног баланса у периоду 2005</w:t>
      </w:r>
      <w:r w:rsidR="00197D7D" w:rsidRPr="00171A80">
        <w:rPr>
          <w:rFonts w:asciiTheme="majorHAnsi" w:eastAsia="Calibri" w:hAnsiTheme="majorHAnsi" w:cs="Times New Roman"/>
          <w:b/>
          <w:bCs w:val="0"/>
          <w:color w:val="7F7F7F" w:themeColor="text1" w:themeTint="80"/>
          <w:sz w:val="21"/>
          <w:szCs w:val="22"/>
          <w:lang w:val="sr-Cyrl-RS"/>
        </w:rPr>
        <w:t xml:space="preserve"> - 2017. године, у % БДП</w:t>
      </w:r>
    </w:p>
    <w:tbl>
      <w:tblPr>
        <w:tblStyle w:val="LightShading-Accent342"/>
        <w:tblW w:w="9035" w:type="dxa"/>
        <w:tblLayout w:type="fixed"/>
        <w:tblLook w:val="04A0" w:firstRow="1" w:lastRow="0" w:firstColumn="1" w:lastColumn="0" w:noHBand="0" w:noVBand="1"/>
      </w:tblPr>
      <w:tblGrid>
        <w:gridCol w:w="651"/>
        <w:gridCol w:w="1192"/>
        <w:gridCol w:w="992"/>
        <w:gridCol w:w="1134"/>
        <w:gridCol w:w="1276"/>
        <w:gridCol w:w="1276"/>
        <w:gridCol w:w="1316"/>
        <w:gridCol w:w="1198"/>
      </w:tblGrid>
      <w:tr w:rsidR="00197D7D" w:rsidRPr="00171A80" w:rsidTr="00BC66CD">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bCs/>
                <w:color w:val="808080" w:themeColor="background1" w:themeShade="80"/>
                <w:sz w:val="16"/>
                <w:szCs w:val="16"/>
                <w:lang w:val="sr-Cyrl-RS"/>
              </w:rPr>
              <w:t> </w:t>
            </w:r>
          </w:p>
        </w:tc>
        <w:tc>
          <w:tcPr>
            <w:tcW w:w="1192" w:type="dxa"/>
            <w:vAlign w:val="center"/>
            <w:hideMark/>
          </w:tcPr>
          <w:p w:rsidR="00197D7D" w:rsidRPr="00171A80" w:rsidRDefault="00197D7D" w:rsidP="00197D7D">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808080" w:themeColor="background1" w:themeShade="80"/>
                <w:sz w:val="16"/>
                <w:szCs w:val="16"/>
                <w:lang w:val="sr-Cyrl-RS"/>
              </w:rPr>
            </w:pPr>
            <w:r w:rsidRPr="00171A80">
              <w:rPr>
                <w:rFonts w:asciiTheme="majorHAnsi" w:eastAsia="Calibri" w:hAnsiTheme="majorHAnsi" w:cs="Times New Roman"/>
                <w:bCs/>
                <w:color w:val="808080" w:themeColor="background1" w:themeShade="80"/>
                <w:sz w:val="16"/>
                <w:szCs w:val="16"/>
                <w:lang w:val="sr-Cyrl-RS"/>
              </w:rPr>
              <w:t>производни јаз</w:t>
            </w:r>
          </w:p>
        </w:tc>
        <w:tc>
          <w:tcPr>
            <w:tcW w:w="992" w:type="dxa"/>
            <w:vAlign w:val="center"/>
            <w:hideMark/>
          </w:tcPr>
          <w:p w:rsidR="00197D7D" w:rsidRPr="00171A80" w:rsidRDefault="00197D7D" w:rsidP="00197D7D">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808080" w:themeColor="background1" w:themeShade="80"/>
                <w:sz w:val="16"/>
                <w:szCs w:val="16"/>
                <w:lang w:val="sr-Cyrl-RS"/>
              </w:rPr>
            </w:pPr>
            <w:r w:rsidRPr="00171A80">
              <w:rPr>
                <w:rFonts w:asciiTheme="majorHAnsi" w:eastAsia="Calibri" w:hAnsiTheme="majorHAnsi" w:cs="Times New Roman"/>
                <w:bCs/>
                <w:color w:val="808080" w:themeColor="background1" w:themeShade="80"/>
                <w:sz w:val="16"/>
                <w:szCs w:val="16"/>
                <w:lang w:val="sr-Cyrl-RS"/>
              </w:rPr>
              <w:t xml:space="preserve">фискални </w:t>
            </w:r>
            <w:r w:rsidRPr="00171A80">
              <w:rPr>
                <w:rFonts w:asciiTheme="majorHAnsi" w:eastAsia="Calibri" w:hAnsiTheme="majorHAnsi" w:cs="Times New Roman"/>
                <w:bCs/>
                <w:color w:val="808080" w:themeColor="background1" w:themeShade="80"/>
                <w:sz w:val="16"/>
                <w:szCs w:val="16"/>
                <w:lang w:val="sr-Cyrl-RS"/>
              </w:rPr>
              <w:br/>
              <w:t>баланс</w:t>
            </w:r>
          </w:p>
        </w:tc>
        <w:tc>
          <w:tcPr>
            <w:tcW w:w="1134" w:type="dxa"/>
            <w:vAlign w:val="center"/>
            <w:hideMark/>
          </w:tcPr>
          <w:p w:rsidR="00197D7D" w:rsidRPr="00171A80" w:rsidRDefault="00197D7D" w:rsidP="00197D7D">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808080" w:themeColor="background1" w:themeShade="80"/>
                <w:sz w:val="16"/>
                <w:szCs w:val="16"/>
                <w:lang w:val="sr-Cyrl-RS"/>
              </w:rPr>
            </w:pPr>
            <w:r w:rsidRPr="00171A80">
              <w:rPr>
                <w:rFonts w:asciiTheme="majorHAnsi" w:eastAsia="Calibri" w:hAnsiTheme="majorHAnsi" w:cs="Times New Roman"/>
                <w:bCs/>
                <w:color w:val="808080" w:themeColor="background1" w:themeShade="80"/>
                <w:sz w:val="16"/>
                <w:szCs w:val="16"/>
                <w:lang w:val="sr-Cyrl-RS"/>
              </w:rPr>
              <w:t>примарни фискални баланс</w:t>
            </w:r>
          </w:p>
        </w:tc>
        <w:tc>
          <w:tcPr>
            <w:tcW w:w="1276" w:type="dxa"/>
            <w:vAlign w:val="center"/>
            <w:hideMark/>
          </w:tcPr>
          <w:p w:rsidR="00197D7D" w:rsidRPr="00171A80" w:rsidRDefault="00197D7D" w:rsidP="00197D7D">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808080" w:themeColor="background1" w:themeShade="80"/>
                <w:sz w:val="16"/>
                <w:szCs w:val="16"/>
                <w:lang w:val="sr-Cyrl-RS"/>
              </w:rPr>
            </w:pPr>
            <w:r w:rsidRPr="00171A80">
              <w:rPr>
                <w:rFonts w:asciiTheme="majorHAnsi" w:eastAsia="Calibri" w:hAnsiTheme="majorHAnsi" w:cs="Times New Roman"/>
                <w:bCs/>
                <w:color w:val="808080" w:themeColor="background1" w:themeShade="80"/>
                <w:sz w:val="16"/>
                <w:szCs w:val="16"/>
                <w:lang w:val="sr-Cyrl-RS"/>
              </w:rPr>
              <w:t>циклична компонента</w:t>
            </w:r>
            <w:r w:rsidRPr="00171A80">
              <w:rPr>
                <w:rFonts w:asciiTheme="majorHAnsi" w:eastAsia="Calibri" w:hAnsiTheme="majorHAnsi" w:cs="Times New Roman"/>
                <w:bCs/>
                <w:color w:val="808080" w:themeColor="background1" w:themeShade="80"/>
                <w:sz w:val="16"/>
                <w:szCs w:val="16"/>
                <w:lang w:val="sr-Cyrl-RS"/>
              </w:rPr>
              <w:br/>
              <w:t>фискалног</w:t>
            </w:r>
            <w:r w:rsidRPr="00171A80">
              <w:rPr>
                <w:rFonts w:asciiTheme="majorHAnsi" w:eastAsia="Calibri" w:hAnsiTheme="majorHAnsi" w:cs="Times New Roman"/>
                <w:bCs/>
                <w:color w:val="808080" w:themeColor="background1" w:themeShade="80"/>
                <w:sz w:val="16"/>
                <w:szCs w:val="16"/>
                <w:lang w:val="sr-Cyrl-RS"/>
              </w:rPr>
              <w:br/>
              <w:t>баланса</w:t>
            </w:r>
          </w:p>
        </w:tc>
        <w:tc>
          <w:tcPr>
            <w:tcW w:w="1276" w:type="dxa"/>
            <w:vAlign w:val="center"/>
            <w:hideMark/>
          </w:tcPr>
          <w:p w:rsidR="00197D7D" w:rsidRPr="00171A80" w:rsidRDefault="00197D7D" w:rsidP="00197D7D">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808080" w:themeColor="background1" w:themeShade="80"/>
                <w:sz w:val="16"/>
                <w:szCs w:val="16"/>
                <w:lang w:val="sr-Cyrl-RS"/>
              </w:rPr>
            </w:pPr>
            <w:r w:rsidRPr="00171A80">
              <w:rPr>
                <w:rFonts w:asciiTheme="majorHAnsi" w:eastAsia="Calibri" w:hAnsiTheme="majorHAnsi" w:cs="Times New Roman"/>
                <w:bCs/>
                <w:color w:val="808080" w:themeColor="background1" w:themeShade="80"/>
                <w:sz w:val="16"/>
                <w:szCs w:val="16"/>
                <w:lang w:val="sr-Cyrl-RS"/>
              </w:rPr>
              <w:t xml:space="preserve">циклично </w:t>
            </w:r>
            <w:r w:rsidRPr="00171A80">
              <w:rPr>
                <w:rFonts w:asciiTheme="majorHAnsi" w:eastAsia="Calibri" w:hAnsiTheme="majorHAnsi" w:cs="Times New Roman"/>
                <w:bCs/>
                <w:color w:val="808080" w:themeColor="background1" w:themeShade="80"/>
                <w:sz w:val="16"/>
                <w:szCs w:val="16"/>
                <w:lang w:val="sr-Cyrl-RS"/>
              </w:rPr>
              <w:br/>
              <w:t>прилагођени фискални баланс</w:t>
            </w:r>
          </w:p>
        </w:tc>
        <w:tc>
          <w:tcPr>
            <w:tcW w:w="1316" w:type="dxa"/>
            <w:vAlign w:val="center"/>
            <w:hideMark/>
          </w:tcPr>
          <w:p w:rsidR="00197D7D" w:rsidRPr="00171A80" w:rsidRDefault="00197D7D" w:rsidP="00197D7D">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808080" w:themeColor="background1" w:themeShade="80"/>
                <w:sz w:val="16"/>
                <w:szCs w:val="16"/>
                <w:lang w:val="sr-Cyrl-RS"/>
              </w:rPr>
            </w:pPr>
            <w:r w:rsidRPr="00171A80">
              <w:rPr>
                <w:rFonts w:asciiTheme="majorHAnsi" w:eastAsia="Calibri" w:hAnsiTheme="majorHAnsi" w:cs="Times New Roman"/>
                <w:bCs/>
                <w:color w:val="808080" w:themeColor="background1" w:themeShade="80"/>
                <w:sz w:val="16"/>
                <w:szCs w:val="16"/>
                <w:lang w:val="sr-Cyrl-RS"/>
              </w:rPr>
              <w:t xml:space="preserve">циклично </w:t>
            </w:r>
            <w:r w:rsidRPr="00171A80">
              <w:rPr>
                <w:rFonts w:asciiTheme="majorHAnsi" w:eastAsia="Calibri" w:hAnsiTheme="majorHAnsi" w:cs="Times New Roman"/>
                <w:bCs/>
                <w:color w:val="808080" w:themeColor="background1" w:themeShade="80"/>
                <w:sz w:val="16"/>
                <w:szCs w:val="16"/>
                <w:lang w:val="sr-Cyrl-RS"/>
              </w:rPr>
              <w:br/>
              <w:t>прилагођени примарни фискални баланс</w:t>
            </w:r>
          </w:p>
        </w:tc>
        <w:tc>
          <w:tcPr>
            <w:tcW w:w="1198" w:type="dxa"/>
            <w:vAlign w:val="center"/>
            <w:hideMark/>
          </w:tcPr>
          <w:p w:rsidR="00197D7D" w:rsidRPr="00171A80" w:rsidRDefault="00197D7D" w:rsidP="00197D7D">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Cs/>
                <w:color w:val="808080" w:themeColor="background1" w:themeShade="80"/>
                <w:sz w:val="16"/>
                <w:szCs w:val="16"/>
                <w:lang w:val="sr-Cyrl-RS"/>
              </w:rPr>
            </w:pPr>
            <w:r w:rsidRPr="00171A80">
              <w:rPr>
                <w:rFonts w:asciiTheme="majorHAnsi" w:eastAsia="Calibri" w:hAnsiTheme="majorHAnsi" w:cs="Times New Roman"/>
                <w:bCs/>
                <w:color w:val="808080" w:themeColor="background1" w:themeShade="80"/>
                <w:sz w:val="16"/>
                <w:szCs w:val="16"/>
                <w:lang w:val="sr-Cyrl-RS"/>
              </w:rPr>
              <w:t>карактер фискалне политике - фискални импулс</w:t>
            </w:r>
          </w:p>
        </w:tc>
      </w:tr>
      <w:tr w:rsidR="00197D7D" w:rsidRPr="00171A80" w:rsidTr="00BC66C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2005</w:t>
            </w:r>
          </w:p>
        </w:tc>
        <w:tc>
          <w:tcPr>
            <w:tcW w:w="11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-0,7</w:t>
            </w:r>
          </w:p>
        </w:tc>
        <w:tc>
          <w:tcPr>
            <w:tcW w:w="9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1,1</w:t>
            </w:r>
          </w:p>
        </w:tc>
        <w:tc>
          <w:tcPr>
            <w:tcW w:w="1134"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2,1</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-0,3</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1,4</w:t>
            </w:r>
          </w:p>
        </w:tc>
        <w:tc>
          <w:tcPr>
            <w:tcW w:w="1316"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2,3</w:t>
            </w:r>
          </w:p>
        </w:tc>
        <w:tc>
          <w:tcPr>
            <w:tcW w:w="1198"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 </w:t>
            </w:r>
          </w:p>
        </w:tc>
      </w:tr>
      <w:tr w:rsidR="00197D7D" w:rsidRPr="00171A80" w:rsidTr="00BC66CD">
        <w:trPr>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2006</w:t>
            </w:r>
          </w:p>
        </w:tc>
        <w:tc>
          <w:tcPr>
            <w:tcW w:w="11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-1,4</w:t>
            </w:r>
          </w:p>
        </w:tc>
        <w:tc>
          <w:tcPr>
            <w:tcW w:w="9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-1,4</w:t>
            </w:r>
          </w:p>
        </w:tc>
        <w:tc>
          <w:tcPr>
            <w:tcW w:w="1134"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-0,1</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-0,5</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-0,9</w:t>
            </w:r>
          </w:p>
        </w:tc>
        <w:tc>
          <w:tcPr>
            <w:tcW w:w="1316"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0,5</w:t>
            </w:r>
          </w:p>
        </w:tc>
        <w:tc>
          <w:tcPr>
            <w:tcW w:w="1198"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1,9</w:t>
            </w:r>
          </w:p>
        </w:tc>
      </w:tr>
      <w:tr w:rsidR="00197D7D" w:rsidRPr="00171A80" w:rsidTr="00BC66C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2007</w:t>
            </w:r>
          </w:p>
        </w:tc>
        <w:tc>
          <w:tcPr>
            <w:tcW w:w="11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1,1</w:t>
            </w:r>
          </w:p>
        </w:tc>
        <w:tc>
          <w:tcPr>
            <w:tcW w:w="9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-1,9</w:t>
            </w:r>
          </w:p>
        </w:tc>
        <w:tc>
          <w:tcPr>
            <w:tcW w:w="1134"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-1,3</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0,4</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-2,3</w:t>
            </w:r>
          </w:p>
        </w:tc>
        <w:tc>
          <w:tcPr>
            <w:tcW w:w="1316"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-1,8</w:t>
            </w:r>
          </w:p>
        </w:tc>
        <w:tc>
          <w:tcPr>
            <w:tcW w:w="1198"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2,2</w:t>
            </w:r>
          </w:p>
        </w:tc>
      </w:tr>
      <w:tr w:rsidR="00197D7D" w:rsidRPr="00171A80" w:rsidTr="00BC66CD">
        <w:trPr>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2008</w:t>
            </w:r>
          </w:p>
        </w:tc>
        <w:tc>
          <w:tcPr>
            <w:tcW w:w="11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1,9</w:t>
            </w:r>
          </w:p>
        </w:tc>
        <w:tc>
          <w:tcPr>
            <w:tcW w:w="9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-2,6</w:t>
            </w:r>
          </w:p>
        </w:tc>
        <w:tc>
          <w:tcPr>
            <w:tcW w:w="1134"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-2,1</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0,7</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-3,4</w:t>
            </w:r>
          </w:p>
        </w:tc>
        <w:tc>
          <w:tcPr>
            <w:tcW w:w="1316"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-2,8</w:t>
            </w:r>
          </w:p>
        </w:tc>
        <w:tc>
          <w:tcPr>
            <w:tcW w:w="1198"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1,0</w:t>
            </w:r>
          </w:p>
        </w:tc>
      </w:tr>
      <w:tr w:rsidR="00197D7D" w:rsidRPr="00171A80" w:rsidTr="00BC66C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2009</w:t>
            </w:r>
          </w:p>
        </w:tc>
        <w:tc>
          <w:tcPr>
            <w:tcW w:w="11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-2,7</w:t>
            </w:r>
          </w:p>
        </w:tc>
        <w:tc>
          <w:tcPr>
            <w:tcW w:w="9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-4,4</w:t>
            </w:r>
          </w:p>
        </w:tc>
        <w:tc>
          <w:tcPr>
            <w:tcW w:w="1134"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-3,8</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-1,0</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-3,4</w:t>
            </w:r>
          </w:p>
        </w:tc>
        <w:tc>
          <w:tcPr>
            <w:tcW w:w="1316"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-2,7</w:t>
            </w:r>
          </w:p>
        </w:tc>
        <w:tc>
          <w:tcPr>
            <w:tcW w:w="1198"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0,0</w:t>
            </w:r>
          </w:p>
        </w:tc>
      </w:tr>
      <w:tr w:rsidR="00197D7D" w:rsidRPr="00171A80" w:rsidTr="00BC66CD">
        <w:trPr>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2010</w:t>
            </w:r>
          </w:p>
        </w:tc>
        <w:tc>
          <w:tcPr>
            <w:tcW w:w="11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-2,1</w:t>
            </w:r>
          </w:p>
        </w:tc>
        <w:tc>
          <w:tcPr>
            <w:tcW w:w="9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-4,6</w:t>
            </w:r>
          </w:p>
        </w:tc>
        <w:tc>
          <w:tcPr>
            <w:tcW w:w="1134"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-3,5</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-0,8</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-3,8</w:t>
            </w:r>
          </w:p>
        </w:tc>
        <w:tc>
          <w:tcPr>
            <w:tcW w:w="1316"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-2,7</w:t>
            </w:r>
          </w:p>
        </w:tc>
        <w:tc>
          <w:tcPr>
            <w:tcW w:w="1198"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0,0</w:t>
            </w:r>
          </w:p>
        </w:tc>
      </w:tr>
      <w:tr w:rsidR="00197D7D" w:rsidRPr="00171A80" w:rsidTr="00BC66C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2011</w:t>
            </w:r>
          </w:p>
        </w:tc>
        <w:tc>
          <w:tcPr>
            <w:tcW w:w="11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-1,1</w:t>
            </w:r>
          </w:p>
        </w:tc>
        <w:tc>
          <w:tcPr>
            <w:tcW w:w="9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-4,8</w:t>
            </w:r>
          </w:p>
        </w:tc>
        <w:tc>
          <w:tcPr>
            <w:tcW w:w="1134"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-3,5</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-0,4</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-4,4</w:t>
            </w:r>
          </w:p>
        </w:tc>
        <w:tc>
          <w:tcPr>
            <w:tcW w:w="1316"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-3,1</w:t>
            </w:r>
          </w:p>
        </w:tc>
        <w:tc>
          <w:tcPr>
            <w:tcW w:w="1198"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0,4</w:t>
            </w:r>
          </w:p>
        </w:tc>
      </w:tr>
      <w:tr w:rsidR="00197D7D" w:rsidRPr="00171A80" w:rsidTr="00BC66CD">
        <w:trPr>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2012</w:t>
            </w:r>
          </w:p>
        </w:tc>
        <w:tc>
          <w:tcPr>
            <w:tcW w:w="11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-2,2</w:t>
            </w:r>
          </w:p>
        </w:tc>
        <w:tc>
          <w:tcPr>
            <w:tcW w:w="9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-7,0</w:t>
            </w:r>
          </w:p>
        </w:tc>
        <w:tc>
          <w:tcPr>
            <w:tcW w:w="1134"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-5,2</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-0,8</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-6,1</w:t>
            </w:r>
          </w:p>
        </w:tc>
        <w:tc>
          <w:tcPr>
            <w:tcW w:w="1316"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-4,4</w:t>
            </w:r>
          </w:p>
        </w:tc>
        <w:tc>
          <w:tcPr>
            <w:tcW w:w="1198"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1,3</w:t>
            </w:r>
          </w:p>
        </w:tc>
      </w:tr>
      <w:tr w:rsidR="00197D7D" w:rsidRPr="00171A80" w:rsidTr="00BC66C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2013</w:t>
            </w:r>
          </w:p>
        </w:tc>
        <w:tc>
          <w:tcPr>
            <w:tcW w:w="11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1,2</w:t>
            </w:r>
          </w:p>
        </w:tc>
        <w:tc>
          <w:tcPr>
            <w:tcW w:w="9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-5,3</w:t>
            </w:r>
          </w:p>
        </w:tc>
        <w:tc>
          <w:tcPr>
            <w:tcW w:w="1134"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-3,1</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0,5</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-5,8</w:t>
            </w:r>
          </w:p>
        </w:tc>
        <w:tc>
          <w:tcPr>
            <w:tcW w:w="1316"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-3,5</w:t>
            </w:r>
          </w:p>
        </w:tc>
        <w:tc>
          <w:tcPr>
            <w:tcW w:w="1198"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-0,8</w:t>
            </w:r>
          </w:p>
        </w:tc>
      </w:tr>
      <w:tr w:rsidR="00197D7D" w:rsidRPr="00171A80" w:rsidTr="00BC66CD">
        <w:trPr>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2014</w:t>
            </w:r>
          </w:p>
        </w:tc>
        <w:tc>
          <w:tcPr>
            <w:tcW w:w="11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-1,1</w:t>
            </w:r>
          </w:p>
        </w:tc>
        <w:tc>
          <w:tcPr>
            <w:tcW w:w="9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-7,9</w:t>
            </w:r>
          </w:p>
        </w:tc>
        <w:tc>
          <w:tcPr>
            <w:tcW w:w="1134"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-4,9</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-0,4</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-7,5</w:t>
            </w:r>
          </w:p>
        </w:tc>
        <w:tc>
          <w:tcPr>
            <w:tcW w:w="1316"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-4,5</w:t>
            </w:r>
          </w:p>
        </w:tc>
        <w:tc>
          <w:tcPr>
            <w:tcW w:w="1198"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1,0</w:t>
            </w:r>
          </w:p>
        </w:tc>
      </w:tr>
      <w:tr w:rsidR="00197D7D" w:rsidRPr="00171A80" w:rsidTr="00BC66C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2015</w:t>
            </w:r>
          </w:p>
        </w:tc>
        <w:tc>
          <w:tcPr>
            <w:tcW w:w="11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-2,2</w:t>
            </w:r>
          </w:p>
        </w:tc>
        <w:tc>
          <w:tcPr>
            <w:tcW w:w="9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-5,9</w:t>
            </w:r>
          </w:p>
        </w:tc>
        <w:tc>
          <w:tcPr>
            <w:tcW w:w="1134"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-2,5</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-0,8</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-5,0</w:t>
            </w:r>
          </w:p>
        </w:tc>
        <w:tc>
          <w:tcPr>
            <w:tcW w:w="1316"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-1,6</w:t>
            </w:r>
          </w:p>
        </w:tc>
        <w:tc>
          <w:tcPr>
            <w:tcW w:w="1198"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-2,9</w:t>
            </w:r>
          </w:p>
        </w:tc>
      </w:tr>
      <w:tr w:rsidR="00197D7D" w:rsidRPr="00171A80" w:rsidTr="00BC66CD">
        <w:trPr>
          <w:trHeight w:val="250"/>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2016</w:t>
            </w:r>
          </w:p>
        </w:tc>
        <w:tc>
          <w:tcPr>
            <w:tcW w:w="11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-1,1</w:t>
            </w:r>
          </w:p>
        </w:tc>
        <w:tc>
          <w:tcPr>
            <w:tcW w:w="992"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-4,7</w:t>
            </w:r>
          </w:p>
        </w:tc>
        <w:tc>
          <w:tcPr>
            <w:tcW w:w="1134"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-0,9</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-0,4</w:t>
            </w:r>
          </w:p>
        </w:tc>
        <w:tc>
          <w:tcPr>
            <w:tcW w:w="1276"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-4,3</w:t>
            </w:r>
          </w:p>
        </w:tc>
        <w:tc>
          <w:tcPr>
            <w:tcW w:w="1316" w:type="dxa"/>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-0,5</w:t>
            </w:r>
          </w:p>
        </w:tc>
        <w:tc>
          <w:tcPr>
            <w:tcW w:w="1198" w:type="dxa"/>
            <w:noWrap/>
            <w:hideMark/>
          </w:tcPr>
          <w:p w:rsidR="00197D7D" w:rsidRPr="00171A80" w:rsidRDefault="00197D7D" w:rsidP="00197D7D">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-1,2</w:t>
            </w:r>
          </w:p>
        </w:tc>
      </w:tr>
      <w:tr w:rsidR="00197D7D" w:rsidRPr="00171A80" w:rsidTr="00BC66C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51" w:type="dxa"/>
            <w:noWrap/>
            <w:hideMark/>
          </w:tcPr>
          <w:p w:rsidR="00197D7D" w:rsidRPr="00171A80" w:rsidRDefault="00197D7D" w:rsidP="00197D7D">
            <w:pPr>
              <w:spacing w:after="0"/>
              <w:ind w:firstLine="0"/>
              <w:rPr>
                <w:rFonts w:asciiTheme="majorHAnsi" w:eastAsia="Calibri" w:hAnsiTheme="majorHAnsi" w:cs="Times New Roman"/>
                <w:b w:val="0"/>
                <w:bCs/>
                <w:color w:val="808080" w:themeColor="background1" w:themeShade="80"/>
                <w:sz w:val="16"/>
                <w:szCs w:val="16"/>
                <w:lang w:val="sr-Cyrl-RS"/>
              </w:rPr>
            </w:pPr>
            <w:r w:rsidRPr="00171A80">
              <w:rPr>
                <w:rFonts w:asciiTheme="majorHAnsi" w:eastAsia="Calibri" w:hAnsiTheme="majorHAnsi" w:cs="Times New Roman"/>
                <w:b w:val="0"/>
                <w:bCs/>
                <w:color w:val="808080" w:themeColor="background1" w:themeShade="80"/>
                <w:sz w:val="16"/>
                <w:szCs w:val="16"/>
                <w:lang w:val="sr-Cyrl-RS"/>
              </w:rPr>
              <w:t>2017</w:t>
            </w:r>
          </w:p>
        </w:tc>
        <w:tc>
          <w:tcPr>
            <w:tcW w:w="11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0,3</w:t>
            </w:r>
          </w:p>
        </w:tc>
        <w:tc>
          <w:tcPr>
            <w:tcW w:w="992"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-3,8</w:t>
            </w:r>
          </w:p>
        </w:tc>
        <w:tc>
          <w:tcPr>
            <w:tcW w:w="1134"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0,2</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0,1</w:t>
            </w:r>
          </w:p>
        </w:tc>
        <w:tc>
          <w:tcPr>
            <w:tcW w:w="1276"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-3,9</w:t>
            </w:r>
          </w:p>
        </w:tc>
        <w:tc>
          <w:tcPr>
            <w:tcW w:w="1316" w:type="dxa"/>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0,1</w:t>
            </w:r>
          </w:p>
        </w:tc>
        <w:tc>
          <w:tcPr>
            <w:tcW w:w="1198" w:type="dxa"/>
            <w:noWrap/>
            <w:hideMark/>
          </w:tcPr>
          <w:p w:rsidR="00197D7D" w:rsidRPr="00171A80" w:rsidRDefault="00197D7D" w:rsidP="00197D7D">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16"/>
                <w:szCs w:val="16"/>
                <w:lang w:val="sr-Cyrl-RS"/>
              </w:rPr>
            </w:pPr>
            <w:r w:rsidRPr="00171A80">
              <w:rPr>
                <w:rFonts w:asciiTheme="majorHAnsi" w:eastAsia="Calibri" w:hAnsiTheme="majorHAnsi" w:cs="Times New Roman"/>
                <w:color w:val="808080" w:themeColor="background1" w:themeShade="80"/>
                <w:sz w:val="16"/>
                <w:szCs w:val="16"/>
                <w:lang w:val="sr-Cyrl-RS"/>
              </w:rPr>
              <w:t>-0,6</w:t>
            </w:r>
          </w:p>
        </w:tc>
      </w:tr>
    </w:tbl>
    <w:p w:rsidR="00197D7D" w:rsidRPr="00171A80" w:rsidRDefault="00197D7D" w:rsidP="00197D7D">
      <w:pPr>
        <w:spacing w:after="0"/>
        <w:ind w:firstLine="0"/>
        <w:rPr>
          <w:rFonts w:asciiTheme="majorHAnsi" w:eastAsia="Calibri" w:hAnsiTheme="majorHAnsi" w:cs="Times New Roman"/>
          <w:bCs w:val="0"/>
          <w:color w:val="7F7F7F" w:themeColor="text1" w:themeTint="80"/>
          <w:sz w:val="18"/>
          <w:szCs w:val="18"/>
          <w:lang w:val="sr-Cyrl-RS"/>
        </w:rPr>
      </w:pPr>
      <w:r w:rsidRPr="00171A80">
        <w:rPr>
          <w:rFonts w:asciiTheme="majorHAnsi" w:eastAsia="Calibri" w:hAnsiTheme="majorHAnsi" w:cs="Times New Roman"/>
          <w:bCs w:val="0"/>
          <w:color w:val="7F7F7F" w:themeColor="text1" w:themeTint="80"/>
          <w:sz w:val="18"/>
          <w:szCs w:val="18"/>
          <w:lang w:val="sr-Cyrl-RS"/>
        </w:rPr>
        <w:t xml:space="preserve">* </w:t>
      </w:r>
      <w:r w:rsidR="00B97A4D">
        <w:rPr>
          <w:rFonts w:asciiTheme="majorHAnsi" w:eastAsia="Calibri" w:hAnsiTheme="majorHAnsi" w:cs="Times New Roman"/>
          <w:bCs w:val="0"/>
          <w:color w:val="7F7F7F" w:themeColor="text1" w:themeTint="80"/>
          <w:sz w:val="18"/>
          <w:szCs w:val="18"/>
          <w:lang w:val="sr-Latn-RS"/>
        </w:rPr>
        <w:t xml:space="preserve">  </w:t>
      </w:r>
      <w:r w:rsidRPr="00171A80">
        <w:rPr>
          <w:rFonts w:asciiTheme="majorHAnsi" w:eastAsia="Calibri" w:hAnsiTheme="majorHAnsi" w:cs="Times New Roman"/>
          <w:bCs w:val="0"/>
          <w:color w:val="7F7F7F" w:themeColor="text1" w:themeTint="80"/>
          <w:sz w:val="18"/>
          <w:szCs w:val="18"/>
          <w:lang w:val="sr-Cyrl-RS"/>
        </w:rPr>
        <w:t xml:space="preserve">Производни јаз </w:t>
      </w:r>
      <w:r w:rsidR="00D77048">
        <w:rPr>
          <w:rFonts w:asciiTheme="majorHAnsi" w:eastAsia="Calibri" w:hAnsiTheme="majorHAnsi" w:cs="Times New Roman"/>
          <w:bCs w:val="0"/>
          <w:color w:val="7F7F7F" w:themeColor="text1" w:themeTint="80"/>
          <w:sz w:val="18"/>
          <w:szCs w:val="18"/>
          <w:lang w:val="sr-Cyrl-RS"/>
        </w:rPr>
        <w:t xml:space="preserve">добијен применом </w:t>
      </w:r>
      <w:r w:rsidR="00D77048" w:rsidRPr="00851EE2">
        <w:rPr>
          <w:rFonts w:asciiTheme="majorHAnsi" w:eastAsia="Calibri" w:hAnsiTheme="majorHAnsi" w:cs="Times New Roman"/>
          <w:bCs w:val="0"/>
          <w:i/>
          <w:color w:val="7F7F7F" w:themeColor="text1" w:themeTint="80"/>
          <w:sz w:val="18"/>
          <w:szCs w:val="18"/>
          <w:lang w:val="sr-Cyrl-RS"/>
        </w:rPr>
        <w:t>Cobb</w:t>
      </w:r>
      <w:r w:rsidR="00D143C5" w:rsidRPr="00851EE2">
        <w:rPr>
          <w:rFonts w:asciiTheme="majorHAnsi" w:eastAsia="Calibri" w:hAnsiTheme="majorHAnsi" w:cs="Times New Roman"/>
          <w:bCs w:val="0"/>
          <w:i/>
          <w:color w:val="7F7F7F" w:themeColor="text1" w:themeTint="80"/>
          <w:sz w:val="18"/>
          <w:szCs w:val="18"/>
          <w:lang w:val="sr-Cyrl-RS"/>
        </w:rPr>
        <w:t>-Douglas</w:t>
      </w:r>
      <w:r w:rsidRPr="00171A80">
        <w:rPr>
          <w:rFonts w:asciiTheme="majorHAnsi" w:eastAsia="Calibri" w:hAnsiTheme="majorHAnsi" w:cs="Times New Roman"/>
          <w:bCs w:val="0"/>
          <w:color w:val="7F7F7F" w:themeColor="text1" w:themeTint="80"/>
          <w:sz w:val="18"/>
          <w:szCs w:val="18"/>
          <w:lang w:val="sr-Cyrl-RS"/>
        </w:rPr>
        <w:t xml:space="preserve"> производне функције.</w:t>
      </w:r>
    </w:p>
    <w:p w:rsidR="00197D7D" w:rsidRPr="00171A80" w:rsidRDefault="00197D7D" w:rsidP="00197D7D">
      <w:pPr>
        <w:ind w:firstLine="0"/>
        <w:rPr>
          <w:rFonts w:asciiTheme="majorHAnsi" w:eastAsia="Calibri" w:hAnsiTheme="majorHAnsi" w:cs="Times New Roman"/>
          <w:bCs w:val="0"/>
          <w:sz w:val="18"/>
          <w:szCs w:val="18"/>
          <w:lang w:val="sr-Cyrl-RS"/>
        </w:rPr>
      </w:pPr>
      <w:r w:rsidRPr="00171A80">
        <w:rPr>
          <w:rFonts w:asciiTheme="majorHAnsi" w:eastAsia="Calibri" w:hAnsiTheme="majorHAnsi" w:cs="Times New Roman"/>
          <w:bCs w:val="0"/>
          <w:color w:val="7F7F7F" w:themeColor="text1" w:themeTint="80"/>
          <w:sz w:val="18"/>
          <w:szCs w:val="18"/>
          <w:lang w:val="sr-Cyrl-RS"/>
        </w:rPr>
        <w:t>** За период од 2014</w:t>
      </w:r>
      <w:r w:rsidR="000C0540">
        <w:rPr>
          <w:rFonts w:asciiTheme="majorHAnsi" w:eastAsia="Calibri" w:hAnsiTheme="majorHAnsi" w:cs="Times New Roman"/>
          <w:bCs w:val="0"/>
          <w:color w:val="7F7F7F" w:themeColor="text1" w:themeTint="80"/>
          <w:sz w:val="18"/>
          <w:szCs w:val="18"/>
          <w:lang w:val="sr-Cyrl-RS"/>
        </w:rPr>
        <w:t xml:space="preserve"> </w:t>
      </w:r>
      <w:r w:rsidRPr="00171A80">
        <w:rPr>
          <w:rFonts w:asciiTheme="majorHAnsi" w:eastAsia="Calibri" w:hAnsiTheme="majorHAnsi" w:cs="Times New Roman"/>
          <w:bCs w:val="0"/>
          <w:color w:val="7F7F7F" w:themeColor="text1" w:themeTint="80"/>
          <w:sz w:val="18"/>
          <w:szCs w:val="18"/>
          <w:lang w:val="sr-Cyrl-RS"/>
        </w:rPr>
        <w:t>-</w:t>
      </w:r>
      <w:r w:rsidR="000C0540">
        <w:rPr>
          <w:rFonts w:asciiTheme="majorHAnsi" w:eastAsia="Calibri" w:hAnsiTheme="majorHAnsi" w:cs="Times New Roman"/>
          <w:bCs w:val="0"/>
          <w:color w:val="7F7F7F" w:themeColor="text1" w:themeTint="80"/>
          <w:sz w:val="18"/>
          <w:szCs w:val="18"/>
          <w:lang w:val="sr-Cyrl-RS"/>
        </w:rPr>
        <w:t xml:space="preserve"> </w:t>
      </w:r>
      <w:r w:rsidRPr="00171A80">
        <w:rPr>
          <w:rFonts w:asciiTheme="majorHAnsi" w:eastAsia="Calibri" w:hAnsiTheme="majorHAnsi" w:cs="Times New Roman"/>
          <w:bCs w:val="0"/>
          <w:color w:val="7F7F7F" w:themeColor="text1" w:themeTint="80"/>
          <w:sz w:val="18"/>
          <w:szCs w:val="18"/>
          <w:lang w:val="sr-Cyrl-RS"/>
        </w:rPr>
        <w:t>2017. године приказане су пројектоване вредности.</w:t>
      </w:r>
    </w:p>
    <w:p w:rsidR="00197D7D" w:rsidRPr="00171A80" w:rsidRDefault="00B97A4D" w:rsidP="00197D7D">
      <w:pPr>
        <w:rPr>
          <w:rFonts w:asciiTheme="majorHAnsi" w:eastAsia="Calibri" w:hAnsiTheme="majorHAnsi" w:cs="Times New Roman"/>
          <w:bCs w:val="0"/>
          <w:color w:val="7F7F7F" w:themeColor="text1" w:themeTint="80"/>
          <w:sz w:val="21"/>
          <w:szCs w:val="21"/>
          <w:lang w:val="sr-Cyrl-RS"/>
        </w:rPr>
      </w:pPr>
      <w:r w:rsidRPr="00B97A4D">
        <w:rPr>
          <w:rFonts w:asciiTheme="majorHAnsi" w:eastAsia="Calibri" w:hAnsiTheme="majorHAnsi" w:cs="Times New Roman"/>
          <w:bCs w:val="0"/>
          <w:color w:val="7F7F7F" w:themeColor="text1" w:themeTint="80"/>
          <w:sz w:val="21"/>
          <w:szCs w:val="21"/>
          <w:lang w:val="sr-Cyrl-RS"/>
        </w:rPr>
        <w:t>На следећем графикону приказан је стварни фискални и циклично прилагођени фискални баланс, као и производни јаз у периоду 2005 - 2013. године са пројекцијом за период од 2014 - 2017. године. Посматрајући последњих неколико година, позитиван ефекат циклуса видљив је у 2007, 2008. и 2013. години, где је присутан позитиван производни јаз. Дејство циклуса је такво да доводи до фискалног баланса који је мањи него што би био да је привреда била на путањи потенцијалног раста. Обрнуто, у периоду најизраженије кризе од 2009. до 2012. године утицај циклуса је негативан, производни јаз достиже високе негативне вредности, а стварни фискални баланс је виши него циклично прилагођени. У 2015. години услед пројектованог пада, производни јаз достиже високе негативне вредности који се након тога смањује и 2017. године прелази у позитивну вредност. Последица позитивног дејства циклуса огледа се у мањој вредности стварног фискалног дефицита у односу на циклично прилагођени фискални дефицит у тој години</w:t>
      </w:r>
      <w:r w:rsidR="00D77048" w:rsidRPr="00D77048">
        <w:rPr>
          <w:rFonts w:asciiTheme="majorHAnsi" w:eastAsia="Calibri" w:hAnsiTheme="majorHAnsi" w:cs="Times New Roman"/>
          <w:bCs w:val="0"/>
          <w:color w:val="7F7F7F" w:themeColor="text1" w:themeTint="80"/>
          <w:sz w:val="21"/>
          <w:szCs w:val="21"/>
          <w:lang w:val="sr-Cyrl-RS"/>
        </w:rPr>
        <w:t>.</w:t>
      </w:r>
      <w:r w:rsidR="00197D7D" w:rsidRPr="00171A80">
        <w:rPr>
          <w:rFonts w:asciiTheme="majorHAnsi" w:eastAsia="Calibri" w:hAnsiTheme="majorHAnsi" w:cs="Times New Roman"/>
          <w:bCs w:val="0"/>
          <w:color w:val="7F7F7F" w:themeColor="text1" w:themeTint="80"/>
          <w:sz w:val="21"/>
          <w:szCs w:val="21"/>
          <w:lang w:val="sr-Cyrl-RS"/>
        </w:rPr>
        <w:t xml:space="preserve"> </w:t>
      </w:r>
    </w:p>
    <w:p w:rsidR="00197D7D" w:rsidRPr="00171A80" w:rsidRDefault="003F6B80" w:rsidP="00197D7D">
      <w:pPr>
        <w:ind w:firstLine="0"/>
        <w:jc w:val="center"/>
        <w:rPr>
          <w:rFonts w:asciiTheme="majorHAnsi" w:eastAsia="Calibri" w:hAnsiTheme="majorHAnsi" w:cs="Times New Roman"/>
          <w:b/>
          <w:bCs w:val="0"/>
          <w:vanish/>
          <w:color w:val="7F7F7F" w:themeColor="text1" w:themeTint="80"/>
          <w:sz w:val="21"/>
          <w:szCs w:val="21"/>
          <w:lang w:val="sr-Cyrl-RS"/>
        </w:rPr>
      </w:pPr>
      <w:r w:rsidRPr="00171A80">
        <w:rPr>
          <w:rFonts w:asciiTheme="majorHAnsi" w:eastAsia="Calibri" w:hAnsiTheme="majorHAnsi" w:cs="Times New Roman"/>
          <w:b/>
          <w:bCs w:val="0"/>
          <w:color w:val="7F7F7F" w:themeColor="text1" w:themeTint="80"/>
          <w:sz w:val="21"/>
          <w:szCs w:val="21"/>
          <w:lang w:val="sr-Cyrl-RS"/>
        </w:rPr>
        <w:t>Графикон 14</w:t>
      </w:r>
      <w:r w:rsidR="00197D7D" w:rsidRPr="00171A80">
        <w:rPr>
          <w:rFonts w:asciiTheme="majorHAnsi" w:eastAsia="Calibri" w:hAnsiTheme="majorHAnsi" w:cs="Times New Roman"/>
          <w:b/>
          <w:bCs w:val="0"/>
          <w:color w:val="7F7F7F" w:themeColor="text1" w:themeTint="80"/>
          <w:sz w:val="21"/>
          <w:szCs w:val="21"/>
          <w:lang w:val="sr-Cyrl-RS"/>
        </w:rPr>
        <w:t>. Стварни, циклично прилагођени фискални баланс и циклично прилагођени</w:t>
      </w:r>
      <w:r w:rsidR="00D143C5" w:rsidRPr="00171A80">
        <w:rPr>
          <w:rFonts w:asciiTheme="majorHAnsi" w:eastAsia="Calibri" w:hAnsiTheme="majorHAnsi" w:cs="Times New Roman"/>
          <w:b/>
          <w:bCs w:val="0"/>
          <w:color w:val="7F7F7F" w:themeColor="text1" w:themeTint="80"/>
          <w:sz w:val="21"/>
          <w:szCs w:val="21"/>
          <w:lang w:val="sr-Cyrl-RS"/>
        </w:rPr>
        <w:t xml:space="preserve"> примарни баланс у периоду 2005</w:t>
      </w:r>
      <w:r w:rsidR="00197D7D" w:rsidRPr="00171A80">
        <w:rPr>
          <w:rFonts w:asciiTheme="majorHAnsi" w:eastAsia="Calibri" w:hAnsiTheme="majorHAnsi" w:cs="Times New Roman"/>
          <w:b/>
          <w:bCs w:val="0"/>
          <w:color w:val="7F7F7F" w:themeColor="text1" w:themeTint="80"/>
          <w:sz w:val="21"/>
          <w:szCs w:val="21"/>
          <w:lang w:val="sr-Cyrl-RS"/>
        </w:rPr>
        <w:t xml:space="preserve"> - 2017. године, у % БДП</w:t>
      </w:r>
    </w:p>
    <w:p w:rsidR="00197D7D" w:rsidRPr="00171A80" w:rsidRDefault="00197D7D" w:rsidP="00197D7D">
      <w:pPr>
        <w:ind w:firstLine="0"/>
        <w:jc w:val="left"/>
        <w:rPr>
          <w:rFonts w:asciiTheme="majorHAnsi" w:eastAsia="Calibri" w:hAnsiTheme="majorHAnsi" w:cs="Times New Roman"/>
          <w:bCs w:val="0"/>
          <w:sz w:val="21"/>
          <w:szCs w:val="21"/>
          <w:lang w:val="sr-Cyrl-RS"/>
        </w:rPr>
      </w:pPr>
      <w:r w:rsidRPr="00171A80">
        <w:rPr>
          <w:rFonts w:asciiTheme="majorHAnsi" w:hAnsiTheme="majorHAnsi"/>
          <w:noProof/>
          <w:lang w:val="en-US"/>
        </w:rPr>
        <w:drawing>
          <wp:inline distT="0" distB="0" distL="0" distR="0" wp14:anchorId="57E38662" wp14:editId="4EA74FF1">
            <wp:extent cx="5731510" cy="2790825"/>
            <wp:effectExtent l="0" t="0" r="254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97D7D" w:rsidRPr="00171A80" w:rsidRDefault="00197D7D" w:rsidP="00197D7D">
      <w:pPr>
        <w:ind w:firstLine="0"/>
        <w:jc w:val="left"/>
        <w:rPr>
          <w:rFonts w:asciiTheme="majorHAnsi" w:eastAsia="Calibri" w:hAnsiTheme="majorHAnsi" w:cs="Times New Roman"/>
          <w:bCs w:val="0"/>
          <w:vanish/>
          <w:color w:val="7F7F7F" w:themeColor="text1" w:themeTint="80"/>
          <w:sz w:val="18"/>
          <w:szCs w:val="18"/>
          <w:lang w:val="sr-Cyrl-RS"/>
        </w:rPr>
      </w:pPr>
      <w:r w:rsidRPr="00171A80">
        <w:rPr>
          <w:rFonts w:asciiTheme="majorHAnsi" w:eastAsia="Calibri" w:hAnsiTheme="majorHAnsi" w:cs="Times New Roman"/>
          <w:bCs w:val="0"/>
          <w:color w:val="7F7F7F" w:themeColor="text1" w:themeTint="80"/>
          <w:sz w:val="18"/>
          <w:szCs w:val="18"/>
          <w:lang w:val="sr-Cyrl-RS"/>
        </w:rPr>
        <w:t>* За период од 2014</w:t>
      </w:r>
      <w:r w:rsidR="000C0540">
        <w:rPr>
          <w:rFonts w:asciiTheme="majorHAnsi" w:eastAsia="Calibri" w:hAnsiTheme="majorHAnsi" w:cs="Times New Roman"/>
          <w:bCs w:val="0"/>
          <w:color w:val="7F7F7F" w:themeColor="text1" w:themeTint="80"/>
          <w:sz w:val="18"/>
          <w:szCs w:val="18"/>
          <w:lang w:val="sr-Cyrl-RS"/>
        </w:rPr>
        <w:t xml:space="preserve"> </w:t>
      </w:r>
      <w:r w:rsidRPr="00171A80">
        <w:rPr>
          <w:rFonts w:asciiTheme="majorHAnsi" w:eastAsia="Calibri" w:hAnsiTheme="majorHAnsi" w:cs="Times New Roman"/>
          <w:bCs w:val="0"/>
          <w:color w:val="7F7F7F" w:themeColor="text1" w:themeTint="80"/>
          <w:sz w:val="18"/>
          <w:szCs w:val="18"/>
          <w:lang w:val="sr-Cyrl-RS"/>
        </w:rPr>
        <w:t>-</w:t>
      </w:r>
      <w:r w:rsidR="000C0540">
        <w:rPr>
          <w:rFonts w:asciiTheme="majorHAnsi" w:eastAsia="Calibri" w:hAnsiTheme="majorHAnsi" w:cs="Times New Roman"/>
          <w:bCs w:val="0"/>
          <w:color w:val="7F7F7F" w:themeColor="text1" w:themeTint="80"/>
          <w:sz w:val="18"/>
          <w:szCs w:val="18"/>
          <w:lang w:val="sr-Cyrl-RS"/>
        </w:rPr>
        <w:t xml:space="preserve"> </w:t>
      </w:r>
      <w:r w:rsidRPr="00171A80">
        <w:rPr>
          <w:rFonts w:asciiTheme="majorHAnsi" w:eastAsia="Calibri" w:hAnsiTheme="majorHAnsi" w:cs="Times New Roman"/>
          <w:bCs w:val="0"/>
          <w:color w:val="7F7F7F" w:themeColor="text1" w:themeTint="80"/>
          <w:sz w:val="18"/>
          <w:szCs w:val="18"/>
          <w:lang w:val="sr-Cyrl-RS"/>
        </w:rPr>
        <w:t>2016. године приказане су пројектоване вредности.</w:t>
      </w:r>
    </w:p>
    <w:p w:rsidR="00197D7D" w:rsidRPr="00171A80" w:rsidRDefault="00197D7D" w:rsidP="00197D7D">
      <w:pPr>
        <w:rPr>
          <w:rFonts w:asciiTheme="majorHAnsi" w:eastAsia="Calibri" w:hAnsiTheme="majorHAnsi" w:cs="Times New Roman"/>
          <w:bCs w:val="0"/>
          <w:color w:val="7F7F7F" w:themeColor="text1" w:themeTint="80"/>
          <w:sz w:val="20"/>
          <w:szCs w:val="20"/>
          <w:lang w:val="sr-Cyrl-RS"/>
        </w:rPr>
      </w:pPr>
      <w:r w:rsidRPr="00171A80">
        <w:rPr>
          <w:rFonts w:asciiTheme="majorHAnsi" w:eastAsia="Calibri" w:hAnsiTheme="majorHAnsi" w:cs="Times New Roman"/>
          <w:bCs w:val="0"/>
          <w:color w:val="7F7F7F" w:themeColor="text1" w:themeTint="80"/>
          <w:sz w:val="20"/>
          <w:szCs w:val="20"/>
          <w:lang w:val="sr-Cyrl-RS"/>
        </w:rPr>
        <w:t xml:space="preserve"> </w:t>
      </w:r>
    </w:p>
    <w:p w:rsidR="00B97A4D" w:rsidRPr="00B97A4D" w:rsidRDefault="00B97A4D" w:rsidP="00B97A4D">
      <w:pPr>
        <w:rPr>
          <w:rFonts w:asciiTheme="majorHAnsi" w:eastAsia="Calibri" w:hAnsiTheme="majorHAnsi" w:cs="Times New Roman"/>
          <w:bCs w:val="0"/>
          <w:color w:val="7F7F7F" w:themeColor="text1" w:themeTint="80"/>
          <w:sz w:val="21"/>
          <w:szCs w:val="21"/>
          <w:lang w:val="sr-Cyrl-RS"/>
        </w:rPr>
      </w:pPr>
      <w:r w:rsidRPr="00B97A4D">
        <w:rPr>
          <w:rFonts w:asciiTheme="majorHAnsi" w:eastAsia="Calibri" w:hAnsiTheme="majorHAnsi" w:cs="Times New Roman"/>
          <w:bCs w:val="0"/>
          <w:color w:val="7F7F7F" w:themeColor="text1" w:themeTint="80"/>
          <w:sz w:val="21"/>
          <w:szCs w:val="21"/>
          <w:lang w:val="sr-Cyrl-RS"/>
        </w:rPr>
        <w:lastRenderedPageBreak/>
        <w:t xml:space="preserve">Значајне структурне промене се могу сагледати из кретања циклично прилагођеног и нарочито из кретања циклично прилагођеног примарног баланса. Иако утицај циклуса није сасвим искључен, као и одређени једнократни ефекти на кретање фискалног баланса, ипак се може видети одређена промена тренда. Од 2012. године уочљива је стагнација, а након тога у пројектованом периоду после 2015. године, и пад циклично прилагођеног примарног баланса. То пре свега говори да су одређене структурне промене у пореском и у систему расхода почеле да дају резултате и да је процес фискалне консолидације ефективно почео. То се пре свега односи на мере донете на приходној страни током 2012. и 2013. године. Пуни ефекти тих мера почели су да се остварују тек у 2014. години када је дошло до успоравања драматичног пада учешћа јавних прихода у БДП. Кретање расхода за плате и пензије је у великој мери било ограничено и пре одлуке о њиховом смањењу, што је допринело стабилизацији примарног баланса. </w:t>
      </w:r>
    </w:p>
    <w:p w:rsidR="00B97A4D" w:rsidRPr="00B97A4D" w:rsidRDefault="00B97A4D" w:rsidP="00B97A4D">
      <w:pPr>
        <w:rPr>
          <w:rFonts w:asciiTheme="majorHAnsi" w:eastAsia="Calibri" w:hAnsiTheme="majorHAnsi" w:cs="Times New Roman"/>
          <w:bCs w:val="0"/>
          <w:color w:val="7F7F7F" w:themeColor="text1" w:themeTint="80"/>
          <w:sz w:val="21"/>
          <w:szCs w:val="21"/>
          <w:lang w:val="sr-Cyrl-RS"/>
        </w:rPr>
      </w:pPr>
      <w:r w:rsidRPr="00B97A4D">
        <w:rPr>
          <w:rFonts w:asciiTheme="majorHAnsi" w:eastAsia="Calibri" w:hAnsiTheme="majorHAnsi" w:cs="Times New Roman"/>
          <w:bCs w:val="0"/>
          <w:color w:val="7F7F7F" w:themeColor="text1" w:themeTint="80"/>
          <w:sz w:val="21"/>
          <w:szCs w:val="21"/>
          <w:lang w:val="sr-Cyrl-RS"/>
        </w:rPr>
        <w:t xml:space="preserve">Кретање циклично прилагођеног примарног баланса користи се и као индикатор карактера фискалне политике. У табели 14. у последњој колони приказан је фискални импулс, добијен као разлика циклично прилагођеног примарног баланса у текућој и претходној години. При томе, позитиван предзнак означава експанзиван, а негативан предзнак рестриктиван карактер фискалне политике. На графикону 15. могу се уочити периоди експанзивне и рестриктивне фискалне политике, као и величина самог импулса. Фискални импулс представља релативну промену баланса, и има за циљ да анализира дејство фискалне политике на кретање производног јаза. Примарни фискални баланс је узет у обзир јер искључује расходе за камате као облик непродуктивног расхода без реалног дејства на кретања у привреди. Величина расхода за камате у пракси има више контрациклично дејство услед ефекта истискивања приватног сектора. Апсолутну оцену карактера фискалне политике ипак треба тражити у висини циклично прилагођеног фискалног баланса. </w:t>
      </w:r>
    </w:p>
    <w:p w:rsidR="00197D7D" w:rsidRPr="00171A80" w:rsidRDefault="00B97A4D" w:rsidP="00B97A4D">
      <w:pPr>
        <w:rPr>
          <w:rFonts w:asciiTheme="majorHAnsi" w:eastAsia="Calibri" w:hAnsiTheme="majorHAnsi" w:cs="Times New Roman"/>
          <w:bCs w:val="0"/>
          <w:color w:val="7F7F7F" w:themeColor="text1" w:themeTint="80"/>
          <w:sz w:val="21"/>
          <w:szCs w:val="21"/>
          <w:lang w:val="sr-Cyrl-RS"/>
        </w:rPr>
      </w:pPr>
      <w:r w:rsidRPr="00B97A4D">
        <w:rPr>
          <w:rFonts w:asciiTheme="majorHAnsi" w:eastAsia="Calibri" w:hAnsiTheme="majorHAnsi" w:cs="Times New Roman"/>
          <w:bCs w:val="0"/>
          <w:color w:val="7F7F7F" w:themeColor="text1" w:themeTint="80"/>
          <w:sz w:val="21"/>
          <w:szCs w:val="21"/>
          <w:lang w:val="sr-Cyrl-RS"/>
        </w:rPr>
        <w:t xml:space="preserve">Када се у анализу укључи и производни јаз, може се донети оцена ефеката фискалне политике у смислу њене процикличности или контрацикличности. Процикличну политику карактерише присуство експанзивне фискалне политике у периодима раста изнад потенцијалног (или рестриктивна политика у условима рецесије), а обрнуто важи за контрацикличну. Као резултат процикличне фискалне политике, промене у расходима прате кретање номиналног БДП, а циклично креирана компонента раста прихода се тада користи за смањење пореског оптерећења или у највећем броју случајева за повећање расхода, пре него у </w:t>
      </w:r>
      <w:r>
        <w:rPr>
          <w:rFonts w:asciiTheme="majorHAnsi" w:eastAsia="Calibri" w:hAnsiTheme="majorHAnsi" w:cs="Times New Roman"/>
          <w:bCs w:val="0"/>
          <w:color w:val="7F7F7F" w:themeColor="text1" w:themeTint="80"/>
          <w:sz w:val="21"/>
          <w:szCs w:val="21"/>
          <w:lang w:val="sr-Cyrl-RS"/>
        </w:rPr>
        <w:t>циљу смањења фискалног дефицита</w:t>
      </w:r>
      <w:r w:rsidR="00197D7D" w:rsidRPr="00171A80">
        <w:rPr>
          <w:rFonts w:asciiTheme="majorHAnsi" w:eastAsia="Calibri" w:hAnsiTheme="majorHAnsi" w:cs="Times New Roman"/>
          <w:bCs w:val="0"/>
          <w:color w:val="7F7F7F" w:themeColor="text1" w:themeTint="80"/>
          <w:sz w:val="21"/>
          <w:szCs w:val="21"/>
          <w:lang w:val="sr-Cyrl-RS"/>
        </w:rPr>
        <w:t>.</w:t>
      </w:r>
    </w:p>
    <w:p w:rsidR="00197D7D" w:rsidRPr="00171A80" w:rsidRDefault="003F6B80" w:rsidP="003F6B80">
      <w:pPr>
        <w:ind w:firstLine="0"/>
        <w:jc w:val="center"/>
        <w:rPr>
          <w:rFonts w:asciiTheme="majorHAnsi" w:hAnsiTheme="majorHAnsi"/>
          <w:b/>
          <w:color w:val="7F7F7F" w:themeColor="text1" w:themeTint="80"/>
          <w:sz w:val="21"/>
          <w:szCs w:val="21"/>
          <w:lang w:val="sr-Cyrl-RS"/>
        </w:rPr>
      </w:pPr>
      <w:r w:rsidRPr="00171A80">
        <w:rPr>
          <w:rFonts w:asciiTheme="majorHAnsi" w:hAnsiTheme="majorHAnsi"/>
          <w:b/>
          <w:color w:val="7F7F7F" w:themeColor="text1" w:themeTint="80"/>
          <w:sz w:val="21"/>
          <w:szCs w:val="21"/>
          <w:lang w:val="sr-Cyrl-RS"/>
        </w:rPr>
        <w:t>Графикон 15</w:t>
      </w:r>
      <w:r w:rsidR="00197D7D" w:rsidRPr="00171A80">
        <w:rPr>
          <w:rFonts w:asciiTheme="majorHAnsi" w:hAnsiTheme="majorHAnsi"/>
          <w:b/>
          <w:color w:val="7F7F7F" w:themeColor="text1" w:themeTint="80"/>
          <w:sz w:val="21"/>
          <w:szCs w:val="21"/>
          <w:lang w:val="sr-Cyrl-RS"/>
        </w:rPr>
        <w:t>. Карактер и ефекти ф</w:t>
      </w:r>
      <w:r w:rsidR="00D143C5" w:rsidRPr="00171A80">
        <w:rPr>
          <w:rFonts w:asciiTheme="majorHAnsi" w:hAnsiTheme="majorHAnsi"/>
          <w:b/>
          <w:color w:val="7F7F7F" w:themeColor="text1" w:themeTint="80"/>
          <w:sz w:val="21"/>
          <w:szCs w:val="21"/>
          <w:lang w:val="sr-Cyrl-RS"/>
        </w:rPr>
        <w:t>искалне политике у периоду 2006</w:t>
      </w:r>
      <w:r w:rsidR="00197D7D" w:rsidRPr="00171A80">
        <w:rPr>
          <w:rFonts w:asciiTheme="majorHAnsi" w:hAnsiTheme="majorHAnsi"/>
          <w:b/>
          <w:color w:val="7F7F7F" w:themeColor="text1" w:themeTint="80"/>
          <w:sz w:val="21"/>
          <w:szCs w:val="21"/>
          <w:lang w:val="sr-Cyrl-RS"/>
        </w:rPr>
        <w:t xml:space="preserve"> - 2017. године</w:t>
      </w:r>
    </w:p>
    <w:p w:rsidR="00197D7D" w:rsidRPr="00171A80" w:rsidRDefault="00197D7D" w:rsidP="00197D7D">
      <w:pPr>
        <w:spacing w:after="0"/>
        <w:ind w:firstLine="0"/>
        <w:rPr>
          <w:rFonts w:asciiTheme="majorHAnsi" w:eastAsia="Calibri" w:hAnsiTheme="majorHAnsi" w:cs="Times New Roman"/>
          <w:bCs w:val="0"/>
          <w:sz w:val="21"/>
          <w:szCs w:val="22"/>
          <w:lang w:val="sr-Cyrl-RS"/>
        </w:rPr>
      </w:pPr>
      <w:r w:rsidRPr="00171A80">
        <w:rPr>
          <w:rFonts w:asciiTheme="majorHAnsi" w:hAnsiTheme="majorHAnsi"/>
          <w:noProof/>
          <w:lang w:val="en-US"/>
        </w:rPr>
        <w:drawing>
          <wp:inline distT="0" distB="0" distL="0" distR="0" wp14:anchorId="03B2B170" wp14:editId="794DC3D7">
            <wp:extent cx="5731510" cy="3114675"/>
            <wp:effectExtent l="0" t="0" r="254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97D7D" w:rsidRPr="00851EE2" w:rsidRDefault="00197D7D" w:rsidP="00197D7D">
      <w:pPr>
        <w:jc w:val="left"/>
        <w:rPr>
          <w:rFonts w:asciiTheme="majorHAnsi" w:eastAsia="Calibri" w:hAnsiTheme="majorHAnsi" w:cs="Times New Roman"/>
          <w:bCs w:val="0"/>
          <w:color w:val="7F7F7F" w:themeColor="text1" w:themeTint="80"/>
          <w:sz w:val="18"/>
          <w:szCs w:val="18"/>
          <w:lang w:val="sr-Cyrl-RS"/>
        </w:rPr>
      </w:pPr>
      <w:r w:rsidRPr="00851EE2">
        <w:rPr>
          <w:rFonts w:asciiTheme="majorHAnsi" w:eastAsia="Calibri" w:hAnsiTheme="majorHAnsi" w:cs="Times New Roman"/>
          <w:bCs w:val="0"/>
          <w:color w:val="7F7F7F" w:themeColor="text1" w:themeTint="80"/>
          <w:sz w:val="18"/>
          <w:szCs w:val="18"/>
          <w:lang w:val="sr-Cyrl-RS"/>
        </w:rPr>
        <w:t>* За период од 2014</w:t>
      </w:r>
      <w:r w:rsidR="000C0540">
        <w:rPr>
          <w:rFonts w:asciiTheme="majorHAnsi" w:eastAsia="Calibri" w:hAnsiTheme="majorHAnsi" w:cs="Times New Roman"/>
          <w:bCs w:val="0"/>
          <w:color w:val="7F7F7F" w:themeColor="text1" w:themeTint="80"/>
          <w:sz w:val="18"/>
          <w:szCs w:val="18"/>
          <w:lang w:val="sr-Cyrl-RS"/>
        </w:rPr>
        <w:t xml:space="preserve"> </w:t>
      </w:r>
      <w:r w:rsidRPr="00851EE2">
        <w:rPr>
          <w:rFonts w:asciiTheme="majorHAnsi" w:eastAsia="Calibri" w:hAnsiTheme="majorHAnsi" w:cs="Times New Roman"/>
          <w:bCs w:val="0"/>
          <w:color w:val="7F7F7F" w:themeColor="text1" w:themeTint="80"/>
          <w:sz w:val="18"/>
          <w:szCs w:val="18"/>
          <w:lang w:val="sr-Cyrl-RS"/>
        </w:rPr>
        <w:t>-</w:t>
      </w:r>
      <w:r w:rsidR="000C0540">
        <w:rPr>
          <w:rFonts w:asciiTheme="majorHAnsi" w:eastAsia="Calibri" w:hAnsiTheme="majorHAnsi" w:cs="Times New Roman"/>
          <w:bCs w:val="0"/>
          <w:color w:val="7F7F7F" w:themeColor="text1" w:themeTint="80"/>
          <w:sz w:val="18"/>
          <w:szCs w:val="18"/>
          <w:lang w:val="sr-Cyrl-RS"/>
        </w:rPr>
        <w:t xml:space="preserve"> </w:t>
      </w:r>
      <w:r w:rsidRPr="00851EE2">
        <w:rPr>
          <w:rFonts w:asciiTheme="majorHAnsi" w:eastAsia="Calibri" w:hAnsiTheme="majorHAnsi" w:cs="Times New Roman"/>
          <w:bCs w:val="0"/>
          <w:color w:val="7F7F7F" w:themeColor="text1" w:themeTint="80"/>
          <w:sz w:val="18"/>
          <w:szCs w:val="18"/>
          <w:lang w:val="sr-Cyrl-RS"/>
        </w:rPr>
        <w:t>2017. године приказане су пројектоване вредности.</w:t>
      </w:r>
    </w:p>
    <w:p w:rsidR="00B97A4D" w:rsidRPr="00B97A4D" w:rsidRDefault="00B97A4D" w:rsidP="00B97A4D">
      <w:pPr>
        <w:rPr>
          <w:rFonts w:asciiTheme="majorHAnsi" w:eastAsia="Calibri" w:hAnsiTheme="majorHAnsi" w:cs="Times New Roman"/>
          <w:bCs w:val="0"/>
          <w:color w:val="7F7F7F" w:themeColor="text1" w:themeTint="80"/>
          <w:sz w:val="21"/>
          <w:szCs w:val="21"/>
          <w:lang w:val="sr-Cyrl-RS"/>
        </w:rPr>
      </w:pPr>
      <w:r w:rsidRPr="00B97A4D">
        <w:rPr>
          <w:rFonts w:asciiTheme="majorHAnsi" w:eastAsia="Calibri" w:hAnsiTheme="majorHAnsi" w:cs="Times New Roman"/>
          <w:bCs w:val="0"/>
          <w:color w:val="7F7F7F" w:themeColor="text1" w:themeTint="80"/>
          <w:sz w:val="21"/>
          <w:szCs w:val="21"/>
          <w:lang w:val="sr-Cyrl-RS"/>
        </w:rPr>
        <w:lastRenderedPageBreak/>
        <w:t>Контрациклична политика је вођена у периоду од 2009. до 2012. године, током трајања кризе, имајући у виду релативно експанзивну фискалну политику у условима високог негативног производног јаза.</w:t>
      </w:r>
      <w:r w:rsidRPr="00B97A4D">
        <w:rPr>
          <w:rFonts w:asciiTheme="majorHAnsi" w:eastAsia="Calibri" w:hAnsiTheme="majorHAnsi" w:cs="Times New Roman"/>
          <w:bCs w:val="0"/>
          <w:color w:val="7F7F7F" w:themeColor="text1" w:themeTint="80"/>
          <w:sz w:val="21"/>
          <w:szCs w:val="21"/>
          <w:vertAlign w:val="superscript"/>
          <w:lang w:val="sr-Cyrl-RS"/>
        </w:rPr>
        <w:footnoteReference w:id="1"/>
      </w:r>
      <w:r w:rsidRPr="00B97A4D">
        <w:rPr>
          <w:rFonts w:asciiTheme="majorHAnsi" w:eastAsia="Calibri" w:hAnsiTheme="majorHAnsi" w:cs="Times New Roman"/>
          <w:bCs w:val="0"/>
          <w:color w:val="7F7F7F" w:themeColor="text1" w:themeTint="80"/>
          <w:sz w:val="21"/>
          <w:szCs w:val="21"/>
          <w:lang w:val="sr-Cyrl-RS"/>
        </w:rPr>
        <w:t xml:space="preserve"> Економска логика на први поглед налаже овакво понашање, било да је оно свесно или је последица структуре пореског и система јавних расхода, тј. под утицајем дејства аутоматских стабилизатора. Ипак, као последица експанзивне политике која за резултат није имала убрзање раста, и када се само мерама фискалне политике не могу уклонити структурни разлози за постојање негативног производног јаза, продубљују се и стварни и циклични прилагођени баланс, а јавни дуг улази у фазу експанзије.</w:t>
      </w:r>
    </w:p>
    <w:p w:rsidR="00B97A4D" w:rsidRPr="00B97A4D" w:rsidRDefault="00B97A4D" w:rsidP="00B97A4D">
      <w:pPr>
        <w:rPr>
          <w:rFonts w:asciiTheme="majorHAnsi" w:eastAsia="Calibri" w:hAnsiTheme="majorHAnsi" w:cs="Times New Roman"/>
          <w:bCs w:val="0"/>
          <w:color w:val="7F7F7F" w:themeColor="text1" w:themeTint="80"/>
          <w:sz w:val="21"/>
          <w:szCs w:val="21"/>
          <w:lang w:val="sr-Cyrl-RS"/>
        </w:rPr>
      </w:pPr>
      <w:r w:rsidRPr="00B97A4D">
        <w:rPr>
          <w:rFonts w:asciiTheme="majorHAnsi" w:eastAsia="Calibri" w:hAnsiTheme="majorHAnsi" w:cs="Times New Roman"/>
          <w:bCs w:val="0"/>
          <w:color w:val="7F7F7F" w:themeColor="text1" w:themeTint="80"/>
          <w:sz w:val="21"/>
          <w:szCs w:val="21"/>
          <w:lang w:val="sr-Cyrl-RS"/>
        </w:rPr>
        <w:t xml:space="preserve">На горњем графикону се може уочити да је релативно значајно структурно прилагођавање извршено током 2013. године услед промене пореске политике крајем 2012. године. Потпуни ефекти мера нису били испољени у 2013. години, већ се део ефеката пренео у наредни период, што је дало одређени импулс рестриктивности фискалне политике. У 2014. години није прекинут импулс фискалне консолидације, али се то не рефлектује у приказаним цифрама, услед значајније суме издвојене за санацију финансијског сектора и појединим компанијама у реалном сектору. У 2015. и 2016. години присутан је негативан производни јаз који се у 2017. години затвара. </w:t>
      </w:r>
    </w:p>
    <w:p w:rsidR="00B97A4D" w:rsidRPr="00B97A4D" w:rsidRDefault="00B97A4D" w:rsidP="00B97A4D">
      <w:pPr>
        <w:rPr>
          <w:rFonts w:asciiTheme="majorHAnsi" w:eastAsia="Calibri" w:hAnsiTheme="majorHAnsi" w:cs="Times New Roman"/>
          <w:bCs w:val="0"/>
          <w:color w:val="7F7F7F" w:themeColor="text1" w:themeTint="80"/>
          <w:sz w:val="21"/>
          <w:szCs w:val="21"/>
          <w:lang w:val="sr-Cyrl-RS"/>
        </w:rPr>
      </w:pPr>
      <w:r w:rsidRPr="00B97A4D">
        <w:rPr>
          <w:rFonts w:asciiTheme="majorHAnsi" w:eastAsia="Calibri" w:hAnsiTheme="majorHAnsi" w:cs="Times New Roman"/>
          <w:bCs w:val="0"/>
          <w:color w:val="7F7F7F" w:themeColor="text1" w:themeTint="80"/>
          <w:sz w:val="21"/>
          <w:szCs w:val="21"/>
          <w:lang w:val="sr-Cyrl-RS"/>
        </w:rPr>
        <w:t xml:space="preserve">Мере које су усвојене у претходном периоду, као и мере фискалне консолидације које се односе на период (првенствено номинално смањење износа пензија и зарада у јавном сектору), представљају структурне промене у јавним финансијама. </w:t>
      </w:r>
    </w:p>
    <w:p w:rsidR="00B97A4D" w:rsidRPr="00B97A4D" w:rsidRDefault="00B97A4D" w:rsidP="00B97A4D">
      <w:pPr>
        <w:rPr>
          <w:rFonts w:asciiTheme="majorHAnsi" w:eastAsia="Calibri" w:hAnsiTheme="majorHAnsi" w:cs="Times New Roman"/>
          <w:bCs w:val="0"/>
          <w:color w:val="7F7F7F" w:themeColor="text1" w:themeTint="80"/>
          <w:sz w:val="21"/>
          <w:szCs w:val="21"/>
          <w:lang w:val="sr-Cyrl-RS"/>
        </w:rPr>
      </w:pPr>
      <w:r w:rsidRPr="00B97A4D">
        <w:rPr>
          <w:rFonts w:asciiTheme="majorHAnsi" w:eastAsia="Calibri" w:hAnsiTheme="majorHAnsi" w:cs="Times New Roman"/>
          <w:bCs w:val="0"/>
          <w:color w:val="7F7F7F" w:themeColor="text1" w:themeTint="80"/>
          <w:sz w:val="21"/>
          <w:szCs w:val="21"/>
          <w:lang w:val="sr-Cyrl-RS"/>
        </w:rPr>
        <w:t xml:space="preserve"> Са друге стране, у 2015. години расту пројектовани расходи за камате и капитални расходи за инфраструктурне пројекте. Поред осталог, током 2015. године се завршава процес реструктурирања друштвених предузећа и престанак исплате средстава за субвенције овим предузећима, док се на другој страни појављује додатни трошак у виду отпремнина за запослене који остају без посла. Исто се односи и на смањење броја запослених у јавном сектору.</w:t>
      </w:r>
      <w:r w:rsidRPr="00B97A4D">
        <w:rPr>
          <w:rFonts w:asciiTheme="majorHAnsi" w:eastAsia="Calibri" w:hAnsiTheme="majorHAnsi" w:cs="Times New Roman"/>
          <w:bCs w:val="0"/>
          <w:color w:val="7F7F7F" w:themeColor="text1" w:themeTint="80"/>
          <w:sz w:val="21"/>
          <w:szCs w:val="21"/>
          <w:vertAlign w:val="superscript"/>
          <w:lang w:val="sr-Cyrl-RS"/>
        </w:rPr>
        <w:footnoteReference w:id="2"/>
      </w:r>
      <w:r w:rsidRPr="00B97A4D">
        <w:rPr>
          <w:rFonts w:asciiTheme="majorHAnsi" w:eastAsia="Calibri" w:hAnsiTheme="majorHAnsi" w:cs="Times New Roman"/>
          <w:bCs w:val="0"/>
          <w:color w:val="7F7F7F" w:themeColor="text1" w:themeTint="80"/>
          <w:sz w:val="21"/>
          <w:szCs w:val="21"/>
          <w:lang w:val="sr-Cyrl-RS"/>
        </w:rPr>
        <w:t xml:space="preserve"> И поред тога, комбинација мера предвиђена програмом фискалне консолидације у периоду 2015 – 2017. година би требало да највеће структурне ефекте покаже у 2015. години. У 2016. и 2017. години ефекти реформе јавног сектора, завршетка процеса реструктурирања и укидања појединих субвенција почињу да дају резултате у виду уштеда на расходној страни, чиме се продужавају ефекти фискалне консолидације. Одређени ефекти очекују се и на приходној страни. Посматрајући примарни баланс, фискално прилагођавање је значајније, и циклично прилагођени примарни баланс прелази у суфицит. </w:t>
      </w:r>
    </w:p>
    <w:p w:rsidR="00B97A4D" w:rsidRPr="00B97A4D" w:rsidRDefault="00B97A4D" w:rsidP="00B97A4D">
      <w:pPr>
        <w:rPr>
          <w:rFonts w:asciiTheme="majorHAnsi" w:eastAsia="Calibri" w:hAnsiTheme="majorHAnsi" w:cs="Times New Roman"/>
          <w:bCs w:val="0"/>
          <w:color w:val="7F7F7F" w:themeColor="text1" w:themeTint="80"/>
          <w:sz w:val="21"/>
          <w:szCs w:val="21"/>
          <w:lang w:val="sr-Cyrl-RS"/>
        </w:rPr>
      </w:pPr>
      <w:r w:rsidRPr="00B97A4D">
        <w:rPr>
          <w:rFonts w:asciiTheme="majorHAnsi" w:eastAsia="Calibri" w:hAnsiTheme="majorHAnsi" w:cs="Times New Roman"/>
          <w:bCs w:val="0"/>
          <w:color w:val="7F7F7F" w:themeColor="text1" w:themeTint="80"/>
          <w:sz w:val="21"/>
          <w:szCs w:val="21"/>
          <w:lang w:val="sr-Cyrl-RS"/>
        </w:rPr>
        <w:t xml:space="preserve">У периоду од 2015 - 2017. године, одређене ефекте на фискално прилагођавање и на допринос рестриктивности фискалне политике има законски предвиђено повећање износа акциза на дуванске производе и нафтне деривате, као и одређени степен повећања ефикасности наплате прихода на централном и локалном нивоу. </w:t>
      </w:r>
    </w:p>
    <w:p w:rsidR="00904BD3" w:rsidRPr="00171A80" w:rsidRDefault="00B97A4D" w:rsidP="00B97A4D">
      <w:pPr>
        <w:rPr>
          <w:rFonts w:asciiTheme="majorHAnsi" w:hAnsiTheme="majorHAnsi"/>
          <w:lang w:val="sr-Cyrl-RS"/>
        </w:rPr>
      </w:pPr>
      <w:r w:rsidRPr="00B97A4D">
        <w:rPr>
          <w:rFonts w:asciiTheme="majorHAnsi" w:eastAsia="Calibri" w:hAnsiTheme="majorHAnsi" w:cs="Times New Roman"/>
          <w:bCs w:val="0"/>
          <w:color w:val="7F7F7F" w:themeColor="text1" w:themeTint="80"/>
          <w:sz w:val="21"/>
          <w:szCs w:val="21"/>
          <w:lang w:val="sr-Cyrl-RS"/>
        </w:rPr>
        <w:t>Приближавање остварених стопа раста потенцијалном нивоу у одређеној мери смањује потребу за рестриктивном фискалном политиком. У контексту стабилизације нивоа јавног дуга, ефекти мера уштеда у посматраном периоду доводе до његове стагнације и благог пада, али за озбиљније смањење учешћа јавног дуга у БДП неопходан је наставак мера фискалне консолидације и након 2017. године. Реални раст БДП изнад потенцијалног у дужем року омогућио би да тај процес буде олакшан</w:t>
      </w:r>
      <w:r w:rsidR="00D77048" w:rsidRPr="00D77048">
        <w:rPr>
          <w:rFonts w:asciiTheme="majorHAnsi" w:eastAsia="Calibri" w:hAnsiTheme="majorHAnsi" w:cs="Times New Roman"/>
          <w:bCs w:val="0"/>
          <w:color w:val="7F7F7F" w:themeColor="text1" w:themeTint="80"/>
          <w:sz w:val="21"/>
          <w:szCs w:val="21"/>
          <w:lang w:val="sr-Cyrl-RS"/>
        </w:rPr>
        <w:t>.</w:t>
      </w:r>
      <w:r w:rsidR="00904BD3" w:rsidRPr="00171A80">
        <w:rPr>
          <w:rFonts w:asciiTheme="majorHAnsi" w:hAnsiTheme="majorHAnsi"/>
          <w:lang w:val="sr-Cyrl-RS"/>
        </w:rPr>
        <w:br w:type="page"/>
      </w:r>
    </w:p>
    <w:p w:rsidR="003844B7" w:rsidRPr="00171A80" w:rsidRDefault="008412B3" w:rsidP="003E033B">
      <w:pPr>
        <w:pStyle w:val="IFS2012naslov1"/>
        <w:rPr>
          <w:lang w:val="sr-Cyrl-RS"/>
        </w:rPr>
      </w:pPr>
      <w:bookmarkStart w:id="49" w:name="_Toc337117128"/>
      <w:bookmarkStart w:id="50" w:name="_Toc407617169"/>
      <w:bookmarkEnd w:id="25"/>
      <w:r w:rsidRPr="00171A80">
        <w:rPr>
          <w:lang w:val="sr-Cyrl-RS"/>
        </w:rPr>
        <w:lastRenderedPageBreak/>
        <w:t>Стратегија упр</w:t>
      </w:r>
      <w:r w:rsidR="00225180" w:rsidRPr="00171A80">
        <w:rPr>
          <w:lang w:val="sr-Cyrl-RS"/>
        </w:rPr>
        <w:t xml:space="preserve">ављања јавним дугом </w:t>
      </w:r>
      <w:r w:rsidR="00D463A6" w:rsidRPr="00171A80">
        <w:rPr>
          <w:lang w:val="sr-Cyrl-RS"/>
        </w:rPr>
        <w:t xml:space="preserve">од </w:t>
      </w:r>
      <w:r w:rsidR="00225180" w:rsidRPr="00171A80">
        <w:rPr>
          <w:lang w:val="sr-Cyrl-RS"/>
        </w:rPr>
        <w:t>201</w:t>
      </w:r>
      <w:r w:rsidR="009659C9" w:rsidRPr="00171A80">
        <w:rPr>
          <w:lang w:val="sr-Cyrl-RS"/>
        </w:rPr>
        <w:t>5</w:t>
      </w:r>
      <w:r w:rsidR="00AF3FCF" w:rsidRPr="00171A80">
        <w:rPr>
          <w:lang w:val="sr-Cyrl-RS"/>
        </w:rPr>
        <w:t>.</w:t>
      </w:r>
      <w:r w:rsidR="00D463A6" w:rsidRPr="00171A80">
        <w:rPr>
          <w:lang w:val="sr-Cyrl-RS"/>
        </w:rPr>
        <w:t xml:space="preserve"> до </w:t>
      </w:r>
      <w:r w:rsidR="00225180" w:rsidRPr="00171A80">
        <w:rPr>
          <w:lang w:val="sr-Cyrl-RS"/>
        </w:rPr>
        <w:t>201</w:t>
      </w:r>
      <w:r w:rsidR="009659C9" w:rsidRPr="00171A80">
        <w:rPr>
          <w:lang w:val="sr-Cyrl-RS"/>
        </w:rPr>
        <w:t>7</w:t>
      </w:r>
      <w:r w:rsidR="00225180" w:rsidRPr="00171A80">
        <w:rPr>
          <w:lang w:val="sr-Cyrl-RS"/>
        </w:rPr>
        <w:t>. г</w:t>
      </w:r>
      <w:r w:rsidRPr="00171A80">
        <w:rPr>
          <w:lang w:val="sr-Cyrl-RS"/>
        </w:rPr>
        <w:t>один</w:t>
      </w:r>
      <w:bookmarkEnd w:id="49"/>
      <w:r w:rsidR="00C96BE4" w:rsidRPr="00171A80">
        <w:rPr>
          <w:lang w:val="sr-Cyrl-RS"/>
        </w:rPr>
        <w:t>е</w:t>
      </w:r>
      <w:bookmarkEnd w:id="50"/>
    </w:p>
    <w:p w:rsidR="00171A80" w:rsidRPr="00171A80" w:rsidRDefault="00171A80" w:rsidP="00171A80">
      <w:pPr>
        <w:keepNext/>
        <w:keepLines/>
        <w:spacing w:after="0"/>
        <w:ind w:firstLine="0"/>
        <w:jc w:val="left"/>
        <w:outlineLvl w:val="0"/>
        <w:rPr>
          <w:rFonts w:asciiTheme="majorHAnsi" w:hAnsiTheme="majorHAnsi" w:cs="Calibri"/>
          <w:b/>
          <w:color w:val="4F6228"/>
          <w:sz w:val="32"/>
          <w:szCs w:val="32"/>
          <w:lang w:val="sr-Cyrl-RS"/>
        </w:rPr>
      </w:pPr>
      <w:bookmarkStart w:id="51" w:name="_Toc337117130"/>
    </w:p>
    <w:p w:rsidR="00171A80" w:rsidRPr="00171A80" w:rsidRDefault="0032182F" w:rsidP="00171A80">
      <w:pPr>
        <w:rPr>
          <w:rFonts w:asciiTheme="majorHAnsi" w:hAnsiTheme="majorHAnsi"/>
          <w:bCs w:val="0"/>
          <w:color w:val="7F7F7F" w:themeColor="text1" w:themeTint="80"/>
          <w:sz w:val="21"/>
          <w:szCs w:val="21"/>
          <w:lang w:val="sr-Cyrl-RS"/>
        </w:rPr>
      </w:pPr>
      <w:bookmarkStart w:id="52" w:name="_Toc337117129"/>
      <w:r w:rsidRPr="0032182F">
        <w:rPr>
          <w:rFonts w:asciiTheme="majorHAnsi" w:hAnsiTheme="majorHAnsi"/>
          <w:bCs w:val="0"/>
          <w:color w:val="7F7F7F" w:themeColor="text1" w:themeTint="80"/>
          <w:sz w:val="21"/>
          <w:szCs w:val="21"/>
          <w:lang w:val="sr-Cyrl-RS"/>
        </w:rPr>
        <w:t>Према Закону о јавном дугу, као правном основу задуживања Републике Србије, јавни дуг јесте</w:t>
      </w:r>
      <w:r w:rsidR="00171A80" w:rsidRPr="00171A80">
        <w:rPr>
          <w:rFonts w:asciiTheme="majorHAnsi" w:hAnsiTheme="majorHAnsi"/>
          <w:bCs w:val="0"/>
          <w:color w:val="7F7F7F" w:themeColor="text1" w:themeTint="80"/>
          <w:sz w:val="21"/>
          <w:szCs w:val="21"/>
          <w:vertAlign w:val="superscript"/>
          <w:lang w:val="sr-Cyrl-RS"/>
        </w:rPr>
        <w:footnoteReference w:id="3"/>
      </w:r>
      <w:r w:rsidR="00171A80" w:rsidRPr="00171A80">
        <w:rPr>
          <w:rFonts w:asciiTheme="majorHAnsi" w:hAnsiTheme="majorHAnsi"/>
          <w:bCs w:val="0"/>
          <w:color w:val="7F7F7F" w:themeColor="text1" w:themeTint="80"/>
          <w:sz w:val="21"/>
          <w:szCs w:val="21"/>
          <w:lang w:val="sr-Cyrl-RS"/>
        </w:rPr>
        <w:t>:</w:t>
      </w:r>
    </w:p>
    <w:p w:rsidR="00171A80" w:rsidRPr="00171A80" w:rsidRDefault="0032182F" w:rsidP="007F52AE">
      <w:pPr>
        <w:numPr>
          <w:ilvl w:val="0"/>
          <w:numId w:val="5"/>
        </w:numPr>
        <w:ind w:left="714" w:hanging="357"/>
        <w:rPr>
          <w:rFonts w:asciiTheme="majorHAnsi" w:hAnsiTheme="majorHAnsi"/>
          <w:color w:val="7F7F7F" w:themeColor="text1" w:themeTint="80"/>
          <w:sz w:val="21"/>
          <w:szCs w:val="21"/>
          <w:lang w:val="sr-Cyrl-RS"/>
        </w:rPr>
      </w:pPr>
      <w:r w:rsidRPr="0032182F">
        <w:rPr>
          <w:rFonts w:asciiTheme="majorHAnsi" w:hAnsiTheme="majorHAnsi"/>
          <w:color w:val="7F7F7F" w:themeColor="text1" w:themeTint="80"/>
          <w:sz w:val="21"/>
          <w:szCs w:val="21"/>
          <w:lang w:val="sr-Cyrl-RS"/>
        </w:rPr>
        <w:t>дуг Републике који настаје по основу уговора које закључи Република</w:t>
      </w:r>
      <w:r w:rsidR="00171A80" w:rsidRPr="00171A80">
        <w:rPr>
          <w:rFonts w:asciiTheme="majorHAnsi" w:hAnsiTheme="majorHAnsi"/>
          <w:color w:val="7F7F7F" w:themeColor="text1" w:themeTint="80"/>
          <w:sz w:val="21"/>
          <w:szCs w:val="21"/>
          <w:lang w:val="sr-Cyrl-RS"/>
        </w:rPr>
        <w:t>;</w:t>
      </w:r>
    </w:p>
    <w:p w:rsidR="00171A80" w:rsidRPr="00171A80" w:rsidRDefault="0032182F" w:rsidP="007F52AE">
      <w:pPr>
        <w:numPr>
          <w:ilvl w:val="0"/>
          <w:numId w:val="5"/>
        </w:numPr>
        <w:ind w:left="714" w:hanging="357"/>
        <w:rPr>
          <w:rFonts w:asciiTheme="majorHAnsi" w:hAnsiTheme="majorHAnsi"/>
          <w:color w:val="7F7F7F" w:themeColor="text1" w:themeTint="80"/>
          <w:sz w:val="21"/>
          <w:szCs w:val="21"/>
          <w:lang w:val="sr-Cyrl-RS"/>
        </w:rPr>
      </w:pPr>
      <w:r w:rsidRPr="0032182F">
        <w:rPr>
          <w:rFonts w:asciiTheme="majorHAnsi" w:hAnsiTheme="majorHAnsi"/>
          <w:color w:val="7F7F7F" w:themeColor="text1" w:themeTint="80"/>
          <w:sz w:val="21"/>
          <w:szCs w:val="21"/>
          <w:lang w:val="sr-Cyrl-RS"/>
        </w:rPr>
        <w:t>дуг Републике по основу хартија од вредности</w:t>
      </w:r>
      <w:r w:rsidR="00171A80" w:rsidRPr="00171A80">
        <w:rPr>
          <w:rFonts w:asciiTheme="majorHAnsi" w:hAnsiTheme="majorHAnsi"/>
          <w:color w:val="7F7F7F" w:themeColor="text1" w:themeTint="80"/>
          <w:sz w:val="21"/>
          <w:szCs w:val="21"/>
          <w:lang w:val="sr-Cyrl-RS"/>
        </w:rPr>
        <w:t>;</w:t>
      </w:r>
    </w:p>
    <w:p w:rsidR="00171A80" w:rsidRPr="00171A80" w:rsidRDefault="0032182F" w:rsidP="007F52AE">
      <w:pPr>
        <w:numPr>
          <w:ilvl w:val="0"/>
          <w:numId w:val="5"/>
        </w:numPr>
        <w:ind w:left="714" w:hanging="357"/>
        <w:rPr>
          <w:rFonts w:asciiTheme="majorHAnsi" w:hAnsiTheme="majorHAnsi"/>
          <w:color w:val="7F7F7F" w:themeColor="text1" w:themeTint="80"/>
          <w:sz w:val="21"/>
          <w:szCs w:val="21"/>
          <w:lang w:val="sr-Cyrl-RS"/>
        </w:rPr>
      </w:pPr>
      <w:r w:rsidRPr="0032182F">
        <w:rPr>
          <w:rFonts w:asciiTheme="majorHAnsi" w:hAnsiTheme="majorHAnsi"/>
          <w:color w:val="7F7F7F" w:themeColor="text1" w:themeTint="80"/>
          <w:sz w:val="21"/>
          <w:szCs w:val="21"/>
          <w:lang w:val="sr-Cyrl-RS"/>
        </w:rPr>
        <w:t>дуг Републике по основу уговора, односно споразума којим су репрограмиране обавезе које је Република преузела по раније закљученим уговорима, као и емитованим хартијама по посебним законима</w:t>
      </w:r>
      <w:r w:rsidR="00171A80" w:rsidRPr="00171A80">
        <w:rPr>
          <w:rFonts w:asciiTheme="majorHAnsi" w:hAnsiTheme="majorHAnsi"/>
          <w:color w:val="7F7F7F" w:themeColor="text1" w:themeTint="80"/>
          <w:sz w:val="21"/>
          <w:szCs w:val="21"/>
          <w:lang w:val="sr-Cyrl-RS"/>
        </w:rPr>
        <w:t>;</w:t>
      </w:r>
    </w:p>
    <w:p w:rsidR="00171A80" w:rsidRPr="00171A80" w:rsidRDefault="0032182F" w:rsidP="007F52AE">
      <w:pPr>
        <w:numPr>
          <w:ilvl w:val="0"/>
          <w:numId w:val="5"/>
        </w:numPr>
        <w:ind w:left="714" w:hanging="357"/>
        <w:rPr>
          <w:rFonts w:asciiTheme="majorHAnsi" w:hAnsiTheme="majorHAnsi"/>
          <w:color w:val="7F7F7F" w:themeColor="text1" w:themeTint="80"/>
          <w:sz w:val="21"/>
          <w:szCs w:val="21"/>
          <w:lang w:val="sr-Cyrl-RS"/>
        </w:rPr>
      </w:pPr>
      <w:r w:rsidRPr="0032182F">
        <w:rPr>
          <w:rFonts w:asciiTheme="majorHAnsi" w:hAnsiTheme="majorHAnsi"/>
          <w:color w:val="7F7F7F" w:themeColor="text1" w:themeTint="80"/>
          <w:sz w:val="21"/>
          <w:szCs w:val="21"/>
          <w:lang w:val="sr-Cyrl-RS"/>
        </w:rPr>
        <w:t>дуг Републике који настаје по основу дате гаранције Републике, или по основу непосредног преузимања обавеза у својству дужника за исплату дуга по основу дате гаранције, односно по основу контрагаранције коју даје Република</w:t>
      </w:r>
      <w:r w:rsidR="00171A80" w:rsidRPr="00171A80">
        <w:rPr>
          <w:rFonts w:asciiTheme="majorHAnsi" w:hAnsiTheme="majorHAnsi"/>
          <w:color w:val="7F7F7F" w:themeColor="text1" w:themeTint="80"/>
          <w:sz w:val="21"/>
          <w:szCs w:val="21"/>
          <w:lang w:val="sr-Cyrl-RS"/>
        </w:rPr>
        <w:t>;</w:t>
      </w:r>
    </w:p>
    <w:p w:rsidR="00171A80" w:rsidRPr="00171A80" w:rsidRDefault="0032182F" w:rsidP="007F52AE">
      <w:pPr>
        <w:numPr>
          <w:ilvl w:val="0"/>
          <w:numId w:val="5"/>
        </w:numPr>
        <w:ind w:left="714" w:hanging="357"/>
        <w:rPr>
          <w:rFonts w:asciiTheme="majorHAnsi" w:hAnsiTheme="majorHAnsi"/>
          <w:color w:val="7F7F7F" w:themeColor="text1" w:themeTint="80"/>
          <w:sz w:val="21"/>
          <w:szCs w:val="21"/>
          <w:lang w:val="sr-Cyrl-RS"/>
        </w:rPr>
      </w:pPr>
      <w:r w:rsidRPr="0032182F">
        <w:rPr>
          <w:rFonts w:asciiTheme="majorHAnsi" w:hAnsiTheme="majorHAnsi"/>
          <w:color w:val="7F7F7F" w:themeColor="text1" w:themeTint="80"/>
          <w:sz w:val="21"/>
          <w:szCs w:val="21"/>
          <w:lang w:val="sr-Cyrl-RS"/>
        </w:rPr>
        <w:t>дуг локалне власти, као и правних лица чији је оснивач Република, а за к</w:t>
      </w:r>
      <w:r>
        <w:rPr>
          <w:rFonts w:asciiTheme="majorHAnsi" w:hAnsiTheme="majorHAnsi"/>
          <w:color w:val="7F7F7F" w:themeColor="text1" w:themeTint="80"/>
          <w:sz w:val="21"/>
          <w:szCs w:val="21"/>
          <w:lang w:val="sr-Cyrl-RS"/>
        </w:rPr>
        <w:t>оје је Република дала гаранцију</w:t>
      </w:r>
      <w:r w:rsidR="00171A80" w:rsidRPr="00171A80">
        <w:rPr>
          <w:rFonts w:asciiTheme="majorHAnsi" w:hAnsiTheme="majorHAnsi"/>
          <w:color w:val="7F7F7F" w:themeColor="text1" w:themeTint="80"/>
          <w:sz w:val="21"/>
          <w:szCs w:val="21"/>
          <w:lang w:val="sr-Cyrl-RS"/>
        </w:rPr>
        <w:t>.</w:t>
      </w:r>
    </w:p>
    <w:p w:rsidR="00BE6C21" w:rsidRPr="00BE6C21" w:rsidRDefault="00BE6C21" w:rsidP="00BE6C21">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Законом је дозвољено задуживање у земљи и иностранству, односно на домаћем и иностраном тржишту. Република се може задуживати у домаћој и страној валути, ради финансирања буџетског дефицита, дефицита текуће ликвидности, рефинансирања неизмиреног дуга, за финансирање инвестиционих пројеката, као и за извршавање обавеза по датим гаранцијама. Република, сходно члану 9. Закона о Агенцији за осигурање депозита, се може задужити и за покриће потенцијалних губитака код комерцијалних банака.</w:t>
      </w:r>
    </w:p>
    <w:p w:rsidR="00BE6C21" w:rsidRPr="00BE6C21" w:rsidRDefault="00BE6C21" w:rsidP="00BE6C21">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Чланом 13. Закона о јавном дугу назначено је да јавни дуг представља безусловну и неопозиву обавезу Републике Србије у односу на отплату главнице, камате и осталих припадајућих трошкова. Отплата јавног дуга има сталну апропријацију у буџету Републике Србије и приоритет у исплати у односу на остале јавне расходе утврђене законом којима се уређује буџет Републике Србије.</w:t>
      </w:r>
    </w:p>
    <w:p w:rsidR="00BE6C21" w:rsidRPr="00BE6C21" w:rsidRDefault="00BE6C21" w:rsidP="00BE6C21">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Законом о буџетском систему дефинисана су општа фискална правила, према којима дуг општег нивоа државе, не укључујући обавезе по основу реституције, не може бити већи од 45% бруто домаћег производа. Ова одредба Закона је позитивно прихваћена од стране међународних финансијских институција, јер је Република Србија на релативно ниском нивоу БДП ограничила јавни дуг. Битно је напоменути да према критеријумима Мастрихта, дуг опште државе укључује дуг локалних власти, али не и гаранције издате од стране државе у укупном износу. Уколико би се применила таква методологија, стање јавног дуга Републике Србије би било на нижем нивоу него што је то по методологији, која се тренутно примењује. Према истом закону дефинисано је да је Влада, уколико јавни дуг пређе 45% БДП, у обавези да усвоји и примени мере за враћање јавног дуга у Законом дефинисани оквир.</w:t>
      </w:r>
    </w:p>
    <w:p w:rsidR="00171A80" w:rsidRPr="00171A80" w:rsidRDefault="00BE6C21" w:rsidP="00BE6C21">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Законом о јавном дугу је основана Управа за јавни дуг, као орган управе у саставу Министарства финансија и дефинисане њене надлежности и организација у циљу евидентирања и управљања јавним дугом Републике Србије</w:t>
      </w:r>
      <w:r w:rsidR="00BB52F7" w:rsidRPr="00BB52F7">
        <w:rPr>
          <w:rFonts w:asciiTheme="majorHAnsi" w:hAnsiTheme="majorHAnsi"/>
          <w:bCs w:val="0"/>
          <w:color w:val="7F7F7F" w:themeColor="text1" w:themeTint="80"/>
          <w:sz w:val="21"/>
          <w:szCs w:val="21"/>
          <w:lang w:val="sr-Cyrl-RS"/>
        </w:rPr>
        <w:t>.</w:t>
      </w:r>
    </w:p>
    <w:p w:rsidR="00171A80" w:rsidRPr="00171A80" w:rsidRDefault="00171A80" w:rsidP="00171A80">
      <w:pPr>
        <w:rPr>
          <w:rFonts w:asciiTheme="majorHAnsi" w:hAnsiTheme="majorHAnsi"/>
          <w:bCs w:val="0"/>
          <w:color w:val="7F7F7F" w:themeColor="text1" w:themeTint="80"/>
          <w:sz w:val="21"/>
          <w:szCs w:val="21"/>
          <w:lang w:val="sr-Cyrl-RS"/>
        </w:rPr>
      </w:pPr>
    </w:p>
    <w:p w:rsidR="00171A80" w:rsidRPr="00171A80" w:rsidRDefault="00171A80" w:rsidP="00171A80">
      <w:pPr>
        <w:ind w:firstLine="0"/>
        <w:rPr>
          <w:rFonts w:asciiTheme="majorHAnsi" w:hAnsiTheme="majorHAnsi"/>
          <w:bCs w:val="0"/>
          <w:color w:val="7F7F7F" w:themeColor="text1" w:themeTint="80"/>
          <w:sz w:val="21"/>
          <w:szCs w:val="21"/>
          <w:lang w:val="sr-Cyrl-RS"/>
        </w:rPr>
      </w:pPr>
    </w:p>
    <w:p w:rsidR="00171A80" w:rsidRDefault="00171A80" w:rsidP="007F52AE">
      <w:pPr>
        <w:pStyle w:val="Heading2"/>
        <w:numPr>
          <w:ilvl w:val="0"/>
          <w:numId w:val="29"/>
        </w:numPr>
        <w:spacing w:before="0" w:after="0"/>
        <w:ind w:left="714" w:hanging="357"/>
        <w:rPr>
          <w:b w:val="0"/>
          <w:i w:val="0"/>
          <w:lang w:val="sr-Cyrl-RS"/>
        </w:rPr>
      </w:pPr>
      <w:bookmarkStart w:id="53" w:name="_Toc370377595"/>
      <w:bookmarkStart w:id="54" w:name="_Toc407617170"/>
      <w:r w:rsidRPr="00171A80">
        <w:rPr>
          <w:b w:val="0"/>
          <w:i w:val="0"/>
          <w:lang w:val="sr-Cyrl-RS"/>
        </w:rPr>
        <w:lastRenderedPageBreak/>
        <w:t>Стање и структура јавног дуга у периоду крај 2011 - октобар 2014. годин</w:t>
      </w:r>
      <w:bookmarkEnd w:id="52"/>
      <w:r w:rsidRPr="00171A80">
        <w:rPr>
          <w:b w:val="0"/>
          <w:i w:val="0"/>
          <w:lang w:val="sr-Cyrl-RS"/>
        </w:rPr>
        <w:t>е</w:t>
      </w:r>
      <w:bookmarkEnd w:id="53"/>
      <w:bookmarkEnd w:id="54"/>
    </w:p>
    <w:p w:rsidR="005C687B" w:rsidRPr="005C687B" w:rsidRDefault="005C687B" w:rsidP="007F52AE">
      <w:pPr>
        <w:spacing w:after="0"/>
        <w:rPr>
          <w:lang w:val="sr-Cyrl-RS"/>
        </w:rPr>
      </w:pPr>
    </w:p>
    <w:p w:rsidR="00BE6C21" w:rsidRPr="00BE6C21" w:rsidRDefault="00BE6C21" w:rsidP="00BE6C21">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Према евиденцији коју води Министарство финансија - Управа за јавни дуг, јавни дуг Републике Србије чине све директне обавезе Републике по основу задуживања, као и гаранције издате од Републике за задуживање јавних предузећа и локалних власти. Јавни дуг Републике Србије се дели на директне и индиректне обавезе, односно на обавезе у име и за рачун Републике и обавезе које произилазе из гаранција, које су емитоване од стране Републике, а у корист других правних лица. Даље се директне и индиректне обавезе деле на унутрашњи дуг и спољни дуг, у зависности од тога да ли су обавезе настале задуживањем на домаћем или иностраном тржишту.</w:t>
      </w:r>
    </w:p>
    <w:p w:rsidR="00171A80" w:rsidRPr="00171A80" w:rsidRDefault="00BE6C21" w:rsidP="00BE6C21">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На крају 2000. године, укупан јавни дуг Републике Србије је био 201,2% БДП. Као последица пораста бруто домаћег производа, уредног сервисирања јавног дуга, смањења буџетског дефицита, отписа дела дугова Париског и Лондонског клуба, као и других фактора, однос јавни дуг-БДП се спустио на 28,3% у 2008. години. Услед негативних ефеката светске економске кризе на домаћу привреду, Република Србија је повећала задуживање у циљу финансирања буџетског дефицита у периоду 2009 - 2014. године. Кретање учешћа јавног дуга Републике Србије у БДП, у периоду од краја 2011. године до 31. октобра 2014. године је приказано на следећем графикону</w:t>
      </w:r>
      <w:r w:rsidR="00171A80" w:rsidRPr="00171A80">
        <w:rPr>
          <w:rFonts w:asciiTheme="majorHAnsi" w:hAnsiTheme="majorHAnsi"/>
          <w:bCs w:val="0"/>
          <w:color w:val="7F7F7F" w:themeColor="text1" w:themeTint="80"/>
          <w:sz w:val="21"/>
          <w:szCs w:val="21"/>
          <w:lang w:val="sr-Cyrl-RS"/>
        </w:rPr>
        <w:t>:</w:t>
      </w:r>
    </w:p>
    <w:p w:rsidR="00171A80" w:rsidRPr="009F0BBB" w:rsidRDefault="009123E8" w:rsidP="009F0BBB">
      <w:pPr>
        <w:ind w:firstLine="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t>Графикон 16</w:t>
      </w:r>
      <w:r w:rsidR="009F0BBB">
        <w:rPr>
          <w:rFonts w:asciiTheme="majorHAnsi" w:hAnsiTheme="majorHAnsi"/>
          <w:b/>
          <w:bCs w:val="0"/>
          <w:color w:val="7F7F7F" w:themeColor="text1" w:themeTint="80"/>
          <w:sz w:val="21"/>
          <w:szCs w:val="21"/>
          <w:lang w:val="sr-Cyrl-RS"/>
        </w:rPr>
        <w:t>. Учешће јавног дуга у БДП, у %</w:t>
      </w:r>
    </w:p>
    <w:p w:rsidR="00171A80" w:rsidRPr="00171A80" w:rsidRDefault="00171A80" w:rsidP="00171A80">
      <w:pPr>
        <w:spacing w:after="0"/>
        <w:ind w:firstLine="0"/>
        <w:jc w:val="left"/>
        <w:rPr>
          <w:rFonts w:asciiTheme="majorHAnsi" w:hAnsiTheme="majorHAnsi"/>
          <w:bCs w:val="0"/>
          <w:color w:val="595959" w:themeColor="text1" w:themeTint="A6"/>
          <w:sz w:val="21"/>
          <w:szCs w:val="21"/>
          <w:lang w:val="sr-Cyrl-RS"/>
        </w:rPr>
      </w:pPr>
      <w:r w:rsidRPr="00171A80">
        <w:rPr>
          <w:noProof/>
          <w:color w:val="595959" w:themeColor="text1" w:themeTint="A6"/>
          <w:lang w:val="en-US"/>
        </w:rPr>
        <w:drawing>
          <wp:inline distT="0" distB="0" distL="0" distR="0" wp14:anchorId="0062A3F1" wp14:editId="63380361">
            <wp:extent cx="5737253" cy="3892269"/>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E6C21" w:rsidRPr="00BE6C21" w:rsidRDefault="00BE6C21" w:rsidP="00BE6C21">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 xml:space="preserve">Пораст буџетског дефицита, низак реални раст БДП и депрецијација динара у односу на ино-валуте, у којима је деноминован српски јавни дуг, довели су до повећања нивоа јавног дуга у последње четири године, чиме је пробијена граница предвиђена Законом о буџетском систему. На крају 2013. године укупан јавни дуг Републике Србије износио је 2.369,0 млрд </w:t>
      </w:r>
      <w:r w:rsidRPr="00BE6C21">
        <w:rPr>
          <w:rFonts w:asciiTheme="majorHAnsi" w:hAnsiTheme="majorHAnsi"/>
          <w:bCs w:val="0"/>
          <w:color w:val="7F7F7F" w:themeColor="text1" w:themeTint="80"/>
          <w:sz w:val="21"/>
          <w:szCs w:val="21"/>
          <w:lang w:val="sr-Cyrl-RS"/>
        </w:rPr>
        <w:lastRenderedPageBreak/>
        <w:t>динара, што је пораст у односу на крај 2012. године, када је износио 2.081,3 млрд динара. Јавни дуг на крају 2013. године износио је 61,1% БДП</w:t>
      </w:r>
      <w:r w:rsidRPr="00BE6C21">
        <w:rPr>
          <w:rFonts w:asciiTheme="majorHAnsi" w:hAnsiTheme="majorHAnsi"/>
          <w:bCs w:val="0"/>
          <w:color w:val="7F7F7F" w:themeColor="text1" w:themeTint="80"/>
          <w:sz w:val="21"/>
          <w:szCs w:val="21"/>
          <w:vertAlign w:val="superscript"/>
          <w:lang w:val="sr-Cyrl-RS"/>
        </w:rPr>
        <w:footnoteReference w:id="4"/>
      </w:r>
      <w:r w:rsidRPr="00BE6C21">
        <w:rPr>
          <w:rFonts w:asciiTheme="majorHAnsi" w:hAnsiTheme="majorHAnsi"/>
          <w:bCs w:val="0"/>
          <w:color w:val="7F7F7F" w:themeColor="text1" w:themeTint="80"/>
          <w:sz w:val="21"/>
          <w:szCs w:val="21"/>
          <w:lang w:val="sr-Cyrl-RS"/>
        </w:rPr>
        <w:t xml:space="preserve">. </w:t>
      </w:r>
    </w:p>
    <w:p w:rsidR="00BE6C21" w:rsidRPr="00BE6C21" w:rsidRDefault="00BE6C21" w:rsidP="00BE6C21">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Унутрашњи јавни дуг се значајно повећао у 2013. години у односу на 2012. годину, са 863,0 млрд динара на 948,4 млрд динара. Спољни јавни дуг се увећао са 1.218,3 млрд динара на 1.420,7 млрд динара током 2013. године. Директне обавезе Републике Србије су у 2012. години износиле 1.719,1 млрд динара, да би у следећој години порасле на 1.983,2 млрд динара. Са друге стране, порасле су и индиректне обавезе са 295,7 млрд динара у 2012. години на 325,8 млрд динара у 2013. години.</w:t>
      </w:r>
    </w:p>
    <w:p w:rsidR="00BE6C21" w:rsidRPr="00BE6C21" w:rsidRDefault="00BE6C21" w:rsidP="00BE6C21">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На крају октобра 2014. године укупно стање јавног дуга је износило 2.700,4 млрд динара, односно 69,5% БДП</w:t>
      </w:r>
      <w:r w:rsidRPr="00BE6C21">
        <w:rPr>
          <w:rFonts w:asciiTheme="majorHAnsi" w:hAnsiTheme="majorHAnsi"/>
          <w:color w:val="7F7F7F" w:themeColor="text1" w:themeTint="80"/>
          <w:sz w:val="21"/>
          <w:szCs w:val="21"/>
          <w:vertAlign w:val="superscript"/>
          <w:lang w:val="sr-Cyrl-RS"/>
        </w:rPr>
        <w:footnoteReference w:id="5"/>
      </w:r>
      <w:r w:rsidRPr="00BE6C21">
        <w:rPr>
          <w:rFonts w:asciiTheme="majorHAnsi" w:hAnsiTheme="majorHAnsi"/>
          <w:bCs w:val="0"/>
          <w:color w:val="7F7F7F" w:themeColor="text1" w:themeTint="80"/>
          <w:sz w:val="21"/>
          <w:szCs w:val="21"/>
          <w:lang w:val="sr-Cyrl-RS"/>
        </w:rPr>
        <w:t xml:space="preserve">. Од тога се на директне обавезе односило 2.341,9 млрд динара, а на индиректне обавезе 303,0 млрд динара, 53,2 млрд динара на негарантовани дуг јединица локалне власти и 2,3 млрд динара на негарантовани дуг </w:t>
      </w:r>
      <w:bookmarkStart w:id="55" w:name="_GoBack"/>
      <w:r w:rsidRPr="00BE6C21">
        <w:rPr>
          <w:rFonts w:asciiTheme="majorHAnsi" w:hAnsiTheme="majorHAnsi"/>
          <w:bCs w:val="0"/>
          <w:color w:val="7F7F7F" w:themeColor="text1" w:themeTint="80"/>
          <w:sz w:val="21"/>
          <w:szCs w:val="21"/>
          <w:lang w:val="sr-Cyrl-RS"/>
        </w:rPr>
        <w:t xml:space="preserve">Фонда за </w:t>
      </w:r>
      <w:bookmarkEnd w:id="55"/>
      <w:r w:rsidRPr="00BE6C21">
        <w:rPr>
          <w:rFonts w:asciiTheme="majorHAnsi" w:hAnsiTheme="majorHAnsi"/>
          <w:bCs w:val="0"/>
          <w:color w:val="7F7F7F" w:themeColor="text1" w:themeTint="80"/>
          <w:sz w:val="21"/>
          <w:szCs w:val="21"/>
          <w:lang w:val="sr-Cyrl-RS"/>
        </w:rPr>
        <w:t xml:space="preserve">развој </w:t>
      </w:r>
      <w:r w:rsidR="00F74EED">
        <w:rPr>
          <w:rFonts w:asciiTheme="majorHAnsi" w:hAnsiTheme="majorHAnsi"/>
          <w:bCs w:val="0"/>
          <w:color w:val="7F7F7F" w:themeColor="text1" w:themeTint="80"/>
          <w:sz w:val="21"/>
          <w:szCs w:val="21"/>
          <w:lang w:val="sr-Cyrl-RS"/>
        </w:rPr>
        <w:t>Републике Србије</w:t>
      </w:r>
      <w:r w:rsidR="000138A3">
        <w:rPr>
          <w:rFonts w:asciiTheme="majorHAnsi" w:hAnsiTheme="majorHAnsi"/>
          <w:bCs w:val="0"/>
          <w:color w:val="7F7F7F" w:themeColor="text1" w:themeTint="80"/>
          <w:sz w:val="21"/>
          <w:szCs w:val="21"/>
          <w:lang w:val="sr-Cyrl-RS"/>
        </w:rPr>
        <w:t xml:space="preserve"> (у даљем тексту: Фонд за развој)</w:t>
      </w:r>
      <w:r w:rsidR="00F74EED">
        <w:rPr>
          <w:rFonts w:asciiTheme="majorHAnsi" w:hAnsiTheme="majorHAnsi"/>
          <w:bCs w:val="0"/>
          <w:color w:val="7F7F7F" w:themeColor="text1" w:themeTint="80"/>
          <w:sz w:val="21"/>
          <w:szCs w:val="21"/>
          <w:lang w:val="sr-Cyrl-RS"/>
        </w:rPr>
        <w:t xml:space="preserve"> </w:t>
      </w:r>
      <w:r w:rsidRPr="00BE6C21">
        <w:rPr>
          <w:rFonts w:asciiTheme="majorHAnsi" w:hAnsiTheme="majorHAnsi"/>
          <w:bCs w:val="0"/>
          <w:color w:val="7F7F7F" w:themeColor="text1" w:themeTint="80"/>
          <w:sz w:val="21"/>
          <w:szCs w:val="21"/>
          <w:lang w:val="sr-Cyrl-RS"/>
        </w:rPr>
        <w:t>и ЈП ,,Путеви Србије”. Домаће директне обавезе су износиле 961,2 млрд динара, а спољне директне обавезе 1.380,7 млрд динара. Код индиректних обавеза, унутрашњи дуг је био 82,1 млрд динара, а спољни 220,9 млрд динара. Када се укупан јавни дуг подели на унутрашњи и спољни јавни дуг, износи су били 1.084,1 млрд динара и 1.616,3 млрд динара, респективно.</w:t>
      </w:r>
    </w:p>
    <w:p w:rsidR="00171A80" w:rsidRPr="00171A80" w:rsidRDefault="00BE6C21" w:rsidP="00BE6C21">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Наредна табела приказује стање унутрашњег и спољног дуга (апсолутно и релативно) на крају године, у периоду крај 2011 - октобар 2014. године. Поред тога, дати су и подаци о учешћу унутрашњег и спољног дуга у БДП. Такође, приказује се апсолутно стање и релативно учешће у БДП директних, индиректних обавеза Републике Србије, као и негарантованих обавеза јединица локалне власти, Фонда за развој и ЈП „Путеви Србије”</w:t>
      </w:r>
      <w:r w:rsidR="00171A80" w:rsidRPr="00171A80">
        <w:rPr>
          <w:rFonts w:asciiTheme="majorHAnsi" w:hAnsiTheme="majorHAnsi"/>
          <w:bCs w:val="0"/>
          <w:color w:val="7F7F7F" w:themeColor="text1" w:themeTint="80"/>
          <w:sz w:val="21"/>
          <w:szCs w:val="21"/>
          <w:lang w:val="sr-Cyrl-RS"/>
        </w:rPr>
        <w:t xml:space="preserve">: </w:t>
      </w:r>
    </w:p>
    <w:p w:rsidR="00171A80" w:rsidRPr="00171A80" w:rsidRDefault="00171A80" w:rsidP="00171A80">
      <w:pPr>
        <w:ind w:firstLine="0"/>
        <w:jc w:val="left"/>
        <w:rPr>
          <w:rFonts w:asciiTheme="majorHAnsi" w:hAnsiTheme="majorHAnsi"/>
          <w:b/>
          <w:bCs w:val="0"/>
          <w:color w:val="7F7F7F" w:themeColor="text1" w:themeTint="80"/>
          <w:sz w:val="21"/>
          <w:szCs w:val="21"/>
          <w:lang w:val="sr-Cyrl-RS"/>
        </w:rPr>
      </w:pPr>
      <w:r w:rsidRPr="00171A80">
        <w:rPr>
          <w:rFonts w:asciiTheme="majorHAnsi" w:hAnsiTheme="majorHAnsi"/>
          <w:b/>
          <w:bCs w:val="0"/>
          <w:color w:val="7F7F7F" w:themeColor="text1" w:themeTint="80"/>
          <w:sz w:val="21"/>
          <w:szCs w:val="21"/>
          <w:lang w:val="sr-Cyrl-RS"/>
        </w:rPr>
        <w:t xml:space="preserve">Табела </w:t>
      </w:r>
      <w:r w:rsidR="009123E8">
        <w:rPr>
          <w:rFonts w:asciiTheme="majorHAnsi" w:hAnsiTheme="majorHAnsi"/>
          <w:b/>
          <w:bCs w:val="0"/>
          <w:color w:val="7F7F7F" w:themeColor="text1" w:themeTint="80"/>
          <w:sz w:val="21"/>
          <w:szCs w:val="21"/>
          <w:lang w:val="sr-Cyrl-RS"/>
        </w:rPr>
        <w:t>15</w:t>
      </w:r>
      <w:r w:rsidRPr="00171A80">
        <w:rPr>
          <w:rFonts w:asciiTheme="majorHAnsi" w:hAnsiTheme="majorHAnsi"/>
          <w:b/>
          <w:bCs w:val="0"/>
          <w:color w:val="7F7F7F" w:themeColor="text1" w:themeTint="80"/>
          <w:sz w:val="21"/>
          <w:szCs w:val="21"/>
          <w:lang w:val="sr-Cyrl-RS"/>
        </w:rPr>
        <w:t>. Унутрашњи и спољни јавни дуг у периоду крај 2011 - 31. октобар 2014. године</w:t>
      </w:r>
    </w:p>
    <w:tbl>
      <w:tblPr>
        <w:tblW w:w="5069" w:type="pct"/>
        <w:jc w:val="center"/>
        <w:tblLook w:val="04A0" w:firstRow="1" w:lastRow="0" w:firstColumn="1" w:lastColumn="0" w:noHBand="0" w:noVBand="1"/>
      </w:tblPr>
      <w:tblGrid>
        <w:gridCol w:w="4217"/>
        <w:gridCol w:w="1307"/>
        <w:gridCol w:w="1331"/>
        <w:gridCol w:w="1257"/>
        <w:gridCol w:w="1257"/>
      </w:tblGrid>
      <w:tr w:rsidR="00171A80" w:rsidRPr="00171A80" w:rsidTr="00171A80">
        <w:trPr>
          <w:trHeight w:val="179"/>
          <w:jc w:val="center"/>
        </w:trPr>
        <w:tc>
          <w:tcPr>
            <w:tcW w:w="4217"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 </w:t>
            </w:r>
          </w:p>
        </w:tc>
        <w:tc>
          <w:tcPr>
            <w:tcW w:w="1307"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2011</w:t>
            </w:r>
          </w:p>
        </w:tc>
        <w:tc>
          <w:tcPr>
            <w:tcW w:w="1331"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2012</w:t>
            </w:r>
          </w:p>
        </w:tc>
        <w:tc>
          <w:tcPr>
            <w:tcW w:w="1257"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2013</w:t>
            </w:r>
          </w:p>
        </w:tc>
        <w:tc>
          <w:tcPr>
            <w:tcW w:w="1257"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2014/X</w:t>
            </w:r>
          </w:p>
        </w:tc>
      </w:tr>
      <w:tr w:rsidR="00171A80" w:rsidRPr="00171A80" w:rsidTr="00171A80">
        <w:trPr>
          <w:trHeight w:val="179"/>
          <w:jc w:val="center"/>
        </w:trPr>
        <w:tc>
          <w:tcPr>
            <w:tcW w:w="4217" w:type="dxa"/>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 </w:t>
            </w:r>
          </w:p>
        </w:tc>
        <w:tc>
          <w:tcPr>
            <w:tcW w:w="5152" w:type="dxa"/>
            <w:gridSpan w:val="4"/>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 млрд динара</w:t>
            </w:r>
          </w:p>
        </w:tc>
      </w:tr>
      <w:tr w:rsidR="00171A80" w:rsidRPr="00171A80" w:rsidTr="00171A80">
        <w:trPr>
          <w:trHeight w:val="179"/>
          <w:jc w:val="center"/>
        </w:trPr>
        <w:tc>
          <w:tcPr>
            <w:tcW w:w="4217"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Јавни дуг</w:t>
            </w:r>
          </w:p>
        </w:tc>
        <w:tc>
          <w:tcPr>
            <w:tcW w:w="130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1.614,2</w:t>
            </w:r>
          </w:p>
        </w:tc>
        <w:tc>
          <w:tcPr>
            <w:tcW w:w="1331"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2.081,3</w:t>
            </w:r>
          </w:p>
        </w:tc>
        <w:tc>
          <w:tcPr>
            <w:tcW w:w="125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2.369,0</w:t>
            </w:r>
          </w:p>
        </w:tc>
        <w:tc>
          <w:tcPr>
            <w:tcW w:w="125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2.700,4</w:t>
            </w:r>
          </w:p>
        </w:tc>
      </w:tr>
      <w:tr w:rsidR="00171A80" w:rsidRPr="00171A80" w:rsidTr="00171A80">
        <w:trPr>
          <w:trHeight w:val="179"/>
          <w:jc w:val="center"/>
        </w:trPr>
        <w:tc>
          <w:tcPr>
            <w:tcW w:w="421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130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662,9</w:t>
            </w:r>
          </w:p>
        </w:tc>
        <w:tc>
          <w:tcPr>
            <w:tcW w:w="1331"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863,0</w:t>
            </w:r>
          </w:p>
        </w:tc>
        <w:tc>
          <w:tcPr>
            <w:tcW w:w="125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948,4</w:t>
            </w:r>
          </w:p>
        </w:tc>
        <w:tc>
          <w:tcPr>
            <w:tcW w:w="125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1.084,1</w:t>
            </w:r>
          </w:p>
        </w:tc>
      </w:tr>
      <w:tr w:rsidR="00171A80" w:rsidRPr="00171A80" w:rsidTr="00171A80">
        <w:trPr>
          <w:trHeight w:val="179"/>
          <w:jc w:val="center"/>
        </w:trPr>
        <w:tc>
          <w:tcPr>
            <w:tcW w:w="4217"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130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951,3</w:t>
            </w:r>
          </w:p>
        </w:tc>
        <w:tc>
          <w:tcPr>
            <w:tcW w:w="1331"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1.218,3</w:t>
            </w:r>
          </w:p>
        </w:tc>
        <w:tc>
          <w:tcPr>
            <w:tcW w:w="125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1.420,7</w:t>
            </w:r>
          </w:p>
        </w:tc>
        <w:tc>
          <w:tcPr>
            <w:tcW w:w="125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1.616,3</w:t>
            </w:r>
          </w:p>
        </w:tc>
      </w:tr>
      <w:tr w:rsidR="00171A80" w:rsidRPr="00171A80" w:rsidTr="00171A80">
        <w:trPr>
          <w:trHeight w:val="179"/>
          <w:jc w:val="center"/>
        </w:trPr>
        <w:tc>
          <w:tcPr>
            <w:tcW w:w="421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Од чега централни ниво власти:</w:t>
            </w:r>
          </w:p>
        </w:tc>
        <w:tc>
          <w:tcPr>
            <w:tcW w:w="130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1.547,5</w:t>
            </w:r>
          </w:p>
        </w:tc>
        <w:tc>
          <w:tcPr>
            <w:tcW w:w="1331"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2.014,8</w:t>
            </w:r>
          </w:p>
        </w:tc>
        <w:tc>
          <w:tcPr>
            <w:tcW w:w="125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2.309,0</w:t>
            </w:r>
          </w:p>
        </w:tc>
        <w:tc>
          <w:tcPr>
            <w:tcW w:w="125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2.644,9</w:t>
            </w:r>
          </w:p>
        </w:tc>
      </w:tr>
      <w:tr w:rsidR="00171A80" w:rsidRPr="00171A80" w:rsidTr="00171A80">
        <w:trPr>
          <w:trHeight w:val="179"/>
          <w:jc w:val="center"/>
        </w:trPr>
        <w:tc>
          <w:tcPr>
            <w:tcW w:w="4217"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130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625,4</w:t>
            </w:r>
          </w:p>
        </w:tc>
        <w:tc>
          <w:tcPr>
            <w:tcW w:w="1331"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820,9</w:t>
            </w:r>
          </w:p>
        </w:tc>
        <w:tc>
          <w:tcPr>
            <w:tcW w:w="125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907,0</w:t>
            </w:r>
          </w:p>
        </w:tc>
        <w:tc>
          <w:tcPr>
            <w:tcW w:w="125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1.043,3</w:t>
            </w:r>
          </w:p>
        </w:tc>
      </w:tr>
      <w:tr w:rsidR="00171A80" w:rsidRPr="00171A80" w:rsidTr="00171A80">
        <w:trPr>
          <w:trHeight w:val="179"/>
          <w:jc w:val="center"/>
        </w:trPr>
        <w:tc>
          <w:tcPr>
            <w:tcW w:w="421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130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922,1</w:t>
            </w:r>
          </w:p>
        </w:tc>
        <w:tc>
          <w:tcPr>
            <w:tcW w:w="1331"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1.193,9</w:t>
            </w:r>
          </w:p>
        </w:tc>
        <w:tc>
          <w:tcPr>
            <w:tcW w:w="125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1.402,0</w:t>
            </w:r>
          </w:p>
        </w:tc>
        <w:tc>
          <w:tcPr>
            <w:tcW w:w="125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1.601,6</w:t>
            </w:r>
          </w:p>
        </w:tc>
      </w:tr>
      <w:tr w:rsidR="00171A80" w:rsidRPr="00171A80" w:rsidTr="00171A80">
        <w:trPr>
          <w:trHeight w:val="179"/>
          <w:jc w:val="center"/>
        </w:trPr>
        <w:tc>
          <w:tcPr>
            <w:tcW w:w="4217" w:type="dxa"/>
            <w:tcBorders>
              <w:top w:val="nil"/>
              <w:left w:val="nil"/>
              <w:right w:val="nil"/>
            </w:tcBorders>
            <w:shd w:val="clear" w:color="auto" w:fill="auto"/>
            <w:noWrap/>
            <w:hideMark/>
          </w:tcPr>
          <w:p w:rsidR="00171A80" w:rsidRPr="00171A80" w:rsidRDefault="00171A80" w:rsidP="00171A80">
            <w:pPr>
              <w:spacing w:after="0"/>
              <w:ind w:firstLine="0"/>
              <w:jc w:val="left"/>
              <w:rPr>
                <w:rFonts w:asciiTheme="majorHAnsi" w:hAnsiTheme="majorHAnsi" w:cs="Calibri"/>
                <w:bCs w:val="0"/>
                <w:color w:val="000000"/>
                <w:sz w:val="20"/>
                <w:szCs w:val="20"/>
                <w:lang w:val="sr-Cyrl-RS" w:eastAsia="sr-Latn-RS"/>
              </w:rPr>
            </w:pPr>
          </w:p>
        </w:tc>
        <w:tc>
          <w:tcPr>
            <w:tcW w:w="5152" w:type="dxa"/>
            <w:gridSpan w:val="4"/>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 % БДП</w:t>
            </w:r>
          </w:p>
        </w:tc>
      </w:tr>
      <w:tr w:rsidR="00171A80" w:rsidRPr="00171A80" w:rsidTr="00171A80">
        <w:trPr>
          <w:trHeight w:val="179"/>
          <w:jc w:val="center"/>
        </w:trPr>
        <w:tc>
          <w:tcPr>
            <w:tcW w:w="421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Јавни дуг</w:t>
            </w:r>
          </w:p>
        </w:tc>
        <w:tc>
          <w:tcPr>
            <w:tcW w:w="130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47,4</w:t>
            </w:r>
          </w:p>
        </w:tc>
        <w:tc>
          <w:tcPr>
            <w:tcW w:w="1331"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58,1</w:t>
            </w:r>
          </w:p>
        </w:tc>
        <w:tc>
          <w:tcPr>
            <w:tcW w:w="125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61,1</w:t>
            </w:r>
          </w:p>
        </w:tc>
        <w:tc>
          <w:tcPr>
            <w:tcW w:w="125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69,5</w:t>
            </w:r>
          </w:p>
        </w:tc>
      </w:tr>
      <w:tr w:rsidR="00171A80" w:rsidRPr="00171A80" w:rsidTr="00171A80">
        <w:trPr>
          <w:trHeight w:val="179"/>
          <w:jc w:val="center"/>
        </w:trPr>
        <w:tc>
          <w:tcPr>
            <w:tcW w:w="4217"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130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19,5</w:t>
            </w:r>
          </w:p>
        </w:tc>
        <w:tc>
          <w:tcPr>
            <w:tcW w:w="1331"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24,1</w:t>
            </w:r>
          </w:p>
        </w:tc>
        <w:tc>
          <w:tcPr>
            <w:tcW w:w="125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24,5</w:t>
            </w:r>
          </w:p>
        </w:tc>
        <w:tc>
          <w:tcPr>
            <w:tcW w:w="125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27,9</w:t>
            </w:r>
          </w:p>
        </w:tc>
      </w:tr>
      <w:tr w:rsidR="00171A80" w:rsidRPr="00171A80" w:rsidTr="00171A80">
        <w:trPr>
          <w:trHeight w:val="179"/>
          <w:jc w:val="center"/>
        </w:trPr>
        <w:tc>
          <w:tcPr>
            <w:tcW w:w="421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130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27,9</w:t>
            </w:r>
          </w:p>
        </w:tc>
        <w:tc>
          <w:tcPr>
            <w:tcW w:w="1331"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34,0</w:t>
            </w:r>
          </w:p>
        </w:tc>
        <w:tc>
          <w:tcPr>
            <w:tcW w:w="125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36,6</w:t>
            </w:r>
          </w:p>
        </w:tc>
        <w:tc>
          <w:tcPr>
            <w:tcW w:w="125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41,6</w:t>
            </w:r>
          </w:p>
        </w:tc>
      </w:tr>
      <w:tr w:rsidR="00171A80" w:rsidRPr="00171A80" w:rsidTr="00171A80">
        <w:trPr>
          <w:trHeight w:val="179"/>
          <w:jc w:val="center"/>
        </w:trPr>
        <w:tc>
          <w:tcPr>
            <w:tcW w:w="4217"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Од чега централни ниво власти:</w:t>
            </w:r>
          </w:p>
        </w:tc>
        <w:tc>
          <w:tcPr>
            <w:tcW w:w="130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45,4</w:t>
            </w:r>
          </w:p>
        </w:tc>
        <w:tc>
          <w:tcPr>
            <w:tcW w:w="1331"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56,2</w:t>
            </w:r>
          </w:p>
        </w:tc>
        <w:tc>
          <w:tcPr>
            <w:tcW w:w="125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59,6</w:t>
            </w:r>
          </w:p>
        </w:tc>
        <w:tc>
          <w:tcPr>
            <w:tcW w:w="125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68,1</w:t>
            </w:r>
          </w:p>
        </w:tc>
      </w:tr>
      <w:tr w:rsidR="00171A80" w:rsidRPr="00171A80" w:rsidTr="00171A80">
        <w:trPr>
          <w:trHeight w:val="179"/>
          <w:jc w:val="center"/>
        </w:trPr>
        <w:tc>
          <w:tcPr>
            <w:tcW w:w="4217"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1307"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18,3</w:t>
            </w:r>
          </w:p>
        </w:tc>
        <w:tc>
          <w:tcPr>
            <w:tcW w:w="13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22,9</w:t>
            </w:r>
          </w:p>
        </w:tc>
        <w:tc>
          <w:tcPr>
            <w:tcW w:w="1257"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23,4</w:t>
            </w:r>
          </w:p>
        </w:tc>
        <w:tc>
          <w:tcPr>
            <w:tcW w:w="1257"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26,9</w:t>
            </w:r>
          </w:p>
        </w:tc>
      </w:tr>
      <w:tr w:rsidR="00171A80" w:rsidRPr="00171A80" w:rsidTr="00171A80">
        <w:trPr>
          <w:trHeight w:val="179"/>
          <w:jc w:val="center"/>
        </w:trPr>
        <w:tc>
          <w:tcPr>
            <w:tcW w:w="4217"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1307"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27,1</w:t>
            </w:r>
          </w:p>
        </w:tc>
        <w:tc>
          <w:tcPr>
            <w:tcW w:w="1331"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33,3</w:t>
            </w:r>
          </w:p>
        </w:tc>
        <w:tc>
          <w:tcPr>
            <w:tcW w:w="1257"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36,2</w:t>
            </w:r>
          </w:p>
        </w:tc>
        <w:tc>
          <w:tcPr>
            <w:tcW w:w="1257"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41,2</w:t>
            </w:r>
          </w:p>
        </w:tc>
      </w:tr>
    </w:tbl>
    <w:p w:rsidR="009123E8" w:rsidRDefault="009123E8" w:rsidP="00171A80">
      <w:pPr>
        <w:spacing w:before="120"/>
        <w:ind w:firstLine="0"/>
        <w:rPr>
          <w:rFonts w:asciiTheme="majorHAnsi" w:hAnsiTheme="majorHAnsi"/>
          <w:b/>
          <w:bCs w:val="0"/>
          <w:color w:val="7F7F7F" w:themeColor="text1" w:themeTint="80"/>
          <w:sz w:val="21"/>
          <w:szCs w:val="21"/>
          <w:lang w:val="sr-Cyrl-RS"/>
        </w:rPr>
      </w:pPr>
    </w:p>
    <w:p w:rsidR="009123E8" w:rsidRDefault="009123E8">
      <w:pPr>
        <w:spacing w:after="0"/>
        <w:ind w:firstLine="0"/>
        <w:jc w:val="left"/>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br w:type="page"/>
      </w:r>
    </w:p>
    <w:p w:rsidR="00171A80" w:rsidRPr="00171A80" w:rsidRDefault="009123E8" w:rsidP="00171A80">
      <w:pPr>
        <w:spacing w:before="120"/>
        <w:ind w:firstLine="0"/>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lastRenderedPageBreak/>
        <w:t>Табела 16</w:t>
      </w:r>
      <w:r w:rsidR="00171A80" w:rsidRPr="00171A80">
        <w:rPr>
          <w:rFonts w:asciiTheme="majorHAnsi" w:hAnsiTheme="majorHAnsi"/>
          <w:b/>
          <w:bCs w:val="0"/>
          <w:color w:val="7F7F7F" w:themeColor="text1" w:themeTint="80"/>
          <w:sz w:val="21"/>
          <w:szCs w:val="21"/>
          <w:lang w:val="sr-Cyrl-RS"/>
        </w:rPr>
        <w:t>. Директне и индиректне обавезе у периоду крај 2011 - 31. октобар 2014. године</w:t>
      </w:r>
    </w:p>
    <w:tbl>
      <w:tblPr>
        <w:tblW w:w="5084" w:type="pct"/>
        <w:jc w:val="center"/>
        <w:tblLook w:val="04A0" w:firstRow="1" w:lastRow="0" w:firstColumn="1" w:lastColumn="0" w:noHBand="0" w:noVBand="1"/>
      </w:tblPr>
      <w:tblGrid>
        <w:gridCol w:w="5806"/>
        <w:gridCol w:w="884"/>
        <w:gridCol w:w="884"/>
        <w:gridCol w:w="884"/>
        <w:gridCol w:w="939"/>
      </w:tblGrid>
      <w:tr w:rsidR="00171A80" w:rsidRPr="00171A80" w:rsidTr="00171A80">
        <w:trPr>
          <w:trHeight w:val="229"/>
          <w:jc w:val="center"/>
        </w:trPr>
        <w:tc>
          <w:tcPr>
            <w:tcW w:w="5806"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 </w:t>
            </w:r>
          </w:p>
        </w:tc>
        <w:tc>
          <w:tcPr>
            <w:tcW w:w="884"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2011</w:t>
            </w:r>
          </w:p>
        </w:tc>
        <w:tc>
          <w:tcPr>
            <w:tcW w:w="884"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2012</w:t>
            </w:r>
          </w:p>
        </w:tc>
        <w:tc>
          <w:tcPr>
            <w:tcW w:w="884"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2013</w:t>
            </w:r>
          </w:p>
        </w:tc>
        <w:tc>
          <w:tcPr>
            <w:tcW w:w="939"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2014/X</w:t>
            </w:r>
          </w:p>
        </w:tc>
      </w:tr>
      <w:tr w:rsidR="00171A80" w:rsidRPr="00171A80" w:rsidTr="00171A80">
        <w:trPr>
          <w:trHeight w:val="229"/>
          <w:jc w:val="center"/>
        </w:trPr>
        <w:tc>
          <w:tcPr>
            <w:tcW w:w="5806" w:type="dxa"/>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 </w:t>
            </w:r>
          </w:p>
        </w:tc>
        <w:tc>
          <w:tcPr>
            <w:tcW w:w="3591" w:type="dxa"/>
            <w:gridSpan w:val="4"/>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 млрд динара</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Јавни дуг</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1.614,2</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2.081,3</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2.369,0</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2.700,4</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Директне обавезе, од којих:</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1.326,8</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1.719,1</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1.983,2</w:t>
            </w:r>
          </w:p>
        </w:tc>
        <w:tc>
          <w:tcPr>
            <w:tcW w:w="93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2.341,9</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569,4</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738,7</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808,7</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961,2</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757,4</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980,4</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1.174,5</w:t>
            </w:r>
          </w:p>
        </w:tc>
        <w:tc>
          <w:tcPr>
            <w:tcW w:w="93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1.380,7</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Индиректне обавезе, од којих:</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220,7</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295,7</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325,8</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303,0</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56,0</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82,2</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98,3</w:t>
            </w:r>
          </w:p>
        </w:tc>
        <w:tc>
          <w:tcPr>
            <w:tcW w:w="93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82,1</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164,7</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213,5</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227,5</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220,9</w:t>
            </w:r>
          </w:p>
        </w:tc>
      </w:tr>
      <w:tr w:rsidR="00171A80" w:rsidRPr="00171A80" w:rsidTr="00171A80">
        <w:trPr>
          <w:trHeight w:val="229"/>
          <w:jc w:val="center"/>
        </w:trPr>
        <w:tc>
          <w:tcPr>
            <w:tcW w:w="5806"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 xml:space="preserve">Обавезе јединица локалне власти </w:t>
            </w:r>
          </w:p>
        </w:tc>
        <w:tc>
          <w:tcPr>
            <w:tcW w:w="884" w:type="dxa"/>
            <w:vMerge w:val="restart"/>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53,4</w:t>
            </w:r>
          </w:p>
        </w:tc>
        <w:tc>
          <w:tcPr>
            <w:tcW w:w="884" w:type="dxa"/>
            <w:vMerge w:val="restart"/>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54,2</w:t>
            </w:r>
          </w:p>
        </w:tc>
        <w:tc>
          <w:tcPr>
            <w:tcW w:w="884" w:type="dxa"/>
            <w:vMerge w:val="restart"/>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54,4</w:t>
            </w:r>
          </w:p>
        </w:tc>
        <w:tc>
          <w:tcPr>
            <w:tcW w:w="939" w:type="dxa"/>
            <w:vMerge w:val="restart"/>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53,2</w:t>
            </w:r>
          </w:p>
        </w:tc>
      </w:tr>
      <w:tr w:rsidR="00171A80" w:rsidRPr="00171A80" w:rsidTr="00171A80">
        <w:trPr>
          <w:trHeight w:val="229"/>
          <w:jc w:val="center"/>
        </w:trPr>
        <w:tc>
          <w:tcPr>
            <w:tcW w:w="5806"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(за које није издата државна гаранција)</w:t>
            </w:r>
          </w:p>
        </w:tc>
        <w:tc>
          <w:tcPr>
            <w:tcW w:w="884" w:type="dxa"/>
            <w:vMerge/>
            <w:tcBorders>
              <w:top w:val="nil"/>
              <w:left w:val="nil"/>
              <w:bottom w:val="nil"/>
              <w:right w:val="nil"/>
            </w:tcBorders>
            <w:shd w:val="clear" w:color="auto" w:fill="D6E3BC" w:themeFill="accent3" w:themeFillTint="66"/>
            <w:vAlign w:val="center"/>
            <w:hideMark/>
          </w:tcPr>
          <w:p w:rsidR="00171A80" w:rsidRPr="00171A80" w:rsidRDefault="00171A80" w:rsidP="00171A80">
            <w:pPr>
              <w:spacing w:after="0"/>
              <w:ind w:firstLine="0"/>
              <w:jc w:val="left"/>
              <w:rPr>
                <w:rFonts w:asciiTheme="majorHAnsi" w:hAnsiTheme="majorHAnsi" w:cs="Calibri"/>
                <w:bCs w:val="0"/>
                <w:i/>
                <w:iCs/>
                <w:color w:val="7F7F7F"/>
                <w:sz w:val="20"/>
                <w:szCs w:val="20"/>
                <w:lang w:val="sr-Cyrl-RS" w:eastAsia="sr-Latn-RS"/>
              </w:rPr>
            </w:pPr>
          </w:p>
        </w:tc>
        <w:tc>
          <w:tcPr>
            <w:tcW w:w="884" w:type="dxa"/>
            <w:vMerge/>
            <w:tcBorders>
              <w:top w:val="nil"/>
              <w:left w:val="nil"/>
              <w:bottom w:val="nil"/>
              <w:right w:val="nil"/>
            </w:tcBorders>
            <w:vAlign w:val="center"/>
            <w:hideMark/>
          </w:tcPr>
          <w:p w:rsidR="00171A80" w:rsidRPr="00171A80" w:rsidRDefault="00171A80" w:rsidP="00171A80">
            <w:pPr>
              <w:spacing w:after="0"/>
              <w:ind w:firstLine="0"/>
              <w:jc w:val="left"/>
              <w:rPr>
                <w:rFonts w:asciiTheme="majorHAnsi" w:hAnsiTheme="majorHAnsi" w:cs="Calibri"/>
                <w:bCs w:val="0"/>
                <w:i/>
                <w:iCs/>
                <w:color w:val="7F7F7F"/>
                <w:sz w:val="20"/>
                <w:szCs w:val="20"/>
                <w:lang w:val="sr-Cyrl-RS" w:eastAsia="sr-Latn-RS"/>
              </w:rPr>
            </w:pPr>
          </w:p>
        </w:tc>
        <w:tc>
          <w:tcPr>
            <w:tcW w:w="884" w:type="dxa"/>
            <w:vMerge/>
            <w:tcBorders>
              <w:top w:val="nil"/>
              <w:left w:val="nil"/>
              <w:bottom w:val="nil"/>
              <w:right w:val="nil"/>
            </w:tcBorders>
            <w:vAlign w:val="center"/>
            <w:hideMark/>
          </w:tcPr>
          <w:p w:rsidR="00171A80" w:rsidRPr="00171A80" w:rsidRDefault="00171A80" w:rsidP="00171A80">
            <w:pPr>
              <w:spacing w:after="0"/>
              <w:ind w:firstLine="0"/>
              <w:jc w:val="left"/>
              <w:rPr>
                <w:rFonts w:asciiTheme="majorHAnsi" w:hAnsiTheme="majorHAnsi" w:cs="Calibri"/>
                <w:bCs w:val="0"/>
                <w:i/>
                <w:iCs/>
                <w:color w:val="7F7F7F"/>
                <w:sz w:val="20"/>
                <w:szCs w:val="20"/>
                <w:lang w:val="sr-Cyrl-RS" w:eastAsia="sr-Latn-RS"/>
              </w:rPr>
            </w:pPr>
          </w:p>
        </w:tc>
        <w:tc>
          <w:tcPr>
            <w:tcW w:w="939" w:type="dxa"/>
            <w:vMerge/>
            <w:tcBorders>
              <w:top w:val="nil"/>
              <w:left w:val="nil"/>
              <w:bottom w:val="nil"/>
              <w:right w:val="nil"/>
            </w:tcBorders>
            <w:vAlign w:val="center"/>
            <w:hideMark/>
          </w:tcPr>
          <w:p w:rsidR="00171A80" w:rsidRPr="00171A80" w:rsidRDefault="00171A80" w:rsidP="00171A80">
            <w:pPr>
              <w:spacing w:after="0"/>
              <w:ind w:firstLine="0"/>
              <w:jc w:val="left"/>
              <w:rPr>
                <w:rFonts w:asciiTheme="majorHAnsi" w:hAnsiTheme="majorHAnsi" w:cs="Calibri"/>
                <w:bCs w:val="0"/>
                <w:i/>
                <w:iCs/>
                <w:color w:val="7F7F7F"/>
                <w:sz w:val="20"/>
                <w:szCs w:val="20"/>
                <w:lang w:val="sr-Cyrl-RS" w:eastAsia="sr-Latn-RS"/>
              </w:rPr>
            </w:pP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31,0</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37,2</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38,6</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38,5</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22,4</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17,0</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15,8</w:t>
            </w:r>
          </w:p>
        </w:tc>
        <w:tc>
          <w:tcPr>
            <w:tcW w:w="93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14,7</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A9763F">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 xml:space="preserve">Обавезе Фонда за развој и ЈП </w:t>
            </w:r>
            <w:r w:rsidR="00A9763F">
              <w:rPr>
                <w:rFonts w:asciiTheme="majorHAnsi" w:hAnsiTheme="majorHAnsi" w:cs="Calibri"/>
                <w:bCs w:val="0"/>
                <w:color w:val="7F7F7F"/>
                <w:sz w:val="20"/>
                <w:szCs w:val="20"/>
                <w:lang w:val="sr-Cyrl-RS" w:eastAsia="sr-Latn-RS"/>
              </w:rPr>
              <w:t>П</w:t>
            </w:r>
            <w:r w:rsidRPr="00171A80">
              <w:rPr>
                <w:rFonts w:asciiTheme="majorHAnsi" w:hAnsiTheme="majorHAnsi" w:cs="Calibri"/>
                <w:bCs w:val="0"/>
                <w:color w:val="7F7F7F"/>
                <w:sz w:val="20"/>
                <w:szCs w:val="20"/>
                <w:lang w:val="sr-Cyrl-RS" w:eastAsia="sr-Latn-RS"/>
              </w:rPr>
              <w:t>утеви Србије (негарантоване)</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13,3</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12,3</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5,6</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i/>
                <w:iCs/>
                <w:color w:val="7F7F7F"/>
                <w:sz w:val="20"/>
                <w:szCs w:val="20"/>
                <w:lang w:val="sr-Cyrl-RS" w:eastAsia="sr-Latn-RS"/>
              </w:rPr>
            </w:pPr>
            <w:r w:rsidRPr="00171A80">
              <w:rPr>
                <w:rFonts w:asciiTheme="majorHAnsi" w:hAnsiTheme="majorHAnsi" w:cs="Calibri"/>
                <w:bCs w:val="0"/>
                <w:i/>
                <w:iCs/>
                <w:color w:val="7F7F7F"/>
                <w:sz w:val="20"/>
                <w:szCs w:val="20"/>
                <w:lang w:val="sr-Cyrl-RS" w:eastAsia="sr-Latn-RS"/>
              </w:rPr>
              <w:t>2,3</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6,5</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4,9</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2,8</w:t>
            </w:r>
          </w:p>
        </w:tc>
        <w:tc>
          <w:tcPr>
            <w:tcW w:w="93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2,3</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6,8</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7,4</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2,8</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0,0</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hideMark/>
          </w:tcPr>
          <w:p w:rsidR="00171A80" w:rsidRPr="00171A80" w:rsidRDefault="00171A80" w:rsidP="00171A80">
            <w:pPr>
              <w:spacing w:after="0"/>
              <w:ind w:firstLine="0"/>
              <w:jc w:val="left"/>
              <w:rPr>
                <w:rFonts w:asciiTheme="majorHAnsi" w:hAnsiTheme="majorHAnsi" w:cs="Calibri"/>
                <w:bCs w:val="0"/>
                <w:color w:val="000000"/>
                <w:sz w:val="20"/>
                <w:szCs w:val="20"/>
                <w:lang w:val="sr-Cyrl-RS" w:eastAsia="sr-Latn-RS"/>
              </w:rPr>
            </w:pPr>
            <w:r w:rsidRPr="00171A80">
              <w:rPr>
                <w:rFonts w:asciiTheme="majorHAnsi" w:hAnsiTheme="majorHAnsi" w:cs="Calibri"/>
                <w:bCs w:val="0"/>
                <w:color w:val="000000"/>
                <w:sz w:val="20"/>
                <w:szCs w:val="20"/>
                <w:lang w:val="sr-Cyrl-RS" w:eastAsia="sr-Latn-RS"/>
              </w:rPr>
              <w:t> </w:t>
            </w:r>
          </w:p>
        </w:tc>
        <w:tc>
          <w:tcPr>
            <w:tcW w:w="3591" w:type="dxa"/>
            <w:gridSpan w:val="4"/>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 % БДП</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Јавни дуг</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47,4</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58,1</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61,1</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69,5</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Директне обавезе, од којих:</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38,9</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48,0</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51,2</w:t>
            </w:r>
          </w:p>
        </w:tc>
        <w:tc>
          <w:tcPr>
            <w:tcW w:w="93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60,3</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16,7</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20,6</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20,9</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24,8</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22,2</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27,4</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30,3</w:t>
            </w:r>
          </w:p>
        </w:tc>
        <w:tc>
          <w:tcPr>
            <w:tcW w:w="93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35,5</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Индиректне обавезе, од којих:</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6,5</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8,2</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8,4</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7,8</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1,6</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2,3</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2,5</w:t>
            </w:r>
          </w:p>
        </w:tc>
        <w:tc>
          <w:tcPr>
            <w:tcW w:w="93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2,1</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4,9</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5,9</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5,9</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5,7</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Обавезе јединица локалне власти</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1,6</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1,5</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1,4</w:t>
            </w:r>
          </w:p>
        </w:tc>
        <w:tc>
          <w:tcPr>
            <w:tcW w:w="93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1,4</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w:t>
            </w:r>
          </w:p>
        </w:tc>
      </w:tr>
      <w:tr w:rsidR="00171A80" w:rsidRPr="00171A80" w:rsidTr="00171A80">
        <w:trPr>
          <w:trHeight w:val="229"/>
          <w:jc w:val="center"/>
        </w:trPr>
        <w:tc>
          <w:tcPr>
            <w:tcW w:w="5806"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0,6</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0,5</w:t>
            </w:r>
          </w:p>
        </w:tc>
        <w:tc>
          <w:tcPr>
            <w:tcW w:w="88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0,4</w:t>
            </w:r>
          </w:p>
        </w:tc>
        <w:tc>
          <w:tcPr>
            <w:tcW w:w="93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0,4</w:t>
            </w:r>
          </w:p>
        </w:tc>
      </w:tr>
      <w:tr w:rsidR="00171A80" w:rsidRPr="00171A80" w:rsidTr="00171A80">
        <w:trPr>
          <w:trHeight w:val="229"/>
          <w:jc w:val="center"/>
        </w:trPr>
        <w:tc>
          <w:tcPr>
            <w:tcW w:w="5806" w:type="dxa"/>
            <w:tcBorders>
              <w:top w:val="nil"/>
              <w:left w:val="nil"/>
              <w:right w:val="nil"/>
            </w:tcBorders>
            <w:shd w:val="clear" w:color="auto" w:fill="auto"/>
            <w:noWrap/>
            <w:vAlign w:val="center"/>
            <w:hideMark/>
          </w:tcPr>
          <w:p w:rsidR="00171A80" w:rsidRPr="00171A80" w:rsidRDefault="00171A80" w:rsidP="00A9763F">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 xml:space="preserve">Обавезе Фонда за развој и ЈП </w:t>
            </w:r>
            <w:r w:rsidR="00A9763F">
              <w:rPr>
                <w:rFonts w:asciiTheme="majorHAnsi" w:hAnsiTheme="majorHAnsi" w:cs="Calibri"/>
                <w:bCs w:val="0"/>
                <w:color w:val="7F7F7F"/>
                <w:sz w:val="20"/>
                <w:szCs w:val="20"/>
                <w:lang w:val="sr-Cyrl-RS" w:eastAsia="sr-Latn-RS"/>
              </w:rPr>
              <w:t>П</w:t>
            </w:r>
            <w:r w:rsidRPr="00171A80">
              <w:rPr>
                <w:rFonts w:asciiTheme="majorHAnsi" w:hAnsiTheme="majorHAnsi" w:cs="Calibri"/>
                <w:bCs w:val="0"/>
                <w:color w:val="7F7F7F"/>
                <w:sz w:val="20"/>
                <w:szCs w:val="20"/>
                <w:lang w:val="sr-Cyrl-RS" w:eastAsia="sr-Latn-RS"/>
              </w:rPr>
              <w:t>утеви Србије (негарантоване)</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0,4</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0,3</w:t>
            </w:r>
          </w:p>
        </w:tc>
        <w:tc>
          <w:tcPr>
            <w:tcW w:w="88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0,1</w:t>
            </w:r>
          </w:p>
        </w:tc>
        <w:tc>
          <w:tcPr>
            <w:tcW w:w="93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0,1</w:t>
            </w:r>
          </w:p>
        </w:tc>
      </w:tr>
      <w:tr w:rsidR="00171A80" w:rsidRPr="00171A80" w:rsidTr="00171A80">
        <w:trPr>
          <w:trHeight w:val="229"/>
          <w:jc w:val="center"/>
        </w:trPr>
        <w:tc>
          <w:tcPr>
            <w:tcW w:w="5806"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88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0,2</w:t>
            </w:r>
          </w:p>
        </w:tc>
        <w:tc>
          <w:tcPr>
            <w:tcW w:w="88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0,1</w:t>
            </w:r>
          </w:p>
        </w:tc>
        <w:tc>
          <w:tcPr>
            <w:tcW w:w="88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0,05</w:t>
            </w:r>
          </w:p>
        </w:tc>
        <w:tc>
          <w:tcPr>
            <w:tcW w:w="939"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0,1</w:t>
            </w:r>
          </w:p>
        </w:tc>
      </w:tr>
      <w:tr w:rsidR="00171A80" w:rsidRPr="00171A80" w:rsidTr="00171A80">
        <w:trPr>
          <w:trHeight w:val="229"/>
          <w:jc w:val="center"/>
        </w:trPr>
        <w:tc>
          <w:tcPr>
            <w:tcW w:w="5806" w:type="dxa"/>
            <w:tcBorders>
              <w:top w:val="nil"/>
              <w:left w:val="nil"/>
              <w:bottom w:val="single" w:sz="8" w:space="0" w:color="76923C" w:themeColor="accent3" w:themeShade="BF"/>
              <w:right w:val="nil"/>
            </w:tcBorders>
            <w:shd w:val="clear" w:color="000000" w:fill="FFFFFF"/>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Спољни јавни дуг</w:t>
            </w:r>
          </w:p>
        </w:tc>
        <w:tc>
          <w:tcPr>
            <w:tcW w:w="884"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0,2</w:t>
            </w:r>
          </w:p>
        </w:tc>
        <w:tc>
          <w:tcPr>
            <w:tcW w:w="884"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0,2</w:t>
            </w:r>
          </w:p>
        </w:tc>
        <w:tc>
          <w:tcPr>
            <w:tcW w:w="884"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0,05</w:t>
            </w:r>
          </w:p>
        </w:tc>
        <w:tc>
          <w:tcPr>
            <w:tcW w:w="939"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0,0</w:t>
            </w:r>
          </w:p>
        </w:tc>
      </w:tr>
    </w:tbl>
    <w:p w:rsidR="00171A80" w:rsidRPr="00171A80" w:rsidRDefault="00171A80" w:rsidP="00171A80">
      <w:pPr>
        <w:spacing w:before="240"/>
        <w:ind w:firstLine="0"/>
        <w:rPr>
          <w:rFonts w:asciiTheme="majorHAnsi" w:eastAsia="Calibri" w:hAnsiTheme="majorHAnsi" w:cs="Times New Roman"/>
          <w:b/>
          <w:bCs w:val="0"/>
          <w:i/>
          <w:color w:val="51671F"/>
          <w:szCs w:val="22"/>
          <w:lang w:val="sr-Cyrl-RS" w:eastAsia="ko-KR"/>
        </w:rPr>
      </w:pPr>
      <w:r w:rsidRPr="00171A80">
        <w:rPr>
          <w:rFonts w:asciiTheme="majorHAnsi" w:eastAsia="Calibri" w:hAnsiTheme="majorHAnsi" w:cs="Times New Roman"/>
          <w:b/>
          <w:bCs w:val="0"/>
          <w:i/>
          <w:color w:val="51671F"/>
          <w:szCs w:val="22"/>
          <w:lang w:val="sr-Cyrl-RS" w:eastAsia="ko-KR"/>
        </w:rPr>
        <w:t>Унутрашњи јавни дуг</w:t>
      </w:r>
    </w:p>
    <w:p w:rsidR="00171A80" w:rsidRPr="00171A80" w:rsidRDefault="00BE6C21" w:rsidP="007F52AE">
      <w:pPr>
        <w:rPr>
          <w:rFonts w:asciiTheme="majorHAnsi" w:hAnsiTheme="majorHAnsi"/>
          <w:bCs w:val="0"/>
          <w:color w:val="7F7F7F" w:themeColor="text1" w:themeTint="80"/>
          <w:sz w:val="21"/>
          <w:szCs w:val="21"/>
          <w:lang w:val="sr-Cyrl-RS"/>
        </w:rPr>
      </w:pPr>
      <w:r w:rsidRPr="00BE6C21">
        <w:rPr>
          <w:rFonts w:asciiTheme="majorHAnsi" w:hAnsiTheme="majorHAnsi"/>
          <w:bCs w:val="0"/>
          <w:color w:val="7F7F7F" w:themeColor="text1" w:themeTint="80"/>
          <w:sz w:val="21"/>
          <w:szCs w:val="21"/>
          <w:lang w:val="sr-Cyrl-RS"/>
        </w:rPr>
        <w:t>Према Закону о јавном дугу, унутрашњи јавни дуг обухвата директне и индиректне обавезе, које према домаћим инвеститорима и зајмодавцима има Република Србија. На дан 31. октобар 2014. године унутрашњи јавни дуг износио је 961,2 млрд динара директних обавеза и 82,1 млрд динара индиректних обавеза. Укупан унутрашњи јавни дуг Републике Србије, који укључује негарантоване обавезе јединица локалне власти (38,5 млрд динара), и негарантовани дуг Фонда за развој и ЈП „Путеви Србије” (2,3 млрд динара), износио је 1.084,1 млрд динара. Наредна табела приказује структуру унутрашњег јавног дуга Републике Србије на дан 31. децембар по годинама од краја 2011. године до 2013. године и на дан 31. октобар 2014. године</w:t>
      </w:r>
      <w:r w:rsidR="00171A80" w:rsidRPr="00171A80">
        <w:rPr>
          <w:rFonts w:asciiTheme="majorHAnsi" w:hAnsiTheme="majorHAnsi"/>
          <w:bCs w:val="0"/>
          <w:color w:val="7F7F7F" w:themeColor="text1" w:themeTint="80"/>
          <w:sz w:val="21"/>
          <w:szCs w:val="21"/>
          <w:lang w:val="sr-Cyrl-RS"/>
        </w:rPr>
        <w:t>:</w:t>
      </w:r>
    </w:p>
    <w:p w:rsidR="00171A80" w:rsidRPr="00171A80" w:rsidRDefault="009123E8" w:rsidP="007F52AE">
      <w:pPr>
        <w:ind w:firstLine="0"/>
        <w:jc w:val="left"/>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t>Табела 17</w:t>
      </w:r>
      <w:r w:rsidR="00171A80" w:rsidRPr="00171A80">
        <w:rPr>
          <w:rFonts w:asciiTheme="majorHAnsi" w:hAnsiTheme="majorHAnsi"/>
          <w:b/>
          <w:bCs w:val="0"/>
          <w:color w:val="7F7F7F" w:themeColor="text1" w:themeTint="80"/>
          <w:sz w:val="21"/>
          <w:szCs w:val="21"/>
          <w:lang w:val="sr-Cyrl-RS"/>
        </w:rPr>
        <w:t>. Структура унутрашњег јавног дуга у периоду крај 2011 – 31. октобар 2014. године</w:t>
      </w:r>
    </w:p>
    <w:tbl>
      <w:tblPr>
        <w:tblW w:w="5000" w:type="pct"/>
        <w:jc w:val="center"/>
        <w:tblLook w:val="04A0" w:firstRow="1" w:lastRow="0" w:firstColumn="1" w:lastColumn="0" w:noHBand="0" w:noVBand="1"/>
      </w:tblPr>
      <w:tblGrid>
        <w:gridCol w:w="5496"/>
        <w:gridCol w:w="812"/>
        <w:gridCol w:w="850"/>
        <w:gridCol w:w="918"/>
        <w:gridCol w:w="950"/>
      </w:tblGrid>
      <w:tr w:rsidR="00171A80" w:rsidRPr="00171A80" w:rsidTr="00BE6C21">
        <w:trPr>
          <w:trHeight w:val="221"/>
          <w:jc w:val="center"/>
        </w:trPr>
        <w:tc>
          <w:tcPr>
            <w:tcW w:w="5497"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
                <w:bCs w:val="0"/>
                <w:color w:val="7F7F7F"/>
                <w:sz w:val="21"/>
                <w:szCs w:val="21"/>
                <w:lang w:val="sr-Cyrl-RS" w:eastAsia="sr-Latn-RS"/>
              </w:rPr>
            </w:pPr>
            <w:r w:rsidRPr="00171A80">
              <w:rPr>
                <w:rFonts w:asciiTheme="majorHAnsi" w:hAnsiTheme="majorHAnsi" w:cs="Calibri"/>
                <w:b/>
                <w:bCs w:val="0"/>
                <w:color w:val="7F7F7F"/>
                <w:sz w:val="21"/>
                <w:szCs w:val="21"/>
                <w:lang w:val="sr-Cyrl-RS" w:eastAsia="sr-Latn-RS"/>
              </w:rPr>
              <w:t> </w:t>
            </w:r>
          </w:p>
        </w:tc>
        <w:tc>
          <w:tcPr>
            <w:tcW w:w="812"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eastAsia="sr-Latn-RS"/>
              </w:rPr>
            </w:pPr>
            <w:r w:rsidRPr="00171A80">
              <w:rPr>
                <w:rFonts w:asciiTheme="majorHAnsi" w:hAnsiTheme="majorHAnsi" w:cs="Calibri"/>
                <w:b/>
                <w:bCs w:val="0"/>
                <w:color w:val="7F7F7F"/>
                <w:sz w:val="21"/>
                <w:szCs w:val="21"/>
                <w:lang w:val="sr-Cyrl-RS" w:eastAsia="sr-Latn-RS"/>
              </w:rPr>
              <w:t>2011</w:t>
            </w:r>
          </w:p>
        </w:tc>
        <w:tc>
          <w:tcPr>
            <w:tcW w:w="850"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eastAsia="sr-Latn-RS"/>
              </w:rPr>
            </w:pPr>
            <w:r w:rsidRPr="00171A80">
              <w:rPr>
                <w:rFonts w:asciiTheme="majorHAnsi" w:hAnsiTheme="majorHAnsi" w:cs="Calibri"/>
                <w:b/>
                <w:bCs w:val="0"/>
                <w:color w:val="7F7F7F"/>
                <w:sz w:val="21"/>
                <w:szCs w:val="21"/>
                <w:lang w:val="sr-Cyrl-RS" w:eastAsia="sr-Latn-RS"/>
              </w:rPr>
              <w:t>2012</w:t>
            </w:r>
          </w:p>
        </w:tc>
        <w:tc>
          <w:tcPr>
            <w:tcW w:w="918"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eastAsia="sr-Latn-RS"/>
              </w:rPr>
            </w:pPr>
            <w:r w:rsidRPr="00171A80">
              <w:rPr>
                <w:rFonts w:asciiTheme="majorHAnsi" w:hAnsiTheme="majorHAnsi" w:cs="Calibri"/>
                <w:b/>
                <w:bCs w:val="0"/>
                <w:color w:val="7F7F7F"/>
                <w:sz w:val="21"/>
                <w:szCs w:val="21"/>
                <w:lang w:val="sr-Cyrl-RS" w:eastAsia="sr-Latn-RS"/>
              </w:rPr>
              <w:t>2013</w:t>
            </w:r>
          </w:p>
        </w:tc>
        <w:tc>
          <w:tcPr>
            <w:tcW w:w="949"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eastAsia="sr-Latn-RS"/>
              </w:rPr>
            </w:pPr>
            <w:r w:rsidRPr="00171A80">
              <w:rPr>
                <w:rFonts w:asciiTheme="majorHAnsi" w:hAnsiTheme="majorHAnsi" w:cs="Calibri"/>
                <w:b/>
                <w:bCs w:val="0"/>
                <w:color w:val="7F7F7F"/>
                <w:sz w:val="21"/>
                <w:szCs w:val="21"/>
                <w:lang w:val="sr-Cyrl-RS" w:eastAsia="sr-Latn-RS"/>
              </w:rPr>
              <w:t>2014/X</w:t>
            </w:r>
          </w:p>
        </w:tc>
      </w:tr>
      <w:tr w:rsidR="00171A80" w:rsidRPr="00171A80" w:rsidTr="00BE6C21">
        <w:trPr>
          <w:trHeight w:val="221"/>
          <w:jc w:val="center"/>
        </w:trPr>
        <w:tc>
          <w:tcPr>
            <w:tcW w:w="5497" w:type="dxa"/>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 </w:t>
            </w:r>
          </w:p>
        </w:tc>
        <w:tc>
          <w:tcPr>
            <w:tcW w:w="3529" w:type="dxa"/>
            <w:gridSpan w:val="4"/>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 млрд динара</w:t>
            </w:r>
          </w:p>
        </w:tc>
      </w:tr>
      <w:tr w:rsidR="00171A80" w:rsidRPr="00171A80" w:rsidTr="00BE6C21">
        <w:trPr>
          <w:trHeight w:val="221"/>
          <w:jc w:val="center"/>
        </w:trPr>
        <w:tc>
          <w:tcPr>
            <w:tcW w:w="5497"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Унутрашњи јавни дуг</w:t>
            </w:r>
          </w:p>
        </w:tc>
        <w:tc>
          <w:tcPr>
            <w:tcW w:w="812"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662,9</w:t>
            </w:r>
          </w:p>
        </w:tc>
        <w:tc>
          <w:tcPr>
            <w:tcW w:w="850"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863,0</w:t>
            </w:r>
          </w:p>
        </w:tc>
        <w:tc>
          <w:tcPr>
            <w:tcW w:w="918"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948,4</w:t>
            </w:r>
          </w:p>
        </w:tc>
        <w:tc>
          <w:tcPr>
            <w:tcW w:w="94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1.084,1</w:t>
            </w:r>
          </w:p>
        </w:tc>
      </w:tr>
      <w:tr w:rsidR="00171A80" w:rsidRPr="00171A80" w:rsidTr="00BE6C21">
        <w:trPr>
          <w:trHeight w:val="221"/>
          <w:jc w:val="center"/>
        </w:trPr>
        <w:tc>
          <w:tcPr>
            <w:tcW w:w="549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Државне хартије од вредности, од којих:</w:t>
            </w:r>
          </w:p>
        </w:tc>
        <w:tc>
          <w:tcPr>
            <w:tcW w:w="812"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526,2</w:t>
            </w:r>
          </w:p>
        </w:tc>
        <w:tc>
          <w:tcPr>
            <w:tcW w:w="850"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691,3</w:t>
            </w:r>
          </w:p>
        </w:tc>
        <w:tc>
          <w:tcPr>
            <w:tcW w:w="918"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771,7</w:t>
            </w:r>
          </w:p>
        </w:tc>
        <w:tc>
          <w:tcPr>
            <w:tcW w:w="94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932,8</w:t>
            </w:r>
          </w:p>
        </w:tc>
      </w:tr>
      <w:tr w:rsidR="00171A80" w:rsidRPr="00171A80" w:rsidTr="00BE6C21">
        <w:trPr>
          <w:trHeight w:val="221"/>
          <w:jc w:val="center"/>
        </w:trPr>
        <w:tc>
          <w:tcPr>
            <w:tcW w:w="5497" w:type="dxa"/>
            <w:tcBorders>
              <w:top w:val="nil"/>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0"/>
                <w:szCs w:val="20"/>
                <w:lang w:val="sr-Cyrl-RS" w:eastAsia="sr-Latn-RS"/>
              </w:rPr>
            </w:pPr>
            <w:r>
              <w:rPr>
                <w:rFonts w:asciiTheme="majorHAnsi" w:hAnsiTheme="majorHAnsi" w:cs="Calibri"/>
                <w:bCs w:val="0"/>
                <w:color w:val="7F7F7F"/>
                <w:sz w:val="20"/>
                <w:szCs w:val="20"/>
                <w:lang w:val="sr-Cyrl-RS" w:eastAsia="sr-Latn-RS"/>
              </w:rPr>
              <w:t xml:space="preserve"> </w:t>
            </w:r>
            <w:r w:rsidR="00171A80" w:rsidRPr="00171A80">
              <w:rPr>
                <w:rFonts w:asciiTheme="majorHAnsi" w:hAnsiTheme="majorHAnsi" w:cs="Calibri"/>
                <w:bCs w:val="0"/>
                <w:i/>
                <w:color w:val="7F7F7F"/>
                <w:sz w:val="20"/>
                <w:szCs w:val="20"/>
                <w:lang w:val="sr-Cyrl-RS" w:eastAsia="sr-Latn-RS"/>
              </w:rPr>
              <w:t>Државни записи и државне обвезнице</w:t>
            </w:r>
          </w:p>
        </w:tc>
        <w:tc>
          <w:tcPr>
            <w:tcW w:w="812"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302</w:t>
            </w:r>
            <w:r w:rsidR="005929BC">
              <w:rPr>
                <w:rFonts w:asciiTheme="majorHAnsi" w:hAnsiTheme="majorHAnsi" w:cs="Calibri"/>
                <w:bCs w:val="0"/>
                <w:color w:val="7F7F7F"/>
                <w:sz w:val="20"/>
                <w:szCs w:val="20"/>
                <w:lang w:val="sr-Cyrl-RS" w:eastAsia="sr-Latn-RS"/>
              </w:rPr>
              <w:t>,0</w:t>
            </w:r>
          </w:p>
        </w:tc>
        <w:tc>
          <w:tcPr>
            <w:tcW w:w="850"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478,1</w:t>
            </w:r>
          </w:p>
        </w:tc>
        <w:tc>
          <w:tcPr>
            <w:tcW w:w="918"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589</w:t>
            </w:r>
            <w:r w:rsidR="005929BC">
              <w:rPr>
                <w:rFonts w:asciiTheme="majorHAnsi" w:hAnsiTheme="majorHAnsi" w:cs="Calibri"/>
                <w:bCs w:val="0"/>
                <w:color w:val="7F7F7F"/>
                <w:sz w:val="20"/>
                <w:szCs w:val="20"/>
                <w:lang w:val="sr-Cyrl-RS" w:eastAsia="sr-Latn-RS"/>
              </w:rPr>
              <w:t>,0</w:t>
            </w:r>
          </w:p>
        </w:tc>
        <w:tc>
          <w:tcPr>
            <w:tcW w:w="94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778,3</w:t>
            </w:r>
          </w:p>
        </w:tc>
      </w:tr>
      <w:tr w:rsidR="00171A80" w:rsidRPr="00171A80" w:rsidTr="00BE6C21">
        <w:trPr>
          <w:trHeight w:val="221"/>
          <w:jc w:val="center"/>
        </w:trPr>
        <w:tc>
          <w:tcPr>
            <w:tcW w:w="5497" w:type="dxa"/>
            <w:tcBorders>
              <w:top w:val="nil"/>
              <w:left w:val="nil"/>
              <w:bottom w:val="nil"/>
              <w:right w:val="nil"/>
            </w:tcBorders>
            <w:shd w:val="clear" w:color="000000" w:fill="EAF1DD" w:themeFill="accent3" w:themeFillTint="33"/>
            <w:noWrap/>
            <w:vAlign w:val="center"/>
            <w:hideMark/>
          </w:tcPr>
          <w:p w:rsidR="00171A80" w:rsidRPr="00171A80" w:rsidRDefault="00BC3631" w:rsidP="00171A80">
            <w:pPr>
              <w:spacing w:after="0"/>
              <w:ind w:firstLine="0"/>
              <w:rPr>
                <w:rFonts w:asciiTheme="majorHAnsi" w:hAnsiTheme="majorHAnsi" w:cs="Calibri"/>
                <w:bCs w:val="0"/>
                <w:i/>
                <w:color w:val="7F7F7F"/>
                <w:sz w:val="20"/>
                <w:szCs w:val="20"/>
                <w:lang w:val="sr-Cyrl-RS" w:eastAsia="sr-Latn-RS"/>
              </w:rPr>
            </w:pPr>
            <w:r>
              <w:rPr>
                <w:rFonts w:asciiTheme="majorHAnsi" w:hAnsiTheme="majorHAnsi" w:cs="Calibri"/>
                <w:bCs w:val="0"/>
                <w:color w:val="7F7F7F"/>
                <w:sz w:val="20"/>
                <w:szCs w:val="20"/>
                <w:lang w:val="sr-Cyrl-RS" w:eastAsia="sr-Latn-RS"/>
              </w:rPr>
              <w:t xml:space="preserve"> </w:t>
            </w:r>
            <w:r w:rsidR="00171A80" w:rsidRPr="00171A80">
              <w:rPr>
                <w:rFonts w:asciiTheme="majorHAnsi" w:hAnsiTheme="majorHAnsi" w:cs="Calibri"/>
                <w:bCs w:val="0"/>
                <w:i/>
                <w:color w:val="7F7F7F"/>
                <w:sz w:val="20"/>
                <w:szCs w:val="20"/>
                <w:lang w:val="sr-Cyrl-RS" w:eastAsia="sr-Latn-RS"/>
              </w:rPr>
              <w:t>Обвезнице старе девизне штедње</w:t>
            </w:r>
          </w:p>
        </w:tc>
        <w:tc>
          <w:tcPr>
            <w:tcW w:w="812"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223,4</w:t>
            </w:r>
          </w:p>
        </w:tc>
        <w:tc>
          <w:tcPr>
            <w:tcW w:w="850"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212,3</w:t>
            </w:r>
          </w:p>
        </w:tc>
        <w:tc>
          <w:tcPr>
            <w:tcW w:w="918"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181,8</w:t>
            </w:r>
          </w:p>
        </w:tc>
        <w:tc>
          <w:tcPr>
            <w:tcW w:w="94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153,6</w:t>
            </w:r>
          </w:p>
        </w:tc>
      </w:tr>
      <w:tr w:rsidR="00171A80" w:rsidRPr="00171A80" w:rsidTr="00BE6C21">
        <w:trPr>
          <w:trHeight w:val="221"/>
          <w:jc w:val="center"/>
        </w:trPr>
        <w:tc>
          <w:tcPr>
            <w:tcW w:w="5497" w:type="dxa"/>
            <w:tcBorders>
              <w:top w:val="nil"/>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0"/>
                <w:szCs w:val="20"/>
                <w:lang w:val="sr-Cyrl-RS" w:eastAsia="sr-Latn-RS"/>
              </w:rPr>
            </w:pPr>
            <w:r>
              <w:rPr>
                <w:rFonts w:asciiTheme="majorHAnsi" w:hAnsiTheme="majorHAnsi" w:cs="Calibri"/>
                <w:bCs w:val="0"/>
                <w:color w:val="7F7F7F"/>
                <w:sz w:val="20"/>
                <w:szCs w:val="20"/>
                <w:lang w:val="sr-Cyrl-RS" w:eastAsia="sr-Latn-RS"/>
              </w:rPr>
              <w:t xml:space="preserve"> </w:t>
            </w:r>
            <w:r w:rsidR="00171A80" w:rsidRPr="00171A80">
              <w:rPr>
                <w:rFonts w:asciiTheme="majorHAnsi" w:hAnsiTheme="majorHAnsi" w:cs="Calibri"/>
                <w:bCs w:val="0"/>
                <w:i/>
                <w:color w:val="7F7F7F"/>
                <w:sz w:val="20"/>
                <w:szCs w:val="20"/>
                <w:lang w:val="sr-Cyrl-RS" w:eastAsia="sr-Latn-RS"/>
              </w:rPr>
              <w:t>Зајам за привредни препород</w:t>
            </w:r>
          </w:p>
        </w:tc>
        <w:tc>
          <w:tcPr>
            <w:tcW w:w="812"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0,8</w:t>
            </w:r>
          </w:p>
        </w:tc>
        <w:tc>
          <w:tcPr>
            <w:tcW w:w="850"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0,9</w:t>
            </w:r>
          </w:p>
        </w:tc>
        <w:tc>
          <w:tcPr>
            <w:tcW w:w="918"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0,9</w:t>
            </w:r>
          </w:p>
        </w:tc>
        <w:tc>
          <w:tcPr>
            <w:tcW w:w="94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0,9</w:t>
            </w:r>
          </w:p>
        </w:tc>
      </w:tr>
      <w:tr w:rsidR="00171A80" w:rsidRPr="00171A80" w:rsidTr="00BE6C21">
        <w:trPr>
          <w:trHeight w:val="221"/>
          <w:jc w:val="center"/>
        </w:trPr>
        <w:tc>
          <w:tcPr>
            <w:tcW w:w="549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 xml:space="preserve">Остало </w:t>
            </w:r>
          </w:p>
        </w:tc>
        <w:tc>
          <w:tcPr>
            <w:tcW w:w="812"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99,2</w:t>
            </w:r>
          </w:p>
        </w:tc>
        <w:tc>
          <w:tcPr>
            <w:tcW w:w="850"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129,6</w:t>
            </w:r>
          </w:p>
        </w:tc>
        <w:tc>
          <w:tcPr>
            <w:tcW w:w="918"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135,3</w:t>
            </w:r>
          </w:p>
        </w:tc>
        <w:tc>
          <w:tcPr>
            <w:tcW w:w="949"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110,5</w:t>
            </w:r>
          </w:p>
        </w:tc>
      </w:tr>
      <w:tr w:rsidR="00171A80" w:rsidRPr="00171A80" w:rsidTr="00BE6C21">
        <w:trPr>
          <w:trHeight w:val="221"/>
          <w:jc w:val="center"/>
        </w:trPr>
        <w:tc>
          <w:tcPr>
            <w:tcW w:w="5497" w:type="dxa"/>
            <w:tcBorders>
              <w:top w:val="nil"/>
              <w:left w:val="nil"/>
              <w:right w:val="nil"/>
            </w:tcBorders>
            <w:shd w:val="clear" w:color="auto" w:fill="auto"/>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Негарантоване обавезе јединица локалне власти</w:t>
            </w:r>
          </w:p>
        </w:tc>
        <w:tc>
          <w:tcPr>
            <w:tcW w:w="812"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31</w:t>
            </w:r>
            <w:r w:rsidR="005929BC">
              <w:rPr>
                <w:rFonts w:asciiTheme="majorHAnsi" w:hAnsiTheme="majorHAnsi" w:cs="Calibri"/>
                <w:bCs w:val="0"/>
                <w:color w:val="7F7F7F"/>
                <w:sz w:val="20"/>
                <w:szCs w:val="20"/>
                <w:lang w:val="sr-Cyrl-RS" w:eastAsia="sr-Latn-RS"/>
              </w:rPr>
              <w:t>,0</w:t>
            </w:r>
          </w:p>
        </w:tc>
        <w:tc>
          <w:tcPr>
            <w:tcW w:w="850"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37,2</w:t>
            </w:r>
          </w:p>
        </w:tc>
        <w:tc>
          <w:tcPr>
            <w:tcW w:w="918"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38,6</w:t>
            </w:r>
          </w:p>
        </w:tc>
        <w:tc>
          <w:tcPr>
            <w:tcW w:w="949"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38,5</w:t>
            </w:r>
          </w:p>
        </w:tc>
      </w:tr>
      <w:tr w:rsidR="00171A80" w:rsidRPr="00171A80" w:rsidTr="00BE6C21">
        <w:trPr>
          <w:trHeight w:val="69"/>
          <w:jc w:val="center"/>
        </w:trPr>
        <w:tc>
          <w:tcPr>
            <w:tcW w:w="5497"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Негарантоване обавезе Фонда за развој и ЈП Путеви Србије</w:t>
            </w:r>
          </w:p>
        </w:tc>
        <w:tc>
          <w:tcPr>
            <w:tcW w:w="812"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6,5</w:t>
            </w:r>
          </w:p>
        </w:tc>
        <w:tc>
          <w:tcPr>
            <w:tcW w:w="850"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4,9</w:t>
            </w:r>
          </w:p>
        </w:tc>
        <w:tc>
          <w:tcPr>
            <w:tcW w:w="918"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2,8</w:t>
            </w:r>
          </w:p>
        </w:tc>
        <w:tc>
          <w:tcPr>
            <w:tcW w:w="949"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2,3</w:t>
            </w:r>
          </w:p>
        </w:tc>
      </w:tr>
    </w:tbl>
    <w:p w:rsidR="00171A80" w:rsidRPr="00171A80" w:rsidRDefault="00BE6C21" w:rsidP="00BE6C21">
      <w:pPr>
        <w:spacing w:before="120"/>
        <w:rPr>
          <w:rFonts w:asciiTheme="majorHAnsi" w:hAnsiTheme="majorHAnsi"/>
          <w:bCs w:val="0"/>
          <w:color w:val="7F7F7F" w:themeColor="text1" w:themeTint="80"/>
          <w:kern w:val="20"/>
          <w:sz w:val="21"/>
          <w:szCs w:val="21"/>
          <w:lang w:val="sr-Cyrl-RS" w:eastAsia="ko-KR"/>
        </w:rPr>
      </w:pPr>
      <w:r w:rsidRPr="00BE6C21">
        <w:rPr>
          <w:rFonts w:asciiTheme="majorHAnsi" w:hAnsiTheme="majorHAnsi"/>
          <w:bCs w:val="0"/>
          <w:color w:val="7F7F7F" w:themeColor="text1" w:themeTint="80"/>
          <w:kern w:val="20"/>
          <w:sz w:val="21"/>
          <w:szCs w:val="21"/>
          <w:lang w:val="sr-Cyrl-RS" w:eastAsia="ko-KR"/>
        </w:rPr>
        <w:t xml:space="preserve">Влада је први пут емитовала хартије од вредности у 2003. години рочности три и шест месеци. Услед великог прилива по основу приватизационих прихода у периоду 2005 - 2008. </w:t>
      </w:r>
      <w:r w:rsidRPr="00BE6C21">
        <w:rPr>
          <w:rFonts w:asciiTheme="majorHAnsi" w:hAnsiTheme="majorHAnsi"/>
          <w:bCs w:val="0"/>
          <w:color w:val="7F7F7F" w:themeColor="text1" w:themeTint="80"/>
          <w:kern w:val="20"/>
          <w:sz w:val="21"/>
          <w:szCs w:val="21"/>
          <w:lang w:val="sr-Cyrl-RS" w:eastAsia="ko-KR"/>
        </w:rPr>
        <w:lastRenderedPageBreak/>
        <w:t>године и релативно балансираног примарног фискалног резултата, држава у овом периоду није емитовала хартије од вредности, те је стога износ државних хартија од вредности био релативно низак на крају 2008. године. У последњих пет година емитоване су хартије од вредности различите рочности и креирана динарска крива приноса за рочности од три месеца до десет година. Табела 18</w:t>
      </w:r>
      <w:r w:rsidR="00F74EED">
        <w:rPr>
          <w:rFonts w:asciiTheme="majorHAnsi" w:hAnsiTheme="majorHAnsi"/>
          <w:bCs w:val="0"/>
          <w:color w:val="7F7F7F" w:themeColor="text1" w:themeTint="80"/>
          <w:kern w:val="20"/>
          <w:sz w:val="21"/>
          <w:szCs w:val="21"/>
          <w:lang w:val="sr-Cyrl-RS" w:eastAsia="ko-KR"/>
        </w:rPr>
        <w:t>.</w:t>
      </w:r>
      <w:r w:rsidRPr="00BE6C21">
        <w:rPr>
          <w:rFonts w:asciiTheme="majorHAnsi" w:hAnsiTheme="majorHAnsi"/>
          <w:bCs w:val="0"/>
          <w:color w:val="7F7F7F" w:themeColor="text1" w:themeTint="80"/>
          <w:kern w:val="20"/>
          <w:sz w:val="21"/>
          <w:szCs w:val="21"/>
          <w:lang w:val="sr-Cyrl-RS" w:eastAsia="ko-KR"/>
        </w:rPr>
        <w:t xml:space="preserve"> показује стање државних хартија од вредности на крају 2011, 2012. и 2013. године и на дан 31. октобар 2014. године</w:t>
      </w:r>
      <w:r w:rsidR="00171A80" w:rsidRPr="00171A80">
        <w:rPr>
          <w:rFonts w:asciiTheme="majorHAnsi" w:hAnsiTheme="majorHAnsi"/>
          <w:bCs w:val="0"/>
          <w:color w:val="7F7F7F" w:themeColor="text1" w:themeTint="80"/>
          <w:kern w:val="20"/>
          <w:sz w:val="21"/>
          <w:szCs w:val="21"/>
          <w:lang w:val="sr-Cyrl-RS" w:eastAsia="ko-KR"/>
        </w:rPr>
        <w:t>:</w:t>
      </w:r>
    </w:p>
    <w:p w:rsidR="00171A80" w:rsidRPr="00171A80" w:rsidRDefault="009123E8" w:rsidP="00D05B1D">
      <w:pPr>
        <w:ind w:firstLine="0"/>
        <w:jc w:val="left"/>
        <w:rPr>
          <w:rFonts w:asciiTheme="majorHAnsi" w:hAnsiTheme="majorHAnsi"/>
          <w:b/>
          <w:bCs w:val="0"/>
          <w:color w:val="7F7F7F" w:themeColor="text1" w:themeTint="80"/>
          <w:kern w:val="20"/>
          <w:sz w:val="21"/>
          <w:szCs w:val="21"/>
          <w:lang w:val="sr-Cyrl-RS" w:eastAsia="ko-KR"/>
        </w:rPr>
      </w:pPr>
      <w:r>
        <w:rPr>
          <w:rFonts w:asciiTheme="majorHAnsi" w:hAnsiTheme="majorHAnsi"/>
          <w:b/>
          <w:bCs w:val="0"/>
          <w:color w:val="7F7F7F" w:themeColor="text1" w:themeTint="80"/>
          <w:kern w:val="20"/>
          <w:sz w:val="21"/>
          <w:szCs w:val="21"/>
          <w:lang w:val="sr-Cyrl-RS" w:eastAsia="ko-KR"/>
        </w:rPr>
        <w:t>Табела 18</w:t>
      </w:r>
      <w:r w:rsidR="00171A80" w:rsidRPr="00171A80">
        <w:rPr>
          <w:rFonts w:asciiTheme="majorHAnsi" w:hAnsiTheme="majorHAnsi"/>
          <w:b/>
          <w:bCs w:val="0"/>
          <w:color w:val="7F7F7F" w:themeColor="text1" w:themeTint="80"/>
          <w:kern w:val="20"/>
          <w:sz w:val="21"/>
          <w:szCs w:val="21"/>
          <w:lang w:val="sr-Cyrl-RS" w:eastAsia="ko-KR"/>
        </w:rPr>
        <w:t>. Стање дуга по инструментима државних хартија од вредности крај 2011 - 31. октобар 2014. године</w:t>
      </w:r>
    </w:p>
    <w:tbl>
      <w:tblPr>
        <w:tblW w:w="5038" w:type="pct"/>
        <w:jc w:val="center"/>
        <w:tblLook w:val="04A0" w:firstRow="1" w:lastRow="0" w:firstColumn="1" w:lastColumn="0" w:noHBand="0" w:noVBand="1"/>
      </w:tblPr>
      <w:tblGrid>
        <w:gridCol w:w="2872"/>
        <w:gridCol w:w="700"/>
        <w:gridCol w:w="997"/>
        <w:gridCol w:w="700"/>
        <w:gridCol w:w="997"/>
        <w:gridCol w:w="700"/>
        <w:gridCol w:w="997"/>
        <w:gridCol w:w="700"/>
        <w:gridCol w:w="997"/>
      </w:tblGrid>
      <w:tr w:rsidR="00171A80" w:rsidRPr="00171A80" w:rsidTr="00171A80">
        <w:trPr>
          <w:trHeight w:val="3"/>
          <w:jc w:val="center"/>
        </w:trPr>
        <w:tc>
          <w:tcPr>
            <w:tcW w:w="2872" w:type="dxa"/>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1"/>
                <w:szCs w:val="21"/>
                <w:lang w:val="sr-Cyrl-RS"/>
              </w:rPr>
            </w:pPr>
            <w:bookmarkStart w:id="56" w:name="OLE_LINK8"/>
            <w:r w:rsidRPr="00171A80">
              <w:rPr>
                <w:rFonts w:asciiTheme="majorHAnsi" w:hAnsiTheme="majorHAnsi" w:cs="Calibri"/>
                <w:bCs w:val="0"/>
                <w:color w:val="7F7F7F"/>
                <w:sz w:val="21"/>
                <w:szCs w:val="21"/>
                <w:lang w:val="sr-Cyrl-RS"/>
              </w:rPr>
              <w:t> </w:t>
            </w:r>
          </w:p>
        </w:tc>
        <w:tc>
          <w:tcPr>
            <w:tcW w:w="1610" w:type="dxa"/>
            <w:gridSpan w:val="2"/>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rPr>
            </w:pPr>
            <w:r w:rsidRPr="00171A80">
              <w:rPr>
                <w:rFonts w:asciiTheme="majorHAnsi" w:hAnsiTheme="majorHAnsi" w:cs="Calibri"/>
                <w:b/>
                <w:bCs w:val="0"/>
                <w:color w:val="7F7F7F"/>
                <w:sz w:val="21"/>
                <w:szCs w:val="21"/>
                <w:lang w:val="sr-Cyrl-RS"/>
              </w:rPr>
              <w:t>2011</w:t>
            </w:r>
          </w:p>
        </w:tc>
        <w:tc>
          <w:tcPr>
            <w:tcW w:w="1610" w:type="dxa"/>
            <w:gridSpan w:val="2"/>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rPr>
            </w:pPr>
            <w:r w:rsidRPr="00171A80">
              <w:rPr>
                <w:rFonts w:asciiTheme="majorHAnsi" w:hAnsiTheme="majorHAnsi" w:cs="Calibri"/>
                <w:b/>
                <w:bCs w:val="0"/>
                <w:color w:val="7F7F7F"/>
                <w:sz w:val="21"/>
                <w:szCs w:val="21"/>
                <w:lang w:val="sr-Cyrl-RS"/>
              </w:rPr>
              <w:t>2012</w:t>
            </w:r>
          </w:p>
        </w:tc>
        <w:tc>
          <w:tcPr>
            <w:tcW w:w="1610" w:type="dxa"/>
            <w:gridSpan w:val="2"/>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rPr>
            </w:pPr>
            <w:r w:rsidRPr="00171A80">
              <w:rPr>
                <w:rFonts w:asciiTheme="majorHAnsi" w:hAnsiTheme="majorHAnsi" w:cs="Calibri"/>
                <w:b/>
                <w:bCs w:val="0"/>
                <w:color w:val="7F7F7F"/>
                <w:sz w:val="21"/>
                <w:szCs w:val="21"/>
                <w:lang w:val="sr-Cyrl-RS"/>
              </w:rPr>
              <w:t>2013</w:t>
            </w:r>
          </w:p>
        </w:tc>
        <w:tc>
          <w:tcPr>
            <w:tcW w:w="1610" w:type="dxa"/>
            <w:gridSpan w:val="2"/>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rPr>
            </w:pPr>
            <w:r w:rsidRPr="00171A80">
              <w:rPr>
                <w:rFonts w:asciiTheme="majorHAnsi" w:hAnsiTheme="majorHAnsi" w:cs="Calibri"/>
                <w:b/>
                <w:bCs w:val="0"/>
                <w:color w:val="7F7F7F"/>
                <w:sz w:val="21"/>
                <w:szCs w:val="21"/>
                <w:lang w:val="sr-Cyrl-RS"/>
              </w:rPr>
              <w:t>2014/X</w:t>
            </w:r>
          </w:p>
        </w:tc>
      </w:tr>
      <w:tr w:rsidR="00171A80" w:rsidRPr="00171A80" w:rsidTr="00171A80">
        <w:trPr>
          <w:trHeight w:val="246"/>
          <w:jc w:val="center"/>
        </w:trPr>
        <w:tc>
          <w:tcPr>
            <w:tcW w:w="2872" w:type="dxa"/>
            <w:vMerge w:val="restart"/>
            <w:tcBorders>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Врсте инструмената</w:t>
            </w:r>
          </w:p>
        </w:tc>
        <w:tc>
          <w:tcPr>
            <w:tcW w:w="613" w:type="dxa"/>
            <w:vMerge w:val="restart"/>
            <w:tcBorders>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w:t>
            </w:r>
          </w:p>
        </w:tc>
        <w:tc>
          <w:tcPr>
            <w:tcW w:w="997" w:type="dxa"/>
            <w:vMerge w:val="restart"/>
            <w:tcBorders>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Ном. у млрд динара</w:t>
            </w:r>
          </w:p>
        </w:tc>
        <w:tc>
          <w:tcPr>
            <w:tcW w:w="613" w:type="dxa"/>
            <w:vMerge w:val="restart"/>
            <w:tcBorders>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w:t>
            </w:r>
          </w:p>
        </w:tc>
        <w:tc>
          <w:tcPr>
            <w:tcW w:w="997" w:type="dxa"/>
            <w:vMerge w:val="restart"/>
            <w:tcBorders>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Ном. у млрд динара</w:t>
            </w:r>
          </w:p>
        </w:tc>
        <w:tc>
          <w:tcPr>
            <w:tcW w:w="613" w:type="dxa"/>
            <w:vMerge w:val="restart"/>
            <w:tcBorders>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w:t>
            </w:r>
          </w:p>
        </w:tc>
        <w:tc>
          <w:tcPr>
            <w:tcW w:w="997" w:type="dxa"/>
            <w:vMerge w:val="restart"/>
            <w:tcBorders>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Ном. у млрд динара</w:t>
            </w:r>
          </w:p>
        </w:tc>
        <w:tc>
          <w:tcPr>
            <w:tcW w:w="613" w:type="dxa"/>
            <w:vMerge w:val="restart"/>
            <w:tcBorders>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w:t>
            </w:r>
          </w:p>
        </w:tc>
        <w:tc>
          <w:tcPr>
            <w:tcW w:w="997" w:type="dxa"/>
            <w:vMerge w:val="restart"/>
            <w:tcBorders>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Ном. у млрд динара</w:t>
            </w:r>
          </w:p>
        </w:tc>
      </w:tr>
      <w:tr w:rsidR="00171A80" w:rsidRPr="00171A80" w:rsidTr="00171A80">
        <w:trPr>
          <w:trHeight w:val="246"/>
          <w:jc w:val="center"/>
        </w:trPr>
        <w:tc>
          <w:tcPr>
            <w:tcW w:w="2872"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left"/>
              <w:rPr>
                <w:rFonts w:asciiTheme="majorHAnsi" w:hAnsiTheme="majorHAnsi" w:cs="Calibri"/>
                <w:bCs w:val="0"/>
                <w:color w:val="7F7F7F"/>
                <w:sz w:val="20"/>
                <w:szCs w:val="20"/>
                <w:lang w:val="sr-Cyrl-RS"/>
              </w:rPr>
            </w:pPr>
          </w:p>
        </w:tc>
        <w:tc>
          <w:tcPr>
            <w:tcW w:w="613"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997"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613"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997"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613"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997"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613"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997"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 </w:t>
            </w:r>
          </w:p>
        </w:tc>
        <w:tc>
          <w:tcPr>
            <w:tcW w:w="613" w:type="dxa"/>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997" w:type="dxa"/>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613" w:type="dxa"/>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997" w:type="dxa"/>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613" w:type="dxa"/>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997" w:type="dxa"/>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613" w:type="dxa"/>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c>
          <w:tcPr>
            <w:tcW w:w="997" w:type="dxa"/>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p>
        </w:tc>
      </w:tr>
      <w:tr w:rsidR="00171A80" w:rsidRPr="00171A80" w:rsidTr="00171A80">
        <w:trPr>
          <w:trHeight w:val="3"/>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Државни записи 3М</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1,3</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4,0</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1,4</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6,9</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1,0</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6,1</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0,8</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6,2</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Државни записи 6М</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9,0</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27,1</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4,5</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21,8</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1,5</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9,0</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0,8</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6,4</w:t>
            </w:r>
          </w:p>
        </w:tc>
      </w:tr>
      <w:tr w:rsidR="00171A80" w:rsidRPr="00171A80" w:rsidTr="00171A80">
        <w:trPr>
          <w:trHeight w:val="3"/>
          <w:jc w:val="center"/>
        </w:trPr>
        <w:tc>
          <w:tcPr>
            <w:tcW w:w="2872" w:type="dxa"/>
            <w:tcBorders>
              <w:top w:val="nil"/>
              <w:left w:val="nil"/>
              <w:bottom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Државни записи 6М</w:t>
            </w:r>
          </w:p>
        </w:tc>
        <w:tc>
          <w:tcPr>
            <w:tcW w:w="613" w:type="dxa"/>
            <w:vMerge w:val="restart"/>
            <w:tcBorders>
              <w:top w:val="nil"/>
              <w:left w:val="nil"/>
              <w:bottom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val="restart"/>
            <w:tcBorders>
              <w:top w:val="nil"/>
              <w:left w:val="nil"/>
              <w:bottom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val="restart"/>
            <w:tcBorders>
              <w:top w:val="nil"/>
              <w:left w:val="nil"/>
              <w:bottom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val="restart"/>
            <w:tcBorders>
              <w:top w:val="nil"/>
              <w:left w:val="nil"/>
              <w:bottom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val="restart"/>
            <w:tcBorders>
              <w:top w:val="nil"/>
              <w:left w:val="nil"/>
              <w:bottom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val="restart"/>
            <w:tcBorders>
              <w:top w:val="nil"/>
              <w:left w:val="nil"/>
              <w:bottom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val="restart"/>
            <w:tcBorders>
              <w:top w:val="nil"/>
              <w:left w:val="nil"/>
              <w:bottom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val="restart"/>
            <w:tcBorders>
              <w:top w:val="nil"/>
              <w:left w:val="nil"/>
              <w:bottom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r>
      <w:tr w:rsidR="00171A80" w:rsidRPr="00171A80" w:rsidTr="00171A80">
        <w:trPr>
          <w:trHeight w:val="71"/>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индексирани у ЕУР</w:t>
            </w:r>
          </w:p>
        </w:tc>
        <w:tc>
          <w:tcPr>
            <w:tcW w:w="613" w:type="dxa"/>
            <w:vMerge/>
            <w:tcBorders>
              <w:top w:val="nil"/>
              <w:left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Државни записи 12М</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3,3</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10,0</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r>
      <w:tr w:rsidR="00171A80" w:rsidRPr="00171A80" w:rsidTr="00171A80">
        <w:trPr>
          <w:trHeight w:val="3"/>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Државни записи 53Н</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28,1</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84,8</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20,1</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96,1</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17,7</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104,5</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12,2</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94,9</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Државни записи 53Н ЕУР</w:t>
            </w:r>
          </w:p>
        </w:tc>
        <w:tc>
          <w:tcPr>
            <w:tcW w:w="613" w:type="dxa"/>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6,9</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20,9</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4,9</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23,3</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4,2</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24,6</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4,7</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36,7</w:t>
            </w:r>
          </w:p>
        </w:tc>
      </w:tr>
      <w:tr w:rsidR="00171A80" w:rsidRPr="00171A80" w:rsidTr="00171A80">
        <w:trPr>
          <w:trHeight w:val="3"/>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Државни записи 18М</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21,2</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64,1</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15,4</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73,5</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4,5</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26,5</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Државни записи 18М ЕУР</w:t>
            </w:r>
          </w:p>
        </w:tc>
        <w:tc>
          <w:tcPr>
            <w:tcW w:w="613" w:type="dxa"/>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5,2</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15,7</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10,1</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48,2</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1,5</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8,6</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w:t>
            </w:r>
          </w:p>
        </w:tc>
      </w:tr>
      <w:tr w:rsidR="00171A80" w:rsidRPr="00171A80" w:rsidTr="00171A80">
        <w:trPr>
          <w:trHeight w:val="3"/>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Државни записи 24М</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13,2</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39,9</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13,6</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65,0</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5,1</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30,1</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0,5</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4,2</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2Г</w:t>
            </w:r>
          </w:p>
        </w:tc>
        <w:tc>
          <w:tcPr>
            <w:tcW w:w="613" w:type="dxa"/>
            <w:vMerge w:val="restart"/>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1,4</w:t>
            </w: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6,7</w:t>
            </w: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5,7</w:t>
            </w: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33,8</w:t>
            </w: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9,2</w:t>
            </w: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71,2</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Амортизационе</w:t>
            </w:r>
          </w:p>
        </w:tc>
        <w:tc>
          <w:tcPr>
            <w:tcW w:w="613"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r>
      <w:tr w:rsidR="00171A80" w:rsidRPr="00171A80" w:rsidTr="00171A80">
        <w:trPr>
          <w:trHeight w:val="3"/>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2Г</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11,9</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69,8</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14,7</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114,2</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2Г ЕУР</w:t>
            </w:r>
          </w:p>
        </w:tc>
        <w:tc>
          <w:tcPr>
            <w:tcW w:w="613" w:type="dxa"/>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2,7</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12,7</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9,2</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54,0</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10,3</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79,7</w:t>
            </w:r>
          </w:p>
        </w:tc>
      </w:tr>
      <w:tr w:rsidR="00171A80" w:rsidRPr="00171A80" w:rsidTr="00171A80">
        <w:trPr>
          <w:trHeight w:val="3"/>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3Г</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4,7</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14,2</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16,0</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76,5</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23,9</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140,5</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23,7</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184,3</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3Г</w:t>
            </w: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2,3</w:t>
            </w: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10,9</w:t>
            </w: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1,1</w:t>
            </w: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6,7</w:t>
            </w: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0,5</w:t>
            </w: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4,2</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инфлационо индексиране</w:t>
            </w:r>
          </w:p>
        </w:tc>
        <w:tc>
          <w:tcPr>
            <w:tcW w:w="613"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r>
      <w:tr w:rsidR="00171A80" w:rsidRPr="00171A80" w:rsidTr="00171A80">
        <w:trPr>
          <w:trHeight w:val="3"/>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3Г ЕУР</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2,1</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6,2</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1,4</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6,7</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3,1</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18,4</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4,6</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35,9</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5Г</w:t>
            </w:r>
          </w:p>
        </w:tc>
        <w:tc>
          <w:tcPr>
            <w:tcW w:w="613" w:type="dxa"/>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1,7</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8,2</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3,4</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19,8</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4,6</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36,0</w:t>
            </w:r>
          </w:p>
        </w:tc>
      </w:tr>
      <w:tr w:rsidR="00171A80" w:rsidRPr="00171A80" w:rsidTr="00171A80">
        <w:trPr>
          <w:trHeight w:val="3"/>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5Г ЕУР</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2,2</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12,9</w:t>
            </w: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3,7</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28,9</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7Г</w:t>
            </w:r>
          </w:p>
        </w:tc>
        <w:tc>
          <w:tcPr>
            <w:tcW w:w="613" w:type="dxa"/>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1,2</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7,1</w:t>
            </w:r>
          </w:p>
        </w:tc>
        <w:tc>
          <w:tcPr>
            <w:tcW w:w="613"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4,8</w:t>
            </w:r>
          </w:p>
        </w:tc>
        <w:tc>
          <w:tcPr>
            <w:tcW w:w="997"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37,2</w:t>
            </w:r>
          </w:p>
        </w:tc>
      </w:tr>
      <w:tr w:rsidR="00171A80" w:rsidRPr="00171A80" w:rsidTr="00171A80">
        <w:trPr>
          <w:trHeight w:val="3"/>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10Г</w:t>
            </w:r>
          </w:p>
        </w:tc>
        <w:tc>
          <w:tcPr>
            <w:tcW w:w="613" w:type="dxa"/>
            <w:tcBorders>
              <w:top w:val="nil"/>
              <w:left w:val="nil"/>
              <w:right w:val="nil"/>
            </w:tcBorders>
            <w:shd w:val="clear" w:color="auto" w:fill="auto"/>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right w:val="nil"/>
            </w:tcBorders>
            <w:shd w:val="clear" w:color="auto" w:fill="auto"/>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right w:val="nil"/>
            </w:tcBorders>
            <w:shd w:val="clear" w:color="auto" w:fill="auto"/>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1,2</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9,3</w:t>
            </w: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10Г</w:t>
            </w: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1,1</w:t>
            </w: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5,2</w:t>
            </w: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val="restart"/>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r>
      <w:tr w:rsidR="00171A80" w:rsidRPr="00171A80" w:rsidTr="00171A80">
        <w:trPr>
          <w:trHeight w:val="3"/>
          <w:jc w:val="center"/>
        </w:trPr>
        <w:tc>
          <w:tcPr>
            <w:tcW w:w="2872" w:type="dxa"/>
            <w:tcBorders>
              <w:top w:val="nil"/>
              <w:left w:val="nil"/>
              <w:bottom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инфлационо индексиране</w:t>
            </w:r>
          </w:p>
        </w:tc>
        <w:tc>
          <w:tcPr>
            <w:tcW w:w="613" w:type="dxa"/>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vMerge/>
            <w:tcBorders>
              <w:top w:val="nil"/>
              <w:left w:val="nil"/>
              <w:bottom w:val="nil"/>
              <w:right w:val="nil"/>
            </w:tcBorders>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r>
      <w:tr w:rsidR="00171A80" w:rsidRPr="00171A80" w:rsidTr="00171A80">
        <w:trPr>
          <w:trHeight w:val="3"/>
          <w:jc w:val="center"/>
        </w:trPr>
        <w:tc>
          <w:tcPr>
            <w:tcW w:w="2872"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10Г ЕУР</w:t>
            </w:r>
          </w:p>
        </w:tc>
        <w:tc>
          <w:tcPr>
            <w:tcW w:w="613" w:type="dxa"/>
            <w:tcBorders>
              <w:top w:val="nil"/>
              <w:left w:val="nil"/>
              <w:right w:val="nil"/>
            </w:tcBorders>
            <w:shd w:val="clear" w:color="auto" w:fill="auto"/>
            <w:noWrap/>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p>
        </w:tc>
        <w:tc>
          <w:tcPr>
            <w:tcW w:w="613"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1,5</w:t>
            </w:r>
          </w:p>
        </w:tc>
        <w:tc>
          <w:tcPr>
            <w:tcW w:w="997" w:type="dxa"/>
            <w:tcBorders>
              <w:top w:val="nil"/>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11,8</w:t>
            </w:r>
          </w:p>
        </w:tc>
      </w:tr>
      <w:tr w:rsidR="00171A80" w:rsidRPr="00171A80" w:rsidTr="00171A80">
        <w:trPr>
          <w:trHeight w:val="3"/>
          <w:jc w:val="center"/>
        </w:trPr>
        <w:tc>
          <w:tcPr>
            <w:tcW w:w="2872" w:type="dxa"/>
            <w:tcBorders>
              <w:top w:val="nil"/>
              <w:left w:val="nil"/>
              <w:right w:val="nil"/>
            </w:tcBorders>
            <w:shd w:val="clear" w:color="auto"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Државне обвезнице 15Г ЕУР</w:t>
            </w:r>
          </w:p>
        </w:tc>
        <w:tc>
          <w:tcPr>
            <w:tcW w:w="613" w:type="dxa"/>
            <w:tcBorders>
              <w:top w:val="nil"/>
              <w:left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5,0</w:t>
            </w:r>
          </w:p>
        </w:tc>
        <w:tc>
          <w:tcPr>
            <w:tcW w:w="997" w:type="dxa"/>
            <w:tcBorders>
              <w:top w:val="nil"/>
              <w:left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15,1</w:t>
            </w:r>
          </w:p>
        </w:tc>
        <w:tc>
          <w:tcPr>
            <w:tcW w:w="613" w:type="dxa"/>
            <w:tcBorders>
              <w:top w:val="nil"/>
              <w:left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3,4</w:t>
            </w:r>
          </w:p>
        </w:tc>
        <w:tc>
          <w:tcPr>
            <w:tcW w:w="997" w:type="dxa"/>
            <w:tcBorders>
              <w:top w:val="nil"/>
              <w:left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16,4</w:t>
            </w:r>
          </w:p>
        </w:tc>
        <w:tc>
          <w:tcPr>
            <w:tcW w:w="613" w:type="dxa"/>
            <w:tcBorders>
              <w:top w:val="nil"/>
              <w:left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2,8</w:t>
            </w:r>
          </w:p>
        </w:tc>
        <w:tc>
          <w:tcPr>
            <w:tcW w:w="997" w:type="dxa"/>
            <w:tcBorders>
              <w:top w:val="nil"/>
              <w:left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16,6</w:t>
            </w:r>
          </w:p>
        </w:tc>
        <w:tc>
          <w:tcPr>
            <w:tcW w:w="613" w:type="dxa"/>
            <w:tcBorders>
              <w:top w:val="nil"/>
              <w:left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2,2</w:t>
            </w:r>
          </w:p>
        </w:tc>
        <w:tc>
          <w:tcPr>
            <w:tcW w:w="997" w:type="dxa"/>
            <w:tcBorders>
              <w:top w:val="nil"/>
              <w:left w:val="nil"/>
              <w:right w:val="nil"/>
            </w:tcBorders>
            <w:shd w:val="clear" w:color="auto" w:fill="EAF1DD" w:themeFill="accent3" w:themeFillTint="33"/>
            <w:noWrap/>
            <w:vAlign w:val="center"/>
            <w:hideMark/>
          </w:tcPr>
          <w:p w:rsidR="00171A80" w:rsidRPr="00171A80" w:rsidRDefault="00171A80" w:rsidP="00171A80">
            <w:pPr>
              <w:spacing w:after="0"/>
              <w:ind w:firstLine="0"/>
              <w:jc w:val="center"/>
              <w:rPr>
                <w:rFonts w:asciiTheme="majorHAnsi" w:hAnsiTheme="majorHAnsi" w:cs="Calibri"/>
                <w:bCs w:val="0"/>
                <w:color w:val="808080"/>
                <w:sz w:val="20"/>
                <w:szCs w:val="20"/>
                <w:lang w:val="sr-Cyrl-RS"/>
              </w:rPr>
            </w:pPr>
            <w:r w:rsidRPr="00171A80">
              <w:rPr>
                <w:rFonts w:asciiTheme="majorHAnsi" w:hAnsiTheme="majorHAnsi" w:cs="Calibri"/>
                <w:bCs w:val="0"/>
                <w:color w:val="808080"/>
                <w:sz w:val="20"/>
                <w:szCs w:val="20"/>
                <w:lang w:val="sr-Cyrl-RS"/>
              </w:rPr>
              <w:t>17,2</w:t>
            </w:r>
          </w:p>
        </w:tc>
      </w:tr>
      <w:tr w:rsidR="00171A80" w:rsidRPr="00171A80" w:rsidTr="00171A80">
        <w:trPr>
          <w:trHeight w:val="3"/>
          <w:jc w:val="center"/>
        </w:trPr>
        <w:tc>
          <w:tcPr>
            <w:tcW w:w="2872" w:type="dxa"/>
            <w:tcBorders>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left"/>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Укупно</w:t>
            </w:r>
          </w:p>
        </w:tc>
        <w:tc>
          <w:tcPr>
            <w:tcW w:w="613" w:type="dxa"/>
            <w:tcBorders>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100</w:t>
            </w:r>
            <w:r w:rsidR="00072013">
              <w:rPr>
                <w:rFonts w:asciiTheme="majorHAnsi" w:hAnsiTheme="majorHAnsi" w:cs="Calibri"/>
                <w:bCs w:val="0"/>
                <w:color w:val="7F7F7F"/>
                <w:sz w:val="20"/>
                <w:szCs w:val="20"/>
                <w:lang w:val="sr-Cyrl-RS"/>
              </w:rPr>
              <w:t>,0</w:t>
            </w:r>
          </w:p>
        </w:tc>
        <w:tc>
          <w:tcPr>
            <w:tcW w:w="997" w:type="dxa"/>
            <w:tcBorders>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302,0</w:t>
            </w:r>
          </w:p>
        </w:tc>
        <w:tc>
          <w:tcPr>
            <w:tcW w:w="613" w:type="dxa"/>
            <w:tcBorders>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100</w:t>
            </w:r>
            <w:r w:rsidR="00072013">
              <w:rPr>
                <w:rFonts w:asciiTheme="majorHAnsi" w:hAnsiTheme="majorHAnsi" w:cs="Calibri"/>
                <w:bCs w:val="0"/>
                <w:color w:val="7F7F7F"/>
                <w:sz w:val="20"/>
                <w:szCs w:val="20"/>
                <w:lang w:val="sr-Cyrl-RS"/>
              </w:rPr>
              <w:t>,0</w:t>
            </w:r>
          </w:p>
        </w:tc>
        <w:tc>
          <w:tcPr>
            <w:tcW w:w="997" w:type="dxa"/>
            <w:tcBorders>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478,1</w:t>
            </w:r>
          </w:p>
        </w:tc>
        <w:tc>
          <w:tcPr>
            <w:tcW w:w="613" w:type="dxa"/>
            <w:tcBorders>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100</w:t>
            </w:r>
            <w:r w:rsidR="00072013">
              <w:rPr>
                <w:rFonts w:asciiTheme="majorHAnsi" w:hAnsiTheme="majorHAnsi" w:cs="Calibri"/>
                <w:bCs w:val="0"/>
                <w:color w:val="7F7F7F"/>
                <w:sz w:val="20"/>
                <w:szCs w:val="20"/>
                <w:lang w:val="sr-Cyrl-RS"/>
              </w:rPr>
              <w:t>,0</w:t>
            </w:r>
          </w:p>
        </w:tc>
        <w:tc>
          <w:tcPr>
            <w:tcW w:w="997" w:type="dxa"/>
            <w:tcBorders>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589,0</w:t>
            </w:r>
          </w:p>
        </w:tc>
        <w:tc>
          <w:tcPr>
            <w:tcW w:w="613" w:type="dxa"/>
            <w:tcBorders>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100</w:t>
            </w:r>
            <w:r w:rsidR="00072013">
              <w:rPr>
                <w:rFonts w:asciiTheme="majorHAnsi" w:hAnsiTheme="majorHAnsi" w:cs="Calibri"/>
                <w:bCs w:val="0"/>
                <w:color w:val="7F7F7F"/>
                <w:sz w:val="20"/>
                <w:szCs w:val="20"/>
                <w:lang w:val="sr-Cyrl-RS"/>
              </w:rPr>
              <w:t>,0</w:t>
            </w:r>
          </w:p>
        </w:tc>
        <w:tc>
          <w:tcPr>
            <w:tcW w:w="997" w:type="dxa"/>
            <w:tcBorders>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Cs w:val="0"/>
                <w:color w:val="7F7F7F"/>
                <w:sz w:val="20"/>
                <w:szCs w:val="20"/>
                <w:lang w:val="sr-Cyrl-RS"/>
              </w:rPr>
            </w:pPr>
            <w:r w:rsidRPr="00171A80">
              <w:rPr>
                <w:rFonts w:asciiTheme="majorHAnsi" w:hAnsiTheme="majorHAnsi" w:cs="Calibri"/>
                <w:bCs w:val="0"/>
                <w:color w:val="7F7F7F"/>
                <w:sz w:val="20"/>
                <w:szCs w:val="20"/>
                <w:lang w:val="sr-Cyrl-RS"/>
              </w:rPr>
              <w:t>778,3</w:t>
            </w:r>
          </w:p>
        </w:tc>
      </w:tr>
    </w:tbl>
    <w:p w:rsidR="00171A80" w:rsidRPr="00171A80" w:rsidRDefault="00171A80" w:rsidP="005E5E59">
      <w:pPr>
        <w:tabs>
          <w:tab w:val="left" w:pos="2444"/>
        </w:tabs>
        <w:spacing w:after="0"/>
        <w:ind w:firstLine="0"/>
        <w:rPr>
          <w:rFonts w:asciiTheme="majorHAnsi" w:hAnsiTheme="majorHAnsi"/>
          <w:bCs w:val="0"/>
          <w:color w:val="7F7F7F" w:themeColor="text1" w:themeTint="80"/>
          <w:kern w:val="20"/>
          <w:sz w:val="21"/>
          <w:szCs w:val="21"/>
          <w:lang w:val="sr-Cyrl-RS" w:eastAsia="ko-KR"/>
        </w:rPr>
      </w:pP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 xml:space="preserve">Током 2010. године, дуг по основу државних хартија од вредности се повећао и износио је 178,2 млрд динара на крају те године. У циљу развијања домаћег тржишта капитала, Министарство финансија - Управа за јавни дуг емитовала је прве осамнаестомесечне и двадесетчетворомесечне државне записе у марту 2010. године. У фебруару 2011. године Министарство финансија - Управа за јавни дуг издала је петнаестогодишњу купонску обвезницу деноминовану у еврима, као и педесеттронедељни евро државни запис, а у марту 2011. године први пут је издата динарска купонска обвезница са роком доспећа од три године. У јуну 2011. године је емитована на домаћем тржишту први пут трогодишња обвезница са купоном деноминована у еврима, док је у јулу 2011. године емитован државни запис са роком доспећа од осамнаест месеци у еврима. </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 xml:space="preserve">На крају 2011. године дуг по основу државних динарских хартија од вредности износио је 244,1 млрд динара, а по основу евро деноминованих државних хартија од вредности емитованих на домаћем тржишту износио је 57,9 млрд динара. </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lastRenderedPageBreak/>
        <w:t>Током 2012. године, у циљу продужења рочности државних хартија од вредности и повећања учешћа динарског јавног дуга, настављено је са увођењем нових дугорочнијих инструмената у динарима. Петогодишња динарска обвезница са купоном 10% први пут је емитована 24. јануара 2012. године. У циљу диверсификације дуга 1. августа 2012. године емитована је двогодишња амортизациона обвезница са купоном везаним за референтну каматну стопу НБС.</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Стратегија продужења рочности и развоја инструмената финансирања путем емисија хартија од вредности на домаћем тржишту, настављена је и у 2013. години. Министарство финансија - Управа за јавни дуг, по први пут емитовала је седмогодишње државне динарске обвезнице у марту месецу, да би до краја године укупан обим продатих седмогодишњих обвезница износио 7,1 млрд динара са просечном вредносно пондерисаном стопом приноса од 12,49%. У погледу развоја тржишта евро деноминованих државних хартија од вредности, Република Србија је у априлу месецу емитовала по први пут петогодишње евро деноминоване обвезнице, да би до краја године серијом нових емисија и реотварања постојећих, укупан обим продатих петогодишњих евро деноминованих обвезница износио 131,7 мил. евра са просечном вредносно пондерисаном стопом приноса од 5,22%.</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На крају 2013. године дуг по основу државних динарских хартија од вредности износио је 453,9 млрд динара, а по основу евро деноминованих државних хартија од вредности емитованих на домаћем тржишту износио је 135,1 млрд динара.</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 xml:space="preserve">На крају октобра 2014. године дуг по основу динарских државних хартија од вредности износио је 568,1 млрд динара, док је по основу евро деноминованих државних хартија од вредности емитованих на домаћем тржишту износио 210,2 млрд динара. Тренд продужења рочности и раст учешћа динарских државних хартија од вредности у укупном портфолију државних хартија од вредности емитованих на домаћем тржишту настављен је и у 2014. години. Република Србија је 9. априла 2014. години по први пут емитовала десетогодишње евро деноминоване обвезнице у обиму од 125,0 мил. евра, реотварањем примарне емисије 4. јуна 2014. године и 19. новембра 2014. године, Република Србија је продала целу емисију десетогодишњих евро деноминованих обвезница. Такође, 21. октобра </w:t>
      </w:r>
      <w:r w:rsidR="001044A0">
        <w:rPr>
          <w:rFonts w:asciiTheme="majorHAnsi" w:hAnsiTheme="majorHAnsi"/>
          <w:bCs w:val="0"/>
          <w:color w:val="7F7F7F" w:themeColor="text1" w:themeTint="80"/>
          <w:kern w:val="20"/>
          <w:sz w:val="21"/>
          <w:szCs w:val="21"/>
          <w:lang w:val="sr-Cyrl-RS" w:eastAsia="ko-KR"/>
        </w:rPr>
        <w:t xml:space="preserve">2014. године </w:t>
      </w:r>
      <w:r w:rsidRPr="002F31FA">
        <w:rPr>
          <w:rFonts w:asciiTheme="majorHAnsi" w:hAnsiTheme="majorHAnsi"/>
          <w:bCs w:val="0"/>
          <w:color w:val="7F7F7F" w:themeColor="text1" w:themeTint="80"/>
          <w:kern w:val="20"/>
          <w:sz w:val="21"/>
          <w:szCs w:val="21"/>
          <w:lang w:val="sr-Cyrl-RS" w:eastAsia="ko-KR"/>
        </w:rPr>
        <w:t>по први пут емитоване су десетогодишње динарске обвезнице. Обим емисије износио је 10,0 млрд динара, продато је 93 одсто емисије по извршној стопи приноса од 12,99% и купоном од 10%, док је укупна тражња износила 12,7 млрд динара. Емисијом десетогодишњих обвезница остварен је један од стратешких циљева развоја рочности криве приноса државних хартија од вредности. Значајан напредак у развоју бенчмарк емисија остварен је емисијама трогодишњих динарских обвезница 28. марта 2014. године у обиму од 20,0 млрд динара и 8. јула 2014. године у обиму од 20,0 млрд динара.</w:t>
      </w:r>
    </w:p>
    <w:p w:rsidR="00171A80" w:rsidRPr="009123E8" w:rsidRDefault="002F31FA" w:rsidP="002F31FA">
      <w:pPr>
        <w:rPr>
          <w:rFonts w:asciiTheme="majorHAnsi" w:hAnsiTheme="majorHAnsi"/>
          <w:bCs w:val="0"/>
          <w:color w:val="7F7F7F" w:themeColor="text1" w:themeTint="8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 xml:space="preserve">Од почетка године закључно са 31. октобром 2014. године Република Србија је испунила 68,8% плана финансирања дефинисаног Законом о изменама и допунама </w:t>
      </w:r>
      <w:r w:rsidR="001044A0">
        <w:rPr>
          <w:rFonts w:asciiTheme="majorHAnsi" w:hAnsiTheme="majorHAnsi"/>
          <w:bCs w:val="0"/>
          <w:color w:val="7F7F7F" w:themeColor="text1" w:themeTint="80"/>
          <w:kern w:val="20"/>
          <w:sz w:val="21"/>
          <w:szCs w:val="21"/>
          <w:lang w:val="sr-Cyrl-RS" w:eastAsia="ko-KR"/>
        </w:rPr>
        <w:t>З</w:t>
      </w:r>
      <w:r w:rsidRPr="002F31FA">
        <w:rPr>
          <w:rFonts w:asciiTheme="majorHAnsi" w:hAnsiTheme="majorHAnsi"/>
          <w:bCs w:val="0"/>
          <w:color w:val="7F7F7F" w:themeColor="text1" w:themeTint="80"/>
          <w:kern w:val="20"/>
          <w:sz w:val="21"/>
          <w:szCs w:val="21"/>
          <w:lang w:val="sr-Cyrl-RS" w:eastAsia="ko-KR"/>
        </w:rPr>
        <w:t xml:space="preserve">акона о буџету </w:t>
      </w:r>
      <w:r w:rsidR="001044A0">
        <w:rPr>
          <w:rFonts w:asciiTheme="majorHAnsi" w:hAnsiTheme="majorHAnsi"/>
          <w:bCs w:val="0"/>
          <w:color w:val="7F7F7F" w:themeColor="text1" w:themeTint="80"/>
          <w:kern w:val="20"/>
          <w:sz w:val="21"/>
          <w:szCs w:val="21"/>
          <w:lang w:val="sr-Cyrl-RS" w:eastAsia="ko-KR"/>
        </w:rPr>
        <w:t xml:space="preserve">Републике Србије </w:t>
      </w:r>
      <w:r w:rsidRPr="002F31FA">
        <w:rPr>
          <w:rFonts w:asciiTheme="majorHAnsi" w:hAnsiTheme="majorHAnsi"/>
          <w:bCs w:val="0"/>
          <w:color w:val="7F7F7F" w:themeColor="text1" w:themeTint="80"/>
          <w:kern w:val="20"/>
          <w:sz w:val="21"/>
          <w:szCs w:val="21"/>
          <w:lang w:val="sr-Cyrl-RS" w:eastAsia="ko-KR"/>
        </w:rPr>
        <w:t>за 2014. годину, од чега примања по основу државних хартија од вредности емитованих на домаћем финансијском тржишту износе 413,7 млрд динара, што у релативном исказу представља 92,0% од дефинисаног плана финансирања на домаћем финансијском тржишту</w:t>
      </w:r>
      <w:r w:rsidR="009123E8">
        <w:rPr>
          <w:rFonts w:asciiTheme="majorHAnsi" w:hAnsiTheme="majorHAnsi"/>
          <w:bCs w:val="0"/>
          <w:color w:val="7F7F7F" w:themeColor="text1" w:themeTint="80"/>
          <w:sz w:val="21"/>
          <w:szCs w:val="21"/>
          <w:lang w:val="sr-Cyrl-RS" w:eastAsia="ko-KR"/>
        </w:rPr>
        <w:t>.</w:t>
      </w:r>
    </w:p>
    <w:p w:rsidR="00171A80" w:rsidRPr="00171A80" w:rsidRDefault="00171A80" w:rsidP="00171A80">
      <w:pPr>
        <w:ind w:firstLine="0"/>
        <w:rPr>
          <w:rFonts w:asciiTheme="majorHAnsi" w:eastAsia="Calibri" w:hAnsiTheme="majorHAnsi" w:cs="Times New Roman"/>
          <w:b/>
          <w:bCs w:val="0"/>
          <w:i/>
          <w:color w:val="51671F"/>
          <w:szCs w:val="22"/>
          <w:lang w:val="sr-Cyrl-RS" w:eastAsia="ko-KR"/>
        </w:rPr>
      </w:pPr>
      <w:r w:rsidRPr="00171A80">
        <w:rPr>
          <w:rFonts w:asciiTheme="majorHAnsi" w:eastAsia="Calibri" w:hAnsiTheme="majorHAnsi" w:cs="Times New Roman"/>
          <w:b/>
          <w:bCs w:val="0"/>
          <w:i/>
          <w:color w:val="51671F"/>
          <w:szCs w:val="22"/>
          <w:lang w:val="sr-Cyrl-RS" w:eastAsia="ko-KR"/>
        </w:rPr>
        <w:t>Спољни јавни дуг</w:t>
      </w:r>
    </w:p>
    <w:p w:rsidR="009123E8" w:rsidRDefault="002F31FA" w:rsidP="00171A80">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Према Закону о јавном дугу, спољни јавни дуг обухвата директне и индиректне обавезе према страним инвеститорима и кредиторима. Следећа табела приказује структуру спољног јавног дуга Републике Србије на крају 2011, 2012, 2013. године и на дан 31. октобар 2014. године</w:t>
      </w:r>
      <w:r w:rsidR="00171A80" w:rsidRPr="00171A80">
        <w:rPr>
          <w:rFonts w:asciiTheme="majorHAnsi" w:hAnsiTheme="majorHAnsi"/>
          <w:bCs w:val="0"/>
          <w:color w:val="7F7F7F" w:themeColor="text1" w:themeTint="80"/>
          <w:kern w:val="20"/>
          <w:sz w:val="21"/>
          <w:szCs w:val="21"/>
          <w:lang w:val="sr-Cyrl-RS" w:eastAsia="ko-KR"/>
        </w:rPr>
        <w:t>.</w:t>
      </w:r>
    </w:p>
    <w:p w:rsidR="00171A80" w:rsidRPr="00171A80" w:rsidRDefault="009123E8" w:rsidP="009F0BBB">
      <w:pPr>
        <w:spacing w:after="0"/>
        <w:ind w:firstLine="0"/>
        <w:jc w:val="left"/>
        <w:rPr>
          <w:rFonts w:asciiTheme="majorHAnsi" w:hAnsiTheme="majorHAnsi"/>
          <w:bCs w:val="0"/>
          <w:color w:val="7F7F7F" w:themeColor="text1" w:themeTint="80"/>
          <w:kern w:val="20"/>
          <w:sz w:val="21"/>
          <w:szCs w:val="21"/>
          <w:lang w:val="sr-Cyrl-RS" w:eastAsia="ko-KR"/>
        </w:rPr>
      </w:pPr>
      <w:r>
        <w:rPr>
          <w:rFonts w:asciiTheme="majorHAnsi" w:hAnsiTheme="majorHAnsi"/>
          <w:bCs w:val="0"/>
          <w:color w:val="7F7F7F" w:themeColor="text1" w:themeTint="80"/>
          <w:kern w:val="20"/>
          <w:sz w:val="21"/>
          <w:szCs w:val="21"/>
          <w:lang w:val="sr-Cyrl-RS" w:eastAsia="ko-KR"/>
        </w:rPr>
        <w:br w:type="page"/>
      </w:r>
    </w:p>
    <w:p w:rsidR="00171A80" w:rsidRPr="00171A80" w:rsidRDefault="009123E8" w:rsidP="009F0BBB">
      <w:pPr>
        <w:ind w:firstLine="0"/>
        <w:jc w:val="left"/>
        <w:rPr>
          <w:rFonts w:asciiTheme="majorHAnsi" w:hAnsiTheme="majorHAnsi"/>
          <w:b/>
          <w:bCs w:val="0"/>
          <w:color w:val="7F7F7F" w:themeColor="text1" w:themeTint="80"/>
          <w:kern w:val="20"/>
          <w:sz w:val="21"/>
          <w:szCs w:val="21"/>
          <w:lang w:val="sr-Cyrl-RS" w:eastAsia="ko-KR"/>
        </w:rPr>
      </w:pPr>
      <w:r>
        <w:rPr>
          <w:rFonts w:asciiTheme="majorHAnsi" w:hAnsiTheme="majorHAnsi"/>
          <w:b/>
          <w:bCs w:val="0"/>
          <w:color w:val="7F7F7F" w:themeColor="text1" w:themeTint="80"/>
          <w:kern w:val="20"/>
          <w:sz w:val="21"/>
          <w:szCs w:val="21"/>
          <w:lang w:val="sr-Cyrl-RS" w:eastAsia="ko-KR"/>
        </w:rPr>
        <w:lastRenderedPageBreak/>
        <w:t>Табела 19</w:t>
      </w:r>
      <w:r w:rsidR="00171A80" w:rsidRPr="00171A80">
        <w:rPr>
          <w:rFonts w:asciiTheme="majorHAnsi" w:hAnsiTheme="majorHAnsi"/>
          <w:b/>
          <w:bCs w:val="0"/>
          <w:color w:val="7F7F7F" w:themeColor="text1" w:themeTint="80"/>
          <w:kern w:val="20"/>
          <w:sz w:val="21"/>
          <w:szCs w:val="21"/>
          <w:lang w:val="sr-Cyrl-RS" w:eastAsia="ko-KR"/>
        </w:rPr>
        <w:t xml:space="preserve">. Структура спољног </w:t>
      </w:r>
      <w:r w:rsidR="00E1376F">
        <w:rPr>
          <w:rFonts w:asciiTheme="majorHAnsi" w:hAnsiTheme="majorHAnsi"/>
          <w:b/>
          <w:bCs w:val="0"/>
          <w:color w:val="7F7F7F" w:themeColor="text1" w:themeTint="80"/>
          <w:kern w:val="20"/>
          <w:sz w:val="21"/>
          <w:szCs w:val="21"/>
          <w:lang w:val="sr-Cyrl-RS" w:eastAsia="ko-KR"/>
        </w:rPr>
        <w:t>јавног дуга у периоду крај 2011</w:t>
      </w:r>
      <w:r w:rsidR="00171A80" w:rsidRPr="00171A80">
        <w:rPr>
          <w:rFonts w:asciiTheme="majorHAnsi" w:hAnsiTheme="majorHAnsi"/>
          <w:b/>
          <w:bCs w:val="0"/>
          <w:color w:val="7F7F7F" w:themeColor="text1" w:themeTint="80"/>
          <w:kern w:val="20"/>
          <w:sz w:val="21"/>
          <w:szCs w:val="21"/>
          <w:lang w:val="sr-Cyrl-RS" w:eastAsia="ko-KR"/>
        </w:rPr>
        <w:t xml:space="preserve"> – 31. октобар 2014. године</w:t>
      </w:r>
    </w:p>
    <w:tbl>
      <w:tblPr>
        <w:tblW w:w="5000" w:type="pct"/>
        <w:jc w:val="center"/>
        <w:tblLook w:val="04A0" w:firstRow="1" w:lastRow="0" w:firstColumn="1" w:lastColumn="0" w:noHBand="0" w:noVBand="1"/>
      </w:tblPr>
      <w:tblGrid>
        <w:gridCol w:w="4716"/>
        <w:gridCol w:w="1131"/>
        <w:gridCol w:w="1131"/>
        <w:gridCol w:w="1024"/>
        <w:gridCol w:w="1024"/>
      </w:tblGrid>
      <w:tr w:rsidR="00171A80" w:rsidRPr="00171A80" w:rsidTr="00F735A4">
        <w:trPr>
          <w:trHeight w:val="227"/>
          <w:jc w:val="center"/>
        </w:trPr>
        <w:tc>
          <w:tcPr>
            <w:tcW w:w="4716" w:type="dxa"/>
            <w:tcBorders>
              <w:top w:val="single" w:sz="8" w:space="0" w:color="76923C" w:themeColor="accent3" w:themeShade="BF"/>
              <w:left w:val="nil"/>
              <w:right w:val="nil"/>
            </w:tcBorders>
            <w:shd w:val="clear" w:color="auto" w:fill="auto"/>
            <w:noWrap/>
            <w:vAlign w:val="center"/>
            <w:hideMark/>
          </w:tcPr>
          <w:bookmarkEnd w:id="56"/>
          <w:p w:rsidR="00171A80" w:rsidRPr="00171A80" w:rsidRDefault="00171A80" w:rsidP="00171A80">
            <w:pPr>
              <w:spacing w:after="0"/>
              <w:ind w:firstLine="0"/>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 </w:t>
            </w:r>
          </w:p>
        </w:tc>
        <w:tc>
          <w:tcPr>
            <w:tcW w:w="1131" w:type="dxa"/>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eastAsia="sr-Latn-RS"/>
              </w:rPr>
            </w:pPr>
            <w:r w:rsidRPr="00171A80">
              <w:rPr>
                <w:rFonts w:asciiTheme="majorHAnsi" w:hAnsiTheme="majorHAnsi" w:cs="Calibri"/>
                <w:b/>
                <w:bCs w:val="0"/>
                <w:color w:val="7F7F7F"/>
                <w:sz w:val="21"/>
                <w:szCs w:val="21"/>
                <w:lang w:val="sr-Cyrl-RS" w:eastAsia="sr-Latn-RS"/>
              </w:rPr>
              <w:t>2011</w:t>
            </w:r>
          </w:p>
        </w:tc>
        <w:tc>
          <w:tcPr>
            <w:tcW w:w="1131" w:type="dxa"/>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eastAsia="sr-Latn-RS"/>
              </w:rPr>
            </w:pPr>
            <w:r w:rsidRPr="00171A80">
              <w:rPr>
                <w:rFonts w:asciiTheme="majorHAnsi" w:hAnsiTheme="majorHAnsi" w:cs="Calibri"/>
                <w:b/>
                <w:bCs w:val="0"/>
                <w:color w:val="7F7F7F"/>
                <w:sz w:val="21"/>
                <w:szCs w:val="21"/>
                <w:lang w:val="sr-Cyrl-RS" w:eastAsia="sr-Latn-RS"/>
              </w:rPr>
              <w:t>2012</w:t>
            </w:r>
          </w:p>
        </w:tc>
        <w:tc>
          <w:tcPr>
            <w:tcW w:w="1024" w:type="dxa"/>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eastAsia="sr-Latn-RS"/>
              </w:rPr>
            </w:pPr>
            <w:r w:rsidRPr="00171A80">
              <w:rPr>
                <w:rFonts w:asciiTheme="majorHAnsi" w:hAnsiTheme="majorHAnsi" w:cs="Calibri"/>
                <w:b/>
                <w:bCs w:val="0"/>
                <w:color w:val="7F7F7F"/>
                <w:sz w:val="21"/>
                <w:szCs w:val="21"/>
                <w:lang w:val="sr-Cyrl-RS" w:eastAsia="sr-Latn-RS"/>
              </w:rPr>
              <w:t>2013</w:t>
            </w:r>
          </w:p>
        </w:tc>
        <w:tc>
          <w:tcPr>
            <w:tcW w:w="1024" w:type="dxa"/>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1"/>
                <w:szCs w:val="21"/>
                <w:lang w:val="sr-Cyrl-RS" w:eastAsia="sr-Latn-RS"/>
              </w:rPr>
            </w:pPr>
            <w:r w:rsidRPr="00171A80">
              <w:rPr>
                <w:rFonts w:asciiTheme="majorHAnsi" w:hAnsiTheme="majorHAnsi" w:cs="Calibri"/>
                <w:b/>
                <w:bCs w:val="0"/>
                <w:color w:val="7F7F7F"/>
                <w:sz w:val="21"/>
                <w:szCs w:val="21"/>
                <w:lang w:val="sr-Cyrl-RS" w:eastAsia="sr-Latn-RS"/>
              </w:rPr>
              <w:t>2014/X</w:t>
            </w:r>
          </w:p>
        </w:tc>
      </w:tr>
      <w:tr w:rsidR="00171A80" w:rsidRPr="00171A80" w:rsidTr="00F735A4">
        <w:trPr>
          <w:trHeight w:val="227"/>
          <w:jc w:val="center"/>
        </w:trPr>
        <w:tc>
          <w:tcPr>
            <w:tcW w:w="4716" w:type="dxa"/>
            <w:tcBorders>
              <w:left w:val="nil"/>
              <w:bottom w:val="single" w:sz="8" w:space="0" w:color="76923C" w:themeColor="accent3" w:themeShade="BF"/>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 </w:t>
            </w:r>
          </w:p>
        </w:tc>
        <w:tc>
          <w:tcPr>
            <w:tcW w:w="4310" w:type="dxa"/>
            <w:gridSpan w:val="4"/>
            <w:tcBorders>
              <w:left w:val="nil"/>
              <w:bottom w:val="single" w:sz="8" w:space="0" w:color="76923C" w:themeColor="accent3" w:themeShade="BF"/>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у млрд динара</w:t>
            </w:r>
          </w:p>
        </w:tc>
      </w:tr>
      <w:tr w:rsidR="00171A80" w:rsidRPr="00171A80" w:rsidTr="00F735A4">
        <w:trPr>
          <w:trHeight w:val="227"/>
          <w:jc w:val="center"/>
        </w:trPr>
        <w:tc>
          <w:tcPr>
            <w:tcW w:w="4716" w:type="dxa"/>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Мултилатерални повериоци, од којих:</w:t>
            </w:r>
          </w:p>
        </w:tc>
        <w:tc>
          <w:tcPr>
            <w:tcW w:w="1131" w:type="dxa"/>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543,2</w:t>
            </w:r>
          </w:p>
        </w:tc>
        <w:tc>
          <w:tcPr>
            <w:tcW w:w="1131" w:type="dxa"/>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588,9</w:t>
            </w:r>
          </w:p>
        </w:tc>
        <w:tc>
          <w:tcPr>
            <w:tcW w:w="1024" w:type="dxa"/>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551,2</w:t>
            </w:r>
          </w:p>
        </w:tc>
        <w:tc>
          <w:tcPr>
            <w:tcW w:w="1024" w:type="dxa"/>
            <w:tcBorders>
              <w:top w:val="single" w:sz="8" w:space="0" w:color="76923C" w:themeColor="accent3" w:themeShade="BF"/>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575,4</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Париски клуб</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165,5</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167,8</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157,1</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161</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ИБРД</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150,4</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165,2</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164,7</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170,7</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497C7E"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 xml:space="preserve"> ЕИБ</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42,3</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63,2</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80,4</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84,1</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Лондонски клуб</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75,4</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74,2</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33,8</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35</w:t>
            </w:r>
            <w:r w:rsidR="005D0C03">
              <w:rPr>
                <w:rFonts w:asciiTheme="majorHAnsi" w:hAnsiTheme="majorHAnsi" w:cs="Calibri"/>
                <w:bCs w:val="0"/>
                <w:color w:val="7F7F7F"/>
                <w:sz w:val="21"/>
                <w:szCs w:val="21"/>
                <w:lang w:val="sr-Cyrl-RS" w:eastAsia="sr-Latn-RS"/>
              </w:rPr>
              <w:t>,0</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497C7E"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 xml:space="preserve"> ИДА</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55,4</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59,3</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55,2</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56,5</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ММФ</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48,1</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51,4</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49,7</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54,5</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ЕБРД</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1,3</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2,6</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3,5</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4,4</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ЦЕБ</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4,8</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5,2</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6,8</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9,2</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497C7E"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 xml:space="preserve"> Други</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Билатерални повериоци, од којих:</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85,1</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107,3</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134,6</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256,6</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497C7E"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 xml:space="preserve"> Италија</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4,8</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4,9</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4,6</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4,4</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497C7E"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 xml:space="preserve"> ЕУ</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15,6</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17</w:t>
            </w:r>
            <w:r w:rsidR="005D0C03">
              <w:rPr>
                <w:rFonts w:asciiTheme="majorHAnsi" w:hAnsiTheme="majorHAnsi" w:cs="Calibri"/>
                <w:bCs w:val="0"/>
                <w:color w:val="7F7F7F"/>
                <w:sz w:val="21"/>
                <w:szCs w:val="21"/>
                <w:lang w:val="sr-Cyrl-RS" w:eastAsia="sr-Latn-RS"/>
              </w:rPr>
              <w:t>,0</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17,1</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17</w:t>
            </w:r>
            <w:r w:rsidR="005D0C03">
              <w:rPr>
                <w:rFonts w:asciiTheme="majorHAnsi" w:hAnsiTheme="majorHAnsi" w:cs="Calibri"/>
                <w:bCs w:val="0"/>
                <w:color w:val="7F7F7F"/>
                <w:sz w:val="21"/>
                <w:szCs w:val="21"/>
                <w:lang w:val="sr-Cyrl-RS" w:eastAsia="sr-Latn-RS"/>
              </w:rPr>
              <w:t>,0</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Извозно – Увозна банка Кине</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13,6</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25,2</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27</w:t>
            </w:r>
            <w:r w:rsidR="005D0C03">
              <w:rPr>
                <w:rFonts w:asciiTheme="majorHAnsi" w:hAnsiTheme="majorHAnsi" w:cs="Calibri"/>
                <w:bCs w:val="0"/>
                <w:color w:val="7F7F7F"/>
                <w:sz w:val="21"/>
                <w:szCs w:val="21"/>
                <w:lang w:val="sr-Cyrl-RS" w:eastAsia="sr-Latn-RS"/>
              </w:rPr>
              <w:t>,0</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40,7</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Русија</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16,2</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15,5</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38,2</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42,6</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Француска</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0,4</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0,9</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1,2</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1,2</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Азербејџан</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7</w:t>
            </w:r>
            <w:r w:rsidR="005D0C03">
              <w:rPr>
                <w:rFonts w:asciiTheme="majorHAnsi" w:hAnsiTheme="majorHAnsi" w:cs="Calibri"/>
                <w:bCs w:val="0"/>
                <w:color w:val="7F7F7F"/>
                <w:sz w:val="21"/>
                <w:szCs w:val="21"/>
                <w:lang w:val="sr-Cyrl-RS" w:eastAsia="sr-Latn-RS"/>
              </w:rPr>
              <w:t>,0</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10,8</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15,4</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Уједињени Арапски Емирати</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94,8</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Либија</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4,1</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4,4</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4,5</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4,9</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Други</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30,4</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32,4</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31,2</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35,6</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Друга задуженост</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129,1</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284,2</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488,7</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548,7</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497C7E"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 xml:space="preserve"> Од чега Еврообвезница 2021</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80,9</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172,4</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166,3</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189,5</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Од чега Еврообвезница 2017</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64,6</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62,3</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71,1</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Од чега Еврообвезница 2020</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124,7</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142,1</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BC3631" w:rsidP="00171A80">
            <w:pPr>
              <w:spacing w:after="0"/>
              <w:ind w:firstLine="0"/>
              <w:rPr>
                <w:rFonts w:asciiTheme="majorHAnsi" w:hAnsiTheme="majorHAnsi" w:cs="Calibri"/>
                <w:bCs w:val="0"/>
                <w:i/>
                <w:color w:val="7F7F7F"/>
                <w:sz w:val="21"/>
                <w:szCs w:val="21"/>
                <w:lang w:val="sr-Cyrl-RS" w:eastAsia="sr-Latn-RS"/>
              </w:rPr>
            </w:pPr>
            <w:r>
              <w:rPr>
                <w:rFonts w:asciiTheme="majorHAnsi" w:hAnsiTheme="majorHAnsi" w:cs="Calibri"/>
                <w:bCs w:val="0"/>
                <w:i/>
                <w:color w:val="7F7F7F"/>
                <w:sz w:val="21"/>
                <w:szCs w:val="21"/>
                <w:lang w:val="sr-Cyrl-RS" w:eastAsia="sr-Latn-RS"/>
              </w:rPr>
              <w:t xml:space="preserve">  </w:t>
            </w:r>
            <w:r w:rsidR="00171A80" w:rsidRPr="00171A80">
              <w:rPr>
                <w:rFonts w:asciiTheme="majorHAnsi" w:hAnsiTheme="majorHAnsi" w:cs="Calibri"/>
                <w:bCs w:val="0"/>
                <w:i/>
                <w:color w:val="7F7F7F"/>
                <w:sz w:val="21"/>
                <w:szCs w:val="21"/>
                <w:lang w:val="sr-Cyrl-RS" w:eastAsia="sr-Latn-RS"/>
              </w:rPr>
              <w:t>Од чега Еврообвезница 2018</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83,1</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94,8</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Гарантован спољни дуг</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164,7</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213,5</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227,5</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220,9</w:t>
            </w:r>
          </w:p>
        </w:tc>
      </w:tr>
      <w:tr w:rsidR="00171A80" w:rsidRPr="00171A80" w:rsidTr="00F735A4">
        <w:trPr>
          <w:trHeight w:val="227"/>
          <w:jc w:val="center"/>
        </w:trPr>
        <w:tc>
          <w:tcPr>
            <w:tcW w:w="4716" w:type="dxa"/>
            <w:tcBorders>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Обавезе јединица локалне власти</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22,4</w:t>
            </w:r>
          </w:p>
        </w:tc>
        <w:tc>
          <w:tcPr>
            <w:tcW w:w="1131"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17</w:t>
            </w:r>
            <w:r w:rsidR="005D0C03">
              <w:rPr>
                <w:rFonts w:asciiTheme="majorHAnsi" w:hAnsiTheme="majorHAnsi" w:cs="Calibri"/>
                <w:bCs w:val="0"/>
                <w:color w:val="7F7F7F"/>
                <w:sz w:val="21"/>
                <w:szCs w:val="21"/>
                <w:lang w:val="sr-Cyrl-RS" w:eastAsia="sr-Latn-RS"/>
              </w:rPr>
              <w:t>,0</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15,8</w:t>
            </w:r>
          </w:p>
        </w:tc>
        <w:tc>
          <w:tcPr>
            <w:tcW w:w="1024" w:type="dxa"/>
            <w:tcBorders>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14,7</w:t>
            </w:r>
          </w:p>
        </w:tc>
      </w:tr>
      <w:tr w:rsidR="00171A80" w:rsidRPr="00171A80" w:rsidTr="00F735A4">
        <w:trPr>
          <w:trHeight w:val="227"/>
          <w:jc w:val="center"/>
        </w:trPr>
        <w:tc>
          <w:tcPr>
            <w:tcW w:w="4716"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Обавезе Фонда за развој и ЈП Путеви Србије</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6,8</w:t>
            </w:r>
          </w:p>
        </w:tc>
        <w:tc>
          <w:tcPr>
            <w:tcW w:w="1131"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7,4</w:t>
            </w:r>
          </w:p>
        </w:tc>
        <w:tc>
          <w:tcPr>
            <w:tcW w:w="102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2,9</w:t>
            </w:r>
          </w:p>
        </w:tc>
        <w:tc>
          <w:tcPr>
            <w:tcW w:w="1024" w:type="dxa"/>
            <w:tcBorders>
              <w:top w:val="nil"/>
              <w:left w:val="nil"/>
              <w:right w:val="nil"/>
            </w:tcBorders>
            <w:shd w:val="clear" w:color="000000" w:fill="EAF1DD" w:themeFill="accent3" w:themeFillTint="33"/>
            <w:noWrap/>
            <w:vAlign w:val="center"/>
            <w:hideMark/>
          </w:tcPr>
          <w:p w:rsidR="00171A80" w:rsidRPr="00171A80" w:rsidRDefault="005D0C03" w:rsidP="00171A80">
            <w:pPr>
              <w:spacing w:after="0"/>
              <w:ind w:firstLine="0"/>
              <w:jc w:val="right"/>
              <w:rPr>
                <w:rFonts w:asciiTheme="majorHAnsi" w:hAnsiTheme="majorHAnsi" w:cs="Calibri"/>
                <w:bCs w:val="0"/>
                <w:color w:val="7F7F7F"/>
                <w:sz w:val="21"/>
                <w:szCs w:val="21"/>
                <w:lang w:val="sr-Cyrl-RS" w:eastAsia="sr-Latn-RS"/>
              </w:rPr>
            </w:pPr>
            <w:r>
              <w:rPr>
                <w:rFonts w:asciiTheme="majorHAnsi" w:hAnsiTheme="majorHAnsi" w:cs="Calibri"/>
                <w:bCs w:val="0"/>
                <w:color w:val="7F7F7F"/>
                <w:sz w:val="21"/>
                <w:szCs w:val="21"/>
                <w:lang w:val="sr-Cyrl-RS" w:eastAsia="sr-Latn-RS"/>
              </w:rPr>
              <w:t>-</w:t>
            </w:r>
          </w:p>
        </w:tc>
      </w:tr>
      <w:tr w:rsidR="00171A80" w:rsidRPr="00171A80" w:rsidTr="00F735A4">
        <w:trPr>
          <w:trHeight w:val="227"/>
          <w:jc w:val="center"/>
        </w:trPr>
        <w:tc>
          <w:tcPr>
            <w:tcW w:w="4716" w:type="dxa"/>
            <w:tcBorders>
              <w:left w:val="nil"/>
              <w:bottom w:val="single" w:sz="8" w:space="0" w:color="76923C" w:themeColor="accent3" w:themeShade="BF"/>
              <w:right w:val="nil"/>
            </w:tcBorders>
            <w:shd w:val="clear" w:color="000000" w:fill="FFFFFF"/>
            <w:noWrap/>
            <w:vAlign w:val="center"/>
            <w:hideMark/>
          </w:tcPr>
          <w:p w:rsidR="00171A80" w:rsidRPr="00171A80" w:rsidRDefault="00171A80" w:rsidP="00171A80">
            <w:pPr>
              <w:spacing w:after="0"/>
              <w:ind w:firstLine="0"/>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Укупан спољни јавни дуг</w:t>
            </w:r>
          </w:p>
        </w:tc>
        <w:tc>
          <w:tcPr>
            <w:tcW w:w="1131" w:type="dxa"/>
            <w:tcBorders>
              <w:left w:val="nil"/>
              <w:bottom w:val="single" w:sz="8" w:space="0" w:color="76923C" w:themeColor="accent3" w:themeShade="BF"/>
              <w:right w:val="nil"/>
            </w:tcBorders>
            <w:shd w:val="clear" w:color="000000" w:fill="FFFFFF"/>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951,3</w:t>
            </w:r>
          </w:p>
        </w:tc>
        <w:tc>
          <w:tcPr>
            <w:tcW w:w="1131" w:type="dxa"/>
            <w:tcBorders>
              <w:left w:val="nil"/>
              <w:bottom w:val="single" w:sz="8" w:space="0" w:color="76923C" w:themeColor="accent3" w:themeShade="BF"/>
              <w:right w:val="nil"/>
            </w:tcBorders>
            <w:shd w:val="clear" w:color="000000" w:fill="FFFFFF"/>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1.218,3</w:t>
            </w:r>
          </w:p>
        </w:tc>
        <w:tc>
          <w:tcPr>
            <w:tcW w:w="1024" w:type="dxa"/>
            <w:tcBorders>
              <w:left w:val="nil"/>
              <w:bottom w:val="single" w:sz="8" w:space="0" w:color="76923C" w:themeColor="accent3" w:themeShade="BF"/>
              <w:right w:val="nil"/>
            </w:tcBorders>
            <w:shd w:val="clear" w:color="000000" w:fill="FFFFFF"/>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1.420,7</w:t>
            </w:r>
          </w:p>
        </w:tc>
        <w:tc>
          <w:tcPr>
            <w:tcW w:w="1024" w:type="dxa"/>
            <w:tcBorders>
              <w:left w:val="nil"/>
              <w:bottom w:val="single" w:sz="8" w:space="0" w:color="76923C" w:themeColor="accent3" w:themeShade="BF"/>
              <w:right w:val="nil"/>
            </w:tcBorders>
            <w:shd w:val="clear" w:color="000000" w:fill="FFFFFF"/>
            <w:noWrap/>
            <w:vAlign w:val="center"/>
            <w:hideMark/>
          </w:tcPr>
          <w:p w:rsidR="00171A80" w:rsidRPr="00171A80" w:rsidRDefault="00171A80" w:rsidP="00171A80">
            <w:pPr>
              <w:spacing w:after="0"/>
              <w:ind w:firstLine="0"/>
              <w:jc w:val="right"/>
              <w:rPr>
                <w:rFonts w:asciiTheme="majorHAnsi" w:hAnsiTheme="majorHAnsi" w:cs="Calibri"/>
                <w:bCs w:val="0"/>
                <w:color w:val="7F7F7F"/>
                <w:sz w:val="21"/>
                <w:szCs w:val="21"/>
                <w:lang w:val="sr-Cyrl-RS" w:eastAsia="sr-Latn-RS"/>
              </w:rPr>
            </w:pPr>
            <w:r w:rsidRPr="00171A80">
              <w:rPr>
                <w:rFonts w:asciiTheme="majorHAnsi" w:hAnsiTheme="majorHAnsi" w:cs="Calibri"/>
                <w:bCs w:val="0"/>
                <w:color w:val="7F7F7F"/>
                <w:sz w:val="21"/>
                <w:szCs w:val="21"/>
                <w:lang w:val="sr-Cyrl-RS" w:eastAsia="sr-Latn-RS"/>
              </w:rPr>
              <w:t>1.616,3</w:t>
            </w:r>
          </w:p>
        </w:tc>
      </w:tr>
    </w:tbl>
    <w:p w:rsidR="002F31FA" w:rsidRPr="002F31FA" w:rsidRDefault="002F31FA" w:rsidP="00DA4377">
      <w:pPr>
        <w:spacing w:before="120"/>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На крају 2013. године, дуг према мултилатералним повериоцима износио је 4,8 млрд евра (551,2 млрд динара), односно 23,3% укупног јавног дуга, у односу на 5,2 млрд евра (588,9 млрд динара), односно 28,5% укупног јавног дуга у 2012. години. Дуг према повериоцима Париског клуба на крају 2013. године износио је 1,4 млрд евра (157,1 млрд динара) или 6,6% укупног јавног дуга, у односу на 1,5 млрд евра (167,8 млрд динара) или 8,1% укупног јавног дуга у 2012. години. Дуг према Лондонском клубу поверилаца износио је на крају 2013. године 294,8 милиона евра (33,8 млрд динара), односно 1,4% укупног јавног дуга. Током априла 2013. године Министарство финансија је извршило превремену отплату дуга према Лондонском клубу поверилаца у износу од 400 мил. америчких долара у циљу смањења трошкова задуживања по основу раније уговорених кредитних задужења и/или емитованих хартија од вредности.</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 xml:space="preserve">На дан 31. октобар 2014. године дуг према повериоцима Париског клуба износио је 1,35 млрд евра (161,0 млрд динара). ИБРД кредити износили су 1,43 млрд евра (170,7 млрд динара), дуг према Лондонском клубу поверилаца, износио је 293,8 мил. евра (35,0 млрд динара), билатерални кредити износили су 2,2 млрд евра (256,6 млрд динара). ИДА кредити износили су 474,5 мил. евра (56,5 млрд динара), кредит ММФ износио је 457,6 мил. евра (54,5 млрд динара), док су кредити Европске инвестиционе банке износили 706,1 мил. евра (84,1 млрд динара). </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 xml:space="preserve">У септембру 2011. године Република Србија је први пут емитовала еврообвезницу на међународном финансијском тржишту номиналне вредности 1 млрд америчких долара. Услови под којима је емитована ова обвезница су купон 7,25% и стопа приноса до рока доспећа 7,50%. Министарство финансија је у септембру 2012. године извршило реотварање емисије </w:t>
      </w:r>
      <w:r w:rsidRPr="002F31FA">
        <w:rPr>
          <w:rFonts w:asciiTheme="majorHAnsi" w:hAnsiTheme="majorHAnsi"/>
          <w:bCs w:val="0"/>
          <w:color w:val="7F7F7F" w:themeColor="text1" w:themeTint="80"/>
          <w:kern w:val="20"/>
          <w:sz w:val="21"/>
          <w:szCs w:val="21"/>
          <w:lang w:val="sr-Cyrl-RS" w:eastAsia="ko-KR"/>
        </w:rPr>
        <w:lastRenderedPageBreak/>
        <w:t>еврообвезница серије 2021, из 2011. године, у износу од 1,0 милијарде америчких долара и остварило разлику у односу на захтевану стопу приноса из примарне емисије од 87,5 базних поена, пресецањем стопе приноса на нивоу од 6,625%, чиме су еврообвезнице Републике Србије продате уз премију.</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После успешног реотварања еврообвезница серије 2021, Република Србија је изашла на међународно тржиште дужничких инструмената са емисијом петогодишњих еврообвезница 14. новембра 2012. године у износу од 750 мил. америчких долара. Трансакција је најављена у иницијалном износу од 500 мил. америчких долара са индикативним приносом од 5,625%. Међутим, велико интересовање предвођено инвеститорима из Сједињених Америчких Држава и Уједињеног Краљевства допринело је да укупна тражња, буде на нивоу од 3,7 млрд америчких долара, што је омогућило да се повећа емисија на 750 мил. америчких долара и реализује по стопи приноса од 5,45%.</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Дана 14. фебруара 2013. године Република Србија је остварила најуспешнију емисију еврообвезница. У трговању српским еврообвезницама учествовало je 148 финансијских инвеститора из читавог света. Тражња је била три пута већа од износа који је држава нудила на продају. Највише инвеститора је било из САД, Велике Британије и Уједињених Арапских Емирата. Обим продаје еврообвезница износио је 1,5 млрд америчких долара, са купонском стопом од 4,875% и роком доспећа од 7 година. Стопа приноса коју су инвеститори остварили на аукцији износила је 5,15%. Ова продаја еврообвезница обављена је у складу са планираним активностима Владе за обезбеђење финансијске стабилности у 2013. години. Један део прикупљених средстава је искоришћен за превремену отплату ,,скупих” кредита које је држава узимала током претходних година. У односу на прву продају српских еврообвезница из септембра 2011. године, када је остварена стопа приноса од 7,50%, емисијом седмогодишњих еврообвезница постигнута је много повољнија цена, jeр је стопа приноса за чак 2,35 п.п. нижа.</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Спред у моменту емитовања седмогодишњих еврообвезница у односу на америчку бенчмарк обвезницу био је 378,4 базна поена, 107 базних поена нижи спред у односу на емисију еврообвезница мање рочности серије 2017 из новембра 2012. године.</w:t>
      </w:r>
    </w:p>
    <w:p w:rsidR="002F31FA" w:rsidRPr="002F31FA"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Дана 21. новембра 2013. године, извршено је пето емитовање еврообвезнице Републике Србије на међународном финансијском тржишту. Преко 140 глобалних инвеститора изразило је интeресовање за новом еврообвезницом Републике Србије. Tражња је била преко пет пута већа од иницијално планираног износа емисије, који је држава понудила на продају, а преко два и по пута већа од реализованог износа емисије. Највише инвеститора је било из САД, Велике Британије, Данске и осталих европских земаља.</w:t>
      </w:r>
    </w:p>
    <w:p w:rsidR="00171A80" w:rsidRPr="00171A80" w:rsidRDefault="002F31FA" w:rsidP="002F31FA">
      <w:pPr>
        <w:rPr>
          <w:rFonts w:asciiTheme="majorHAnsi" w:hAnsiTheme="majorHAnsi"/>
          <w:bCs w:val="0"/>
          <w:color w:val="7F7F7F" w:themeColor="text1" w:themeTint="80"/>
          <w:kern w:val="20"/>
          <w:sz w:val="21"/>
          <w:szCs w:val="21"/>
          <w:lang w:val="sr-Cyrl-RS" w:eastAsia="ko-KR"/>
        </w:rPr>
      </w:pPr>
      <w:r w:rsidRPr="002F31FA">
        <w:rPr>
          <w:rFonts w:asciiTheme="majorHAnsi" w:hAnsiTheme="majorHAnsi"/>
          <w:bCs w:val="0"/>
          <w:color w:val="7F7F7F" w:themeColor="text1" w:themeTint="80"/>
          <w:kern w:val="20"/>
          <w:sz w:val="21"/>
          <w:szCs w:val="21"/>
          <w:lang w:val="sr-Cyrl-RS" w:eastAsia="ko-KR"/>
        </w:rPr>
        <w:t xml:space="preserve">Еврообвезница Србија 2018 емитована је у износу од једне милијарде америчких долара са купоном 5,875 одсто и роком доспећа од </w:t>
      </w:r>
      <w:r w:rsidR="001044A0">
        <w:rPr>
          <w:rFonts w:asciiTheme="majorHAnsi" w:hAnsiTheme="majorHAnsi"/>
          <w:bCs w:val="0"/>
          <w:color w:val="7F7F7F" w:themeColor="text1" w:themeTint="80"/>
          <w:kern w:val="20"/>
          <w:sz w:val="21"/>
          <w:szCs w:val="21"/>
          <w:lang w:val="sr-Cyrl-RS" w:eastAsia="ko-KR"/>
        </w:rPr>
        <w:t>пет</w:t>
      </w:r>
      <w:r w:rsidRPr="002F31FA">
        <w:rPr>
          <w:rFonts w:asciiTheme="majorHAnsi" w:hAnsiTheme="majorHAnsi"/>
          <w:bCs w:val="0"/>
          <w:color w:val="7F7F7F" w:themeColor="text1" w:themeTint="80"/>
          <w:kern w:val="20"/>
          <w:sz w:val="21"/>
          <w:szCs w:val="21"/>
          <w:lang w:val="sr-Cyrl-RS" w:eastAsia="ko-KR"/>
        </w:rPr>
        <w:t xml:space="preserve"> година. Принос који су остварили инвеститори на аукцији износио је 6,125 одсто</w:t>
      </w:r>
      <w:r w:rsidR="00171A80" w:rsidRPr="00171A80">
        <w:rPr>
          <w:rFonts w:asciiTheme="majorHAnsi" w:hAnsiTheme="majorHAnsi"/>
          <w:bCs w:val="0"/>
          <w:color w:val="7F7F7F" w:themeColor="text1" w:themeTint="80"/>
          <w:kern w:val="20"/>
          <w:sz w:val="21"/>
          <w:szCs w:val="21"/>
          <w:lang w:val="sr-Cyrl-RS" w:eastAsia="ko-KR"/>
        </w:rPr>
        <w:t>.</w:t>
      </w:r>
    </w:p>
    <w:p w:rsidR="00171A80" w:rsidRPr="00171A80" w:rsidRDefault="00171A80" w:rsidP="00171A80">
      <w:pPr>
        <w:spacing w:after="0"/>
        <w:ind w:firstLine="0"/>
        <w:rPr>
          <w:rFonts w:asciiTheme="majorHAnsi" w:hAnsiTheme="majorHAnsi"/>
          <w:bCs w:val="0"/>
          <w:color w:val="7F7F7F" w:themeColor="text1" w:themeTint="80"/>
          <w:sz w:val="21"/>
          <w:szCs w:val="21"/>
          <w:lang w:val="sr-Cyrl-RS"/>
        </w:rPr>
      </w:pPr>
    </w:p>
    <w:p w:rsidR="009123E8" w:rsidRDefault="009123E8">
      <w:pPr>
        <w:spacing w:after="0"/>
        <w:ind w:firstLine="0"/>
        <w:jc w:val="left"/>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br w:type="page"/>
      </w:r>
    </w:p>
    <w:p w:rsidR="00171A80" w:rsidRPr="00171A80" w:rsidRDefault="009123E8" w:rsidP="00D05B1D">
      <w:pPr>
        <w:spacing w:after="0"/>
        <w:ind w:firstLine="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lastRenderedPageBreak/>
        <w:t>Графикон 17</w:t>
      </w:r>
      <w:r w:rsidR="00171A80" w:rsidRPr="00171A80">
        <w:rPr>
          <w:rFonts w:asciiTheme="majorHAnsi" w:hAnsiTheme="majorHAnsi"/>
          <w:b/>
          <w:bCs w:val="0"/>
          <w:color w:val="7F7F7F" w:themeColor="text1" w:themeTint="80"/>
          <w:sz w:val="21"/>
          <w:szCs w:val="21"/>
          <w:lang w:val="sr-Cyrl-RS"/>
        </w:rPr>
        <w:t>. Кретање цене и приноса Еврообвезнице 2021 Републике Србије у периоду од</w:t>
      </w:r>
      <w:r w:rsidR="00BC3631">
        <w:rPr>
          <w:rFonts w:asciiTheme="majorHAnsi" w:hAnsiTheme="majorHAnsi"/>
          <w:b/>
          <w:bCs w:val="0"/>
          <w:color w:val="7F7F7F" w:themeColor="text1" w:themeTint="80"/>
          <w:sz w:val="21"/>
          <w:szCs w:val="21"/>
          <w:lang w:val="sr-Cyrl-RS"/>
        </w:rPr>
        <w:t xml:space="preserve"> </w:t>
      </w:r>
      <w:r w:rsidR="00171A80" w:rsidRPr="00171A80">
        <w:rPr>
          <w:rFonts w:asciiTheme="majorHAnsi" w:hAnsiTheme="majorHAnsi"/>
          <w:b/>
          <w:bCs w:val="0"/>
          <w:color w:val="7F7F7F" w:themeColor="text1" w:themeTint="80"/>
          <w:sz w:val="21"/>
          <w:szCs w:val="21"/>
          <w:lang w:val="sr-Cyrl-RS"/>
        </w:rPr>
        <w:t>дана емитовања до 31. октобра 2014. године</w:t>
      </w:r>
    </w:p>
    <w:p w:rsidR="00171A80" w:rsidRPr="00171A80" w:rsidRDefault="00171A80" w:rsidP="00171A80">
      <w:pPr>
        <w:spacing w:after="0"/>
        <w:ind w:firstLine="0"/>
        <w:rPr>
          <w:rFonts w:asciiTheme="majorHAnsi" w:hAnsiTheme="majorHAnsi"/>
          <w:bCs w:val="0"/>
          <w:color w:val="7F7F7F" w:themeColor="text1" w:themeTint="80"/>
          <w:sz w:val="21"/>
          <w:szCs w:val="21"/>
          <w:lang w:val="sr-Cyrl-RS"/>
        </w:rPr>
      </w:pPr>
    </w:p>
    <w:p w:rsidR="00171A80" w:rsidRPr="00171A80" w:rsidRDefault="00171A80" w:rsidP="00171A80">
      <w:pPr>
        <w:spacing w:after="0"/>
        <w:ind w:firstLine="0"/>
        <w:jc w:val="center"/>
        <w:rPr>
          <w:rFonts w:asciiTheme="majorHAnsi" w:hAnsiTheme="majorHAnsi"/>
          <w:bCs w:val="0"/>
          <w:sz w:val="21"/>
          <w:szCs w:val="21"/>
          <w:lang w:val="sr-Cyrl-RS"/>
        </w:rPr>
      </w:pPr>
      <w:r w:rsidRPr="00171A80">
        <w:rPr>
          <w:rFonts w:asciiTheme="majorHAnsi" w:hAnsiTheme="majorHAnsi"/>
          <w:bCs w:val="0"/>
          <w:noProof/>
          <w:sz w:val="21"/>
          <w:szCs w:val="21"/>
          <w:lang w:val="en-US"/>
        </w:rPr>
        <w:drawing>
          <wp:inline distT="0" distB="0" distL="0" distR="0" wp14:anchorId="76E68E3B" wp14:editId="05EB6E8A">
            <wp:extent cx="5680609" cy="3350103"/>
            <wp:effectExtent l="0" t="0" r="0" b="3175"/>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1A80" w:rsidRPr="00171A80" w:rsidRDefault="00171A80" w:rsidP="00171A80">
      <w:pPr>
        <w:spacing w:after="0"/>
        <w:ind w:firstLine="0"/>
        <w:jc w:val="left"/>
        <w:rPr>
          <w:rFonts w:asciiTheme="majorHAnsi" w:hAnsiTheme="majorHAnsi"/>
          <w:bCs w:val="0"/>
          <w:color w:val="7F7F7F" w:themeColor="text1" w:themeTint="80"/>
          <w:sz w:val="21"/>
          <w:szCs w:val="21"/>
          <w:lang w:val="sr-Cyrl-RS"/>
        </w:rPr>
      </w:pPr>
    </w:p>
    <w:p w:rsidR="00171A80" w:rsidRPr="00171A80" w:rsidRDefault="00171A80" w:rsidP="00D05B1D">
      <w:pPr>
        <w:spacing w:after="0"/>
        <w:ind w:firstLine="0"/>
        <w:jc w:val="center"/>
        <w:rPr>
          <w:rFonts w:asciiTheme="majorHAnsi" w:hAnsiTheme="majorHAnsi"/>
          <w:b/>
          <w:bCs w:val="0"/>
          <w:color w:val="7F7F7F" w:themeColor="text1" w:themeTint="80"/>
          <w:sz w:val="21"/>
          <w:szCs w:val="21"/>
          <w:lang w:val="sr-Cyrl-RS"/>
        </w:rPr>
      </w:pPr>
      <w:r w:rsidRPr="00171A80">
        <w:rPr>
          <w:rFonts w:asciiTheme="majorHAnsi" w:hAnsiTheme="majorHAnsi"/>
          <w:b/>
          <w:bCs w:val="0"/>
          <w:color w:val="7F7F7F" w:themeColor="text1" w:themeTint="80"/>
          <w:sz w:val="21"/>
          <w:szCs w:val="21"/>
          <w:lang w:val="sr-Cyrl-RS"/>
        </w:rPr>
        <w:t>Графикон</w:t>
      </w:r>
      <w:r w:rsidR="00700CEC">
        <w:rPr>
          <w:rFonts w:asciiTheme="majorHAnsi" w:hAnsiTheme="majorHAnsi"/>
          <w:b/>
          <w:bCs w:val="0"/>
          <w:color w:val="7F7F7F" w:themeColor="text1" w:themeTint="80"/>
          <w:sz w:val="21"/>
          <w:szCs w:val="21"/>
          <w:lang w:val="sr-Cyrl-RS"/>
        </w:rPr>
        <w:t xml:space="preserve"> </w:t>
      </w:r>
      <w:r w:rsidR="009123E8">
        <w:rPr>
          <w:rFonts w:asciiTheme="majorHAnsi" w:hAnsiTheme="majorHAnsi"/>
          <w:b/>
          <w:bCs w:val="0"/>
          <w:color w:val="7F7F7F" w:themeColor="text1" w:themeTint="80"/>
          <w:sz w:val="21"/>
          <w:szCs w:val="21"/>
          <w:lang w:val="sr-Cyrl-RS"/>
        </w:rPr>
        <w:t>18</w:t>
      </w:r>
      <w:r w:rsidRPr="00171A80">
        <w:rPr>
          <w:rFonts w:asciiTheme="majorHAnsi" w:hAnsiTheme="majorHAnsi"/>
          <w:b/>
          <w:bCs w:val="0"/>
          <w:color w:val="7F7F7F" w:themeColor="text1" w:themeTint="80"/>
          <w:sz w:val="21"/>
          <w:szCs w:val="21"/>
          <w:lang w:val="sr-Cyrl-RS"/>
        </w:rPr>
        <w:t>. Кретање цене и приноса Еврообвезнице 2017 Републике Србије у периоду од</w:t>
      </w:r>
      <w:r w:rsidR="00BC3631">
        <w:rPr>
          <w:rFonts w:asciiTheme="majorHAnsi" w:hAnsiTheme="majorHAnsi"/>
          <w:b/>
          <w:bCs w:val="0"/>
          <w:color w:val="7F7F7F" w:themeColor="text1" w:themeTint="80"/>
          <w:sz w:val="21"/>
          <w:szCs w:val="21"/>
          <w:lang w:val="sr-Cyrl-RS"/>
        </w:rPr>
        <w:t xml:space="preserve"> </w:t>
      </w:r>
      <w:r w:rsidRPr="00171A80">
        <w:rPr>
          <w:rFonts w:asciiTheme="majorHAnsi" w:hAnsiTheme="majorHAnsi"/>
          <w:b/>
          <w:bCs w:val="0"/>
          <w:color w:val="7F7F7F" w:themeColor="text1" w:themeTint="80"/>
          <w:sz w:val="21"/>
          <w:szCs w:val="21"/>
          <w:lang w:val="sr-Cyrl-RS"/>
        </w:rPr>
        <w:t>дана емитовања до 31. октобра 2014. године</w:t>
      </w:r>
    </w:p>
    <w:p w:rsidR="00171A80" w:rsidRPr="00171A80" w:rsidRDefault="00171A80" w:rsidP="00171A80">
      <w:pPr>
        <w:spacing w:after="0"/>
        <w:ind w:firstLine="0"/>
        <w:jc w:val="left"/>
        <w:rPr>
          <w:rFonts w:asciiTheme="majorHAnsi" w:hAnsiTheme="majorHAnsi"/>
          <w:b/>
          <w:bCs w:val="0"/>
          <w:color w:val="7F7F7F" w:themeColor="text1" w:themeTint="80"/>
          <w:sz w:val="21"/>
          <w:szCs w:val="21"/>
          <w:lang w:val="sr-Cyrl-RS"/>
        </w:rPr>
      </w:pPr>
    </w:p>
    <w:p w:rsidR="00171A80" w:rsidRPr="00171A80" w:rsidRDefault="00171A80" w:rsidP="00171A80">
      <w:pPr>
        <w:spacing w:after="0"/>
        <w:ind w:firstLine="0"/>
        <w:rPr>
          <w:rFonts w:asciiTheme="majorHAnsi" w:hAnsiTheme="majorHAnsi"/>
          <w:bCs w:val="0"/>
          <w:sz w:val="21"/>
          <w:szCs w:val="21"/>
          <w:lang w:val="sr-Cyrl-RS"/>
        </w:rPr>
      </w:pPr>
      <w:r w:rsidRPr="00171A80">
        <w:rPr>
          <w:rFonts w:asciiTheme="majorHAnsi" w:hAnsiTheme="majorHAnsi"/>
          <w:bCs w:val="0"/>
          <w:noProof/>
          <w:color w:val="4F6228"/>
          <w:sz w:val="21"/>
          <w:szCs w:val="21"/>
          <w:lang w:val="en-US"/>
        </w:rPr>
        <w:drawing>
          <wp:inline distT="0" distB="0" distL="0" distR="0" wp14:anchorId="33FC5669" wp14:editId="728BCF69">
            <wp:extent cx="5704885" cy="3592863"/>
            <wp:effectExtent l="0" t="0" r="0" b="762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23E8" w:rsidRDefault="009123E8" w:rsidP="00171A80">
      <w:pPr>
        <w:spacing w:after="0"/>
        <w:ind w:firstLine="0"/>
        <w:rPr>
          <w:rFonts w:asciiTheme="majorHAnsi" w:hAnsiTheme="majorHAnsi"/>
          <w:b/>
          <w:bCs w:val="0"/>
          <w:color w:val="7F7F7F" w:themeColor="text1" w:themeTint="80"/>
          <w:sz w:val="21"/>
          <w:szCs w:val="21"/>
          <w:lang w:val="sr-Cyrl-RS"/>
        </w:rPr>
      </w:pPr>
    </w:p>
    <w:p w:rsidR="009123E8" w:rsidRDefault="009123E8" w:rsidP="00171A80">
      <w:pPr>
        <w:spacing w:after="0"/>
        <w:ind w:firstLine="0"/>
        <w:rPr>
          <w:rFonts w:asciiTheme="majorHAnsi" w:hAnsiTheme="majorHAnsi"/>
          <w:b/>
          <w:bCs w:val="0"/>
          <w:color w:val="7F7F7F" w:themeColor="text1" w:themeTint="80"/>
          <w:sz w:val="21"/>
          <w:szCs w:val="21"/>
          <w:lang w:val="sr-Cyrl-RS"/>
        </w:rPr>
      </w:pPr>
    </w:p>
    <w:p w:rsidR="009123E8" w:rsidRDefault="009123E8" w:rsidP="00171A80">
      <w:pPr>
        <w:spacing w:after="0"/>
        <w:ind w:firstLine="0"/>
        <w:rPr>
          <w:rFonts w:asciiTheme="majorHAnsi" w:hAnsiTheme="majorHAnsi"/>
          <w:b/>
          <w:bCs w:val="0"/>
          <w:color w:val="7F7F7F" w:themeColor="text1" w:themeTint="80"/>
          <w:sz w:val="21"/>
          <w:szCs w:val="21"/>
          <w:lang w:val="sr-Cyrl-RS"/>
        </w:rPr>
      </w:pPr>
    </w:p>
    <w:p w:rsidR="00171A80" w:rsidRPr="00171A80" w:rsidRDefault="00171A80" w:rsidP="00D05B1D">
      <w:pPr>
        <w:spacing w:after="0"/>
        <w:ind w:firstLine="0"/>
        <w:jc w:val="center"/>
        <w:rPr>
          <w:rFonts w:asciiTheme="majorHAnsi" w:hAnsiTheme="majorHAnsi"/>
          <w:b/>
          <w:bCs w:val="0"/>
          <w:color w:val="7F7F7F" w:themeColor="text1" w:themeTint="80"/>
          <w:sz w:val="21"/>
          <w:szCs w:val="21"/>
          <w:lang w:val="sr-Cyrl-RS"/>
        </w:rPr>
      </w:pPr>
      <w:r w:rsidRPr="00171A80">
        <w:rPr>
          <w:rFonts w:asciiTheme="majorHAnsi" w:hAnsiTheme="majorHAnsi"/>
          <w:b/>
          <w:bCs w:val="0"/>
          <w:color w:val="7F7F7F" w:themeColor="text1" w:themeTint="80"/>
          <w:sz w:val="21"/>
          <w:szCs w:val="21"/>
          <w:lang w:val="sr-Cyrl-RS"/>
        </w:rPr>
        <w:lastRenderedPageBreak/>
        <w:t xml:space="preserve">Графикон </w:t>
      </w:r>
      <w:r w:rsidR="009123E8">
        <w:rPr>
          <w:rFonts w:asciiTheme="majorHAnsi" w:hAnsiTheme="majorHAnsi"/>
          <w:b/>
          <w:bCs w:val="0"/>
          <w:color w:val="7F7F7F" w:themeColor="text1" w:themeTint="80"/>
          <w:sz w:val="21"/>
          <w:szCs w:val="21"/>
          <w:lang w:val="sr-Cyrl-RS"/>
        </w:rPr>
        <w:t>19</w:t>
      </w:r>
      <w:r w:rsidRPr="00171A80">
        <w:rPr>
          <w:rFonts w:asciiTheme="majorHAnsi" w:hAnsiTheme="majorHAnsi"/>
          <w:b/>
          <w:bCs w:val="0"/>
          <w:color w:val="7F7F7F" w:themeColor="text1" w:themeTint="80"/>
          <w:sz w:val="21"/>
          <w:szCs w:val="21"/>
          <w:lang w:val="sr-Cyrl-RS"/>
        </w:rPr>
        <w:t>. Кретање цене и приноса Еврообвезнице 2020 Републике Србије у периоду од</w:t>
      </w:r>
      <w:r w:rsidR="00BC3631">
        <w:rPr>
          <w:rFonts w:asciiTheme="majorHAnsi" w:hAnsiTheme="majorHAnsi"/>
          <w:b/>
          <w:bCs w:val="0"/>
          <w:color w:val="7F7F7F" w:themeColor="text1" w:themeTint="80"/>
          <w:sz w:val="21"/>
          <w:szCs w:val="21"/>
          <w:lang w:val="sr-Cyrl-RS"/>
        </w:rPr>
        <w:t xml:space="preserve"> </w:t>
      </w:r>
      <w:r w:rsidRPr="00171A80">
        <w:rPr>
          <w:rFonts w:asciiTheme="majorHAnsi" w:hAnsiTheme="majorHAnsi"/>
          <w:b/>
          <w:bCs w:val="0"/>
          <w:color w:val="7F7F7F" w:themeColor="text1" w:themeTint="80"/>
          <w:sz w:val="21"/>
          <w:szCs w:val="21"/>
          <w:lang w:val="sr-Cyrl-RS"/>
        </w:rPr>
        <w:t>дана емитовања до 31. октобра 2014. године</w:t>
      </w:r>
    </w:p>
    <w:p w:rsidR="00171A80" w:rsidRPr="00171A80" w:rsidRDefault="00171A80" w:rsidP="00171A80">
      <w:pPr>
        <w:spacing w:after="0"/>
        <w:ind w:firstLine="0"/>
        <w:rPr>
          <w:rFonts w:asciiTheme="majorHAnsi" w:hAnsiTheme="majorHAnsi"/>
          <w:bCs w:val="0"/>
          <w:color w:val="7F7F7F" w:themeColor="text1" w:themeTint="80"/>
          <w:sz w:val="21"/>
          <w:szCs w:val="21"/>
          <w:lang w:val="sr-Cyrl-RS"/>
        </w:rPr>
      </w:pPr>
    </w:p>
    <w:p w:rsidR="00171A80" w:rsidRPr="00171A80" w:rsidRDefault="00171A80" w:rsidP="00171A80">
      <w:pPr>
        <w:spacing w:after="0"/>
        <w:ind w:firstLine="0"/>
        <w:rPr>
          <w:rFonts w:asciiTheme="majorHAnsi" w:hAnsiTheme="majorHAnsi"/>
          <w:noProof/>
          <w:sz w:val="21"/>
          <w:szCs w:val="21"/>
          <w:lang w:val="sr-Cyrl-RS"/>
        </w:rPr>
      </w:pPr>
      <w:r w:rsidRPr="00171A80">
        <w:rPr>
          <w:rFonts w:asciiTheme="majorHAnsi" w:hAnsiTheme="majorHAnsi"/>
          <w:noProof/>
          <w:color w:val="4F6228"/>
          <w:sz w:val="21"/>
          <w:szCs w:val="21"/>
          <w:lang w:val="en-US"/>
        </w:rPr>
        <w:drawing>
          <wp:inline distT="0" distB="0" distL="0" distR="0" wp14:anchorId="78A0E41B" wp14:editId="4F5BCE7A">
            <wp:extent cx="5712977" cy="3228722"/>
            <wp:effectExtent l="0" t="0" r="254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71A80" w:rsidRPr="00171A80" w:rsidRDefault="00171A80" w:rsidP="00D05B1D">
      <w:pPr>
        <w:spacing w:after="0"/>
        <w:ind w:firstLine="0"/>
        <w:jc w:val="center"/>
        <w:rPr>
          <w:rFonts w:asciiTheme="majorHAnsi" w:hAnsiTheme="majorHAnsi"/>
          <w:b/>
          <w:bCs w:val="0"/>
          <w:color w:val="7F7F7F" w:themeColor="text1" w:themeTint="80"/>
          <w:sz w:val="21"/>
          <w:szCs w:val="21"/>
          <w:lang w:val="sr-Cyrl-RS"/>
        </w:rPr>
      </w:pPr>
      <w:r w:rsidRPr="00171A80">
        <w:rPr>
          <w:rFonts w:asciiTheme="majorHAnsi" w:hAnsiTheme="majorHAnsi"/>
          <w:b/>
          <w:bCs w:val="0"/>
          <w:color w:val="7F7F7F" w:themeColor="text1" w:themeTint="80"/>
          <w:sz w:val="21"/>
          <w:szCs w:val="21"/>
          <w:lang w:val="sr-Cyrl-RS"/>
        </w:rPr>
        <w:t xml:space="preserve">Графикон </w:t>
      </w:r>
      <w:r w:rsidR="009123E8">
        <w:rPr>
          <w:rFonts w:asciiTheme="majorHAnsi" w:hAnsiTheme="majorHAnsi"/>
          <w:b/>
          <w:bCs w:val="0"/>
          <w:color w:val="7F7F7F" w:themeColor="text1" w:themeTint="80"/>
          <w:sz w:val="21"/>
          <w:szCs w:val="21"/>
          <w:lang w:val="sr-Cyrl-RS"/>
        </w:rPr>
        <w:t>20</w:t>
      </w:r>
      <w:r w:rsidRPr="00171A80">
        <w:rPr>
          <w:rFonts w:asciiTheme="majorHAnsi" w:hAnsiTheme="majorHAnsi"/>
          <w:b/>
          <w:bCs w:val="0"/>
          <w:color w:val="7F7F7F" w:themeColor="text1" w:themeTint="80"/>
          <w:sz w:val="21"/>
          <w:szCs w:val="21"/>
          <w:lang w:val="sr-Cyrl-RS"/>
        </w:rPr>
        <w:t>. Кретање цене и приноса Еврообвезнице 2018 Републике Србије у периоду од</w:t>
      </w:r>
      <w:r w:rsidR="00BC3631">
        <w:rPr>
          <w:rFonts w:asciiTheme="majorHAnsi" w:hAnsiTheme="majorHAnsi"/>
          <w:b/>
          <w:bCs w:val="0"/>
          <w:color w:val="7F7F7F" w:themeColor="text1" w:themeTint="80"/>
          <w:sz w:val="21"/>
          <w:szCs w:val="21"/>
          <w:lang w:val="sr-Cyrl-RS"/>
        </w:rPr>
        <w:t xml:space="preserve"> </w:t>
      </w:r>
      <w:r w:rsidRPr="00171A80">
        <w:rPr>
          <w:rFonts w:asciiTheme="majorHAnsi" w:hAnsiTheme="majorHAnsi"/>
          <w:b/>
          <w:bCs w:val="0"/>
          <w:color w:val="7F7F7F" w:themeColor="text1" w:themeTint="80"/>
          <w:sz w:val="21"/>
          <w:szCs w:val="21"/>
          <w:lang w:val="sr-Cyrl-RS"/>
        </w:rPr>
        <w:t>дана емитовања до 31. октобра 2014. године</w:t>
      </w:r>
    </w:p>
    <w:p w:rsidR="00171A80" w:rsidRPr="00171A80" w:rsidRDefault="00171A80" w:rsidP="00171A80">
      <w:pPr>
        <w:spacing w:after="0"/>
        <w:ind w:firstLine="0"/>
        <w:rPr>
          <w:rFonts w:asciiTheme="majorHAnsi" w:hAnsiTheme="majorHAnsi"/>
          <w:noProof/>
          <w:sz w:val="21"/>
          <w:szCs w:val="21"/>
          <w:lang w:val="sr-Cyrl-RS"/>
        </w:rPr>
      </w:pPr>
    </w:p>
    <w:p w:rsidR="00171A80" w:rsidRPr="00171A80" w:rsidRDefault="00360C7B" w:rsidP="00171A80">
      <w:pPr>
        <w:spacing w:after="0"/>
        <w:ind w:firstLine="0"/>
        <w:rPr>
          <w:rFonts w:asciiTheme="majorHAnsi" w:hAnsiTheme="majorHAnsi"/>
          <w:noProof/>
          <w:sz w:val="21"/>
          <w:szCs w:val="21"/>
          <w:lang w:val="sr-Cyrl-RS"/>
        </w:rPr>
      </w:pPr>
      <w:r>
        <w:rPr>
          <w:noProof/>
          <w:lang w:val="en-US"/>
        </w:rPr>
        <w:drawing>
          <wp:inline distT="0" distB="0" distL="0" distR="0" wp14:anchorId="100D031A" wp14:editId="5E3CBBAF">
            <wp:extent cx="5715000" cy="3587115"/>
            <wp:effectExtent l="0" t="0" r="0" b="1333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71A80" w:rsidRPr="001067B8" w:rsidRDefault="00171A80" w:rsidP="005E5E59">
      <w:pPr>
        <w:ind w:firstLine="0"/>
        <w:rPr>
          <w:rFonts w:cs="Times New Roman"/>
          <w:b/>
          <w:i/>
          <w:color w:val="4F6228" w:themeColor="accent3" w:themeShade="80"/>
          <w:szCs w:val="22"/>
          <w:lang w:val="sr-Cyrl-RS" w:bidi="en-US"/>
        </w:rPr>
      </w:pPr>
      <w:r w:rsidRPr="001067B8">
        <w:rPr>
          <w:b/>
          <w:i/>
          <w:color w:val="4F6228" w:themeColor="accent3" w:themeShade="80"/>
          <w:szCs w:val="22"/>
          <w:lang w:val="sr-Cyrl-RS" w:bidi="en-US"/>
        </w:rPr>
        <w:t>Валутна структура јавног дуга Републике Србије у периоду</w:t>
      </w:r>
      <w:r w:rsidR="00927329" w:rsidRPr="001067B8">
        <w:rPr>
          <w:rFonts w:cs="Times New Roman"/>
          <w:b/>
          <w:i/>
          <w:color w:val="4F6228" w:themeColor="accent3" w:themeShade="80"/>
          <w:szCs w:val="22"/>
          <w:lang w:val="sr-Cyrl-RS" w:bidi="en-US"/>
        </w:rPr>
        <w:t xml:space="preserve"> крај 2011</w:t>
      </w:r>
      <w:r w:rsidRPr="001067B8">
        <w:rPr>
          <w:rFonts w:cs="Times New Roman"/>
          <w:b/>
          <w:i/>
          <w:color w:val="4F6228" w:themeColor="accent3" w:themeShade="80"/>
          <w:szCs w:val="22"/>
          <w:lang w:val="sr-Cyrl-RS" w:bidi="en-US"/>
        </w:rPr>
        <w:t xml:space="preserve"> - 31. октобар 2014. </w:t>
      </w:r>
      <w:r w:rsidRPr="001067B8">
        <w:rPr>
          <w:b/>
          <w:i/>
          <w:color w:val="4F6228" w:themeColor="accent3" w:themeShade="80"/>
          <w:szCs w:val="22"/>
          <w:lang w:val="sr-Cyrl-RS" w:bidi="en-US"/>
        </w:rPr>
        <w:t xml:space="preserve">године </w:t>
      </w:r>
    </w:p>
    <w:p w:rsidR="00171A80" w:rsidRPr="00171A80" w:rsidRDefault="002F31FA" w:rsidP="00171A80">
      <w:pPr>
        <w:rPr>
          <w:rFonts w:asciiTheme="majorHAnsi" w:hAnsiTheme="majorHAnsi"/>
          <w:bCs w:val="0"/>
          <w:i/>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 xml:space="preserve">У циљу финансирања буџетског дефицита у 2011. години интензивиране су емисије динарских хартија од вредности, што је повећало учешће јавног дуга у динарима са 16,4% на крају 2011. на 19,5% на крају 2012. године. На крају 2013. године динарски дуг чинио је 20,5% јавног дуга Републике Србије. Тежњом да се смањи изложеност валутном ризику, </w:t>
      </w:r>
      <w:r w:rsidRPr="002F31FA">
        <w:rPr>
          <w:rFonts w:asciiTheme="majorHAnsi" w:hAnsiTheme="majorHAnsi"/>
          <w:bCs w:val="0"/>
          <w:color w:val="7F7F7F" w:themeColor="text1" w:themeTint="80"/>
          <w:sz w:val="21"/>
          <w:szCs w:val="21"/>
          <w:lang w:val="sr-Cyrl-RS"/>
        </w:rPr>
        <w:lastRenderedPageBreak/>
        <w:t>продужавањем рочности и развојем нових инструмената задуживања на домаћем финансијском тржишту, током 2014. године наставља се тренд раста учешћа националне валуте у портфолију јавног дуга, које је на дан 31. октобар 2014. године имало учешће од 22,2% у укупном портофолију јавног дуга</w:t>
      </w:r>
      <w:r w:rsidR="009302DB" w:rsidRPr="009302DB">
        <w:rPr>
          <w:rFonts w:asciiTheme="majorHAnsi" w:hAnsiTheme="majorHAnsi"/>
          <w:bCs w:val="0"/>
          <w:color w:val="7F7F7F" w:themeColor="text1" w:themeTint="80"/>
          <w:sz w:val="21"/>
          <w:szCs w:val="21"/>
          <w:lang w:val="sr-Cyrl-RS"/>
        </w:rPr>
        <w:t>.</w:t>
      </w:r>
    </w:p>
    <w:p w:rsidR="00171A80" w:rsidRPr="00171A80" w:rsidRDefault="00927329" w:rsidP="00171A80">
      <w:pPr>
        <w:ind w:firstLine="0"/>
        <w:jc w:val="left"/>
        <w:rPr>
          <w:rFonts w:asciiTheme="majorHAnsi" w:hAnsiTheme="majorHAnsi"/>
          <w:b/>
          <w:bCs w:val="0"/>
          <w:color w:val="7F7F7F" w:themeColor="text1" w:themeTint="80"/>
          <w:kern w:val="20"/>
          <w:sz w:val="21"/>
          <w:szCs w:val="21"/>
          <w:lang w:val="sr-Cyrl-RS" w:eastAsia="ko-KR"/>
        </w:rPr>
      </w:pPr>
      <w:r>
        <w:rPr>
          <w:rFonts w:asciiTheme="majorHAnsi" w:hAnsiTheme="majorHAnsi"/>
          <w:b/>
          <w:bCs w:val="0"/>
          <w:color w:val="7F7F7F" w:themeColor="text1" w:themeTint="80"/>
          <w:kern w:val="20"/>
          <w:sz w:val="21"/>
          <w:szCs w:val="21"/>
          <w:lang w:val="sr-Cyrl-RS" w:eastAsia="ko-KR"/>
        </w:rPr>
        <w:t>Табела 20</w:t>
      </w:r>
      <w:r w:rsidR="00171A80" w:rsidRPr="00171A80">
        <w:rPr>
          <w:rFonts w:asciiTheme="majorHAnsi" w:hAnsiTheme="majorHAnsi"/>
          <w:b/>
          <w:bCs w:val="0"/>
          <w:color w:val="7F7F7F" w:themeColor="text1" w:themeTint="80"/>
          <w:kern w:val="20"/>
          <w:sz w:val="21"/>
          <w:szCs w:val="21"/>
          <w:lang w:val="sr-Cyrl-RS" w:eastAsia="ko-KR"/>
        </w:rPr>
        <w:t>. Валутна структура д</w:t>
      </w:r>
      <w:r w:rsidR="00A9763F">
        <w:rPr>
          <w:rFonts w:asciiTheme="majorHAnsi" w:hAnsiTheme="majorHAnsi"/>
          <w:b/>
          <w:bCs w:val="0"/>
          <w:color w:val="7F7F7F" w:themeColor="text1" w:themeTint="80"/>
          <w:kern w:val="20"/>
          <w:sz w:val="21"/>
          <w:szCs w:val="21"/>
          <w:lang w:val="sr-Cyrl-RS" w:eastAsia="ko-KR"/>
        </w:rPr>
        <w:t>уга опште државе у периоду 2011</w:t>
      </w:r>
      <w:r w:rsidR="00171A80" w:rsidRPr="00171A80">
        <w:rPr>
          <w:rFonts w:asciiTheme="majorHAnsi" w:hAnsiTheme="majorHAnsi"/>
          <w:b/>
          <w:bCs w:val="0"/>
          <w:color w:val="7F7F7F" w:themeColor="text1" w:themeTint="80"/>
          <w:kern w:val="20"/>
          <w:sz w:val="21"/>
          <w:szCs w:val="21"/>
          <w:lang w:val="sr-Cyrl-RS" w:eastAsia="ko-KR"/>
        </w:rPr>
        <w:t xml:space="preserve"> – 31. октобар 2014. године</w:t>
      </w:r>
    </w:p>
    <w:tbl>
      <w:tblPr>
        <w:tblW w:w="5000" w:type="pct"/>
        <w:jc w:val="center"/>
        <w:tblLook w:val="04A0" w:firstRow="1" w:lastRow="0" w:firstColumn="1" w:lastColumn="0" w:noHBand="0" w:noVBand="1"/>
      </w:tblPr>
      <w:tblGrid>
        <w:gridCol w:w="2125"/>
        <w:gridCol w:w="938"/>
        <w:gridCol w:w="752"/>
        <w:gridCol w:w="1037"/>
        <w:gridCol w:w="700"/>
        <w:gridCol w:w="1037"/>
        <w:gridCol w:w="700"/>
        <w:gridCol w:w="933"/>
        <w:gridCol w:w="804"/>
      </w:tblGrid>
      <w:tr w:rsidR="00171A80" w:rsidRPr="00171A80" w:rsidTr="00700CEC">
        <w:trPr>
          <w:trHeight w:val="227"/>
          <w:jc w:val="center"/>
        </w:trPr>
        <w:tc>
          <w:tcPr>
            <w:tcW w:w="2125" w:type="dxa"/>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 </w:t>
            </w:r>
          </w:p>
        </w:tc>
        <w:tc>
          <w:tcPr>
            <w:tcW w:w="1690" w:type="dxa"/>
            <w:gridSpan w:val="2"/>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2011</w:t>
            </w:r>
          </w:p>
        </w:tc>
        <w:tc>
          <w:tcPr>
            <w:tcW w:w="1737" w:type="dxa"/>
            <w:gridSpan w:val="2"/>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2012</w:t>
            </w:r>
          </w:p>
        </w:tc>
        <w:tc>
          <w:tcPr>
            <w:tcW w:w="1737" w:type="dxa"/>
            <w:gridSpan w:val="2"/>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2013</w:t>
            </w:r>
          </w:p>
        </w:tc>
        <w:tc>
          <w:tcPr>
            <w:tcW w:w="1737" w:type="dxa"/>
            <w:gridSpan w:val="2"/>
            <w:tcBorders>
              <w:top w:val="single" w:sz="8" w:space="0" w:color="76923C" w:themeColor="accent3" w:themeShade="BF"/>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center"/>
              <w:rPr>
                <w:rFonts w:asciiTheme="majorHAnsi" w:hAnsiTheme="majorHAnsi" w:cs="Calibri"/>
                <w:b/>
                <w:bCs w:val="0"/>
                <w:color w:val="7F7F7F"/>
                <w:sz w:val="20"/>
                <w:szCs w:val="20"/>
                <w:lang w:val="sr-Cyrl-RS" w:eastAsia="sr-Latn-RS"/>
              </w:rPr>
            </w:pPr>
            <w:r w:rsidRPr="00171A80">
              <w:rPr>
                <w:rFonts w:asciiTheme="majorHAnsi" w:hAnsiTheme="majorHAnsi" w:cs="Calibri"/>
                <w:b/>
                <w:bCs w:val="0"/>
                <w:color w:val="7F7F7F"/>
                <w:sz w:val="20"/>
                <w:szCs w:val="20"/>
                <w:lang w:val="sr-Cyrl-RS" w:eastAsia="sr-Latn-RS"/>
              </w:rPr>
              <w:t>2014/X</w:t>
            </w:r>
          </w:p>
        </w:tc>
      </w:tr>
      <w:tr w:rsidR="00700CEC" w:rsidRPr="00171A80" w:rsidTr="00700CEC">
        <w:trPr>
          <w:trHeight w:val="227"/>
          <w:jc w:val="center"/>
        </w:trPr>
        <w:tc>
          <w:tcPr>
            <w:tcW w:w="2125" w:type="dxa"/>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 </w:t>
            </w:r>
          </w:p>
        </w:tc>
        <w:tc>
          <w:tcPr>
            <w:tcW w:w="938" w:type="dxa"/>
            <w:tcBorders>
              <w:top w:val="single" w:sz="8" w:space="0" w:color="76923C" w:themeColor="accent3" w:themeShade="BF"/>
              <w:left w:val="nil"/>
              <w:bottom w:val="nil"/>
              <w:right w:val="nil"/>
            </w:tcBorders>
            <w:shd w:val="clear" w:color="000000" w:fill="EAF1DD" w:themeFill="accent3" w:themeFillTint="33"/>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(млрд РСД)</w:t>
            </w:r>
          </w:p>
        </w:tc>
        <w:tc>
          <w:tcPr>
            <w:tcW w:w="752" w:type="dxa"/>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w:t>
            </w:r>
          </w:p>
        </w:tc>
        <w:tc>
          <w:tcPr>
            <w:tcW w:w="1037" w:type="dxa"/>
            <w:tcBorders>
              <w:top w:val="single" w:sz="8" w:space="0" w:color="76923C" w:themeColor="accent3" w:themeShade="BF"/>
              <w:left w:val="nil"/>
              <w:bottom w:val="nil"/>
              <w:right w:val="nil"/>
            </w:tcBorders>
            <w:shd w:val="clear" w:color="000000" w:fill="EAF1DD" w:themeFill="accent3" w:themeFillTint="33"/>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(млрд РСД)</w:t>
            </w:r>
          </w:p>
        </w:tc>
        <w:tc>
          <w:tcPr>
            <w:tcW w:w="700" w:type="dxa"/>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w:t>
            </w:r>
          </w:p>
        </w:tc>
        <w:tc>
          <w:tcPr>
            <w:tcW w:w="1037" w:type="dxa"/>
            <w:tcBorders>
              <w:top w:val="single" w:sz="8" w:space="0" w:color="76923C" w:themeColor="accent3" w:themeShade="BF"/>
              <w:left w:val="nil"/>
              <w:bottom w:val="nil"/>
              <w:right w:val="nil"/>
            </w:tcBorders>
            <w:shd w:val="clear" w:color="000000" w:fill="EAF1DD" w:themeFill="accent3" w:themeFillTint="33"/>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(млрд РСД)</w:t>
            </w:r>
          </w:p>
        </w:tc>
        <w:tc>
          <w:tcPr>
            <w:tcW w:w="700" w:type="dxa"/>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w:t>
            </w:r>
          </w:p>
        </w:tc>
        <w:tc>
          <w:tcPr>
            <w:tcW w:w="933" w:type="dxa"/>
            <w:tcBorders>
              <w:top w:val="single" w:sz="8" w:space="0" w:color="76923C" w:themeColor="accent3" w:themeShade="BF"/>
              <w:left w:val="nil"/>
              <w:bottom w:val="nil"/>
              <w:right w:val="nil"/>
            </w:tcBorders>
            <w:shd w:val="clear" w:color="000000" w:fill="EAF1DD" w:themeFill="accent3" w:themeFillTint="33"/>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(млрд РСД)</w:t>
            </w:r>
          </w:p>
        </w:tc>
        <w:tc>
          <w:tcPr>
            <w:tcW w:w="804" w:type="dxa"/>
            <w:tcBorders>
              <w:top w:val="single" w:sz="8" w:space="0" w:color="76923C" w:themeColor="accent3" w:themeShade="BF"/>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w:t>
            </w:r>
          </w:p>
        </w:tc>
      </w:tr>
      <w:tr w:rsidR="00700CEC" w:rsidRPr="00171A80" w:rsidTr="00700CEC">
        <w:trPr>
          <w:trHeight w:val="227"/>
          <w:jc w:val="center"/>
        </w:trPr>
        <w:tc>
          <w:tcPr>
            <w:tcW w:w="2125" w:type="dxa"/>
            <w:tcBorders>
              <w:top w:val="nil"/>
              <w:left w:val="nil"/>
              <w:right w:val="nil"/>
            </w:tcBorders>
            <w:shd w:val="clear" w:color="auto" w:fill="auto"/>
            <w:noWrap/>
            <w:vAlign w:val="center"/>
            <w:hideMark/>
          </w:tcPr>
          <w:p w:rsidR="00171A80" w:rsidRPr="00171A80" w:rsidRDefault="00171A80" w:rsidP="00171A80">
            <w:pPr>
              <w:spacing w:after="0"/>
              <w:ind w:firstLine="0"/>
              <w:jc w:val="lef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Специјална права вучења</w:t>
            </w:r>
          </w:p>
        </w:tc>
        <w:tc>
          <w:tcPr>
            <w:tcW w:w="938"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104,7</w:t>
            </w:r>
          </w:p>
        </w:tc>
        <w:tc>
          <w:tcPr>
            <w:tcW w:w="752"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6,5</w:t>
            </w:r>
          </w:p>
        </w:tc>
        <w:tc>
          <w:tcPr>
            <w:tcW w:w="103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112,5</w:t>
            </w:r>
          </w:p>
        </w:tc>
        <w:tc>
          <w:tcPr>
            <w:tcW w:w="700"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5,4</w:t>
            </w:r>
          </w:p>
        </w:tc>
        <w:tc>
          <w:tcPr>
            <w:tcW w:w="103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106,6</w:t>
            </w:r>
          </w:p>
        </w:tc>
        <w:tc>
          <w:tcPr>
            <w:tcW w:w="700"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4,5</w:t>
            </w:r>
          </w:p>
        </w:tc>
        <w:tc>
          <w:tcPr>
            <w:tcW w:w="933"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112,9</w:t>
            </w:r>
          </w:p>
        </w:tc>
        <w:tc>
          <w:tcPr>
            <w:tcW w:w="80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4,2</w:t>
            </w:r>
          </w:p>
        </w:tc>
      </w:tr>
      <w:tr w:rsidR="00700CEC" w:rsidRPr="00171A80" w:rsidTr="00700CEC">
        <w:trPr>
          <w:trHeight w:val="227"/>
          <w:jc w:val="center"/>
        </w:trPr>
        <w:tc>
          <w:tcPr>
            <w:tcW w:w="2125"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ЕУР</w:t>
            </w:r>
          </w:p>
        </w:tc>
        <w:tc>
          <w:tcPr>
            <w:tcW w:w="938"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924,0</w:t>
            </w:r>
          </w:p>
        </w:tc>
        <w:tc>
          <w:tcPr>
            <w:tcW w:w="752"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57,2</w:t>
            </w:r>
          </w:p>
        </w:tc>
        <w:tc>
          <w:tcPr>
            <w:tcW w:w="103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1.067,9</w:t>
            </w:r>
          </w:p>
        </w:tc>
        <w:tc>
          <w:tcPr>
            <w:tcW w:w="700"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51,3</w:t>
            </w:r>
          </w:p>
        </w:tc>
        <w:tc>
          <w:tcPr>
            <w:tcW w:w="103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1.099,5</w:t>
            </w:r>
          </w:p>
        </w:tc>
        <w:tc>
          <w:tcPr>
            <w:tcW w:w="700"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46,4</w:t>
            </w:r>
          </w:p>
        </w:tc>
        <w:tc>
          <w:tcPr>
            <w:tcW w:w="933"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1.141,1</w:t>
            </w:r>
          </w:p>
        </w:tc>
        <w:tc>
          <w:tcPr>
            <w:tcW w:w="80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42,3</w:t>
            </w:r>
          </w:p>
        </w:tc>
      </w:tr>
      <w:tr w:rsidR="00700CEC" w:rsidRPr="00171A80" w:rsidTr="00700CEC">
        <w:trPr>
          <w:trHeight w:val="227"/>
          <w:jc w:val="center"/>
        </w:trPr>
        <w:tc>
          <w:tcPr>
            <w:tcW w:w="2125"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УСД</w:t>
            </w:r>
          </w:p>
        </w:tc>
        <w:tc>
          <w:tcPr>
            <w:tcW w:w="938"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285,4</w:t>
            </w:r>
          </w:p>
        </w:tc>
        <w:tc>
          <w:tcPr>
            <w:tcW w:w="752"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17,7</w:t>
            </w:r>
          </w:p>
        </w:tc>
        <w:tc>
          <w:tcPr>
            <w:tcW w:w="103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458,2</w:t>
            </w:r>
          </w:p>
        </w:tc>
        <w:tc>
          <w:tcPr>
            <w:tcW w:w="700"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22,0</w:t>
            </w:r>
          </w:p>
        </w:tc>
        <w:tc>
          <w:tcPr>
            <w:tcW w:w="103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641,9</w:t>
            </w:r>
          </w:p>
        </w:tc>
        <w:tc>
          <w:tcPr>
            <w:tcW w:w="700"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27,1</w:t>
            </w:r>
          </w:p>
        </w:tc>
        <w:tc>
          <w:tcPr>
            <w:tcW w:w="933"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813,9</w:t>
            </w:r>
          </w:p>
        </w:tc>
        <w:tc>
          <w:tcPr>
            <w:tcW w:w="80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30,1</w:t>
            </w:r>
          </w:p>
        </w:tc>
      </w:tr>
      <w:tr w:rsidR="00700CEC" w:rsidRPr="00171A80" w:rsidTr="00700CEC">
        <w:trPr>
          <w:trHeight w:val="227"/>
          <w:jc w:val="center"/>
        </w:trPr>
        <w:tc>
          <w:tcPr>
            <w:tcW w:w="2125"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ЦХФ</w:t>
            </w:r>
          </w:p>
        </w:tc>
        <w:tc>
          <w:tcPr>
            <w:tcW w:w="938"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21,3</w:t>
            </w:r>
          </w:p>
        </w:tc>
        <w:tc>
          <w:tcPr>
            <w:tcW w:w="752"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1,3</w:t>
            </w:r>
          </w:p>
        </w:tc>
        <w:tc>
          <w:tcPr>
            <w:tcW w:w="103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24,3</w:t>
            </w:r>
          </w:p>
        </w:tc>
        <w:tc>
          <w:tcPr>
            <w:tcW w:w="700"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1,2</w:t>
            </w:r>
          </w:p>
        </w:tc>
        <w:tc>
          <w:tcPr>
            <w:tcW w:w="1037"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21,4</w:t>
            </w:r>
          </w:p>
        </w:tc>
        <w:tc>
          <w:tcPr>
            <w:tcW w:w="700"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0,9</w:t>
            </w:r>
          </w:p>
        </w:tc>
        <w:tc>
          <w:tcPr>
            <w:tcW w:w="933"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19,9</w:t>
            </w:r>
          </w:p>
        </w:tc>
        <w:tc>
          <w:tcPr>
            <w:tcW w:w="804" w:type="dxa"/>
            <w:tcBorders>
              <w:top w:val="nil"/>
              <w:left w:val="nil"/>
              <w:bottom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0,7</w:t>
            </w:r>
          </w:p>
        </w:tc>
      </w:tr>
      <w:tr w:rsidR="00700CEC" w:rsidRPr="00171A80" w:rsidTr="00700CEC">
        <w:trPr>
          <w:trHeight w:val="227"/>
          <w:jc w:val="center"/>
        </w:trPr>
        <w:tc>
          <w:tcPr>
            <w:tcW w:w="2125" w:type="dxa"/>
            <w:tcBorders>
              <w:top w:val="nil"/>
              <w:left w:val="nil"/>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РСД</w:t>
            </w:r>
          </w:p>
        </w:tc>
        <w:tc>
          <w:tcPr>
            <w:tcW w:w="938"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265,6</w:t>
            </w:r>
          </w:p>
        </w:tc>
        <w:tc>
          <w:tcPr>
            <w:tcW w:w="752"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16,5</w:t>
            </w:r>
          </w:p>
        </w:tc>
        <w:tc>
          <w:tcPr>
            <w:tcW w:w="103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405,7</w:t>
            </w:r>
          </w:p>
        </w:tc>
        <w:tc>
          <w:tcPr>
            <w:tcW w:w="700"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19,5</w:t>
            </w:r>
          </w:p>
        </w:tc>
        <w:tc>
          <w:tcPr>
            <w:tcW w:w="1037"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486,5</w:t>
            </w:r>
          </w:p>
        </w:tc>
        <w:tc>
          <w:tcPr>
            <w:tcW w:w="700"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20,5</w:t>
            </w:r>
          </w:p>
        </w:tc>
        <w:tc>
          <w:tcPr>
            <w:tcW w:w="933"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599,0</w:t>
            </w:r>
          </w:p>
        </w:tc>
        <w:tc>
          <w:tcPr>
            <w:tcW w:w="804" w:type="dxa"/>
            <w:tcBorders>
              <w:top w:val="nil"/>
              <w:left w:val="nil"/>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22,2</w:t>
            </w:r>
          </w:p>
        </w:tc>
      </w:tr>
      <w:tr w:rsidR="00700CEC" w:rsidRPr="00171A80" w:rsidTr="00700CEC">
        <w:trPr>
          <w:trHeight w:val="227"/>
          <w:jc w:val="center"/>
        </w:trPr>
        <w:tc>
          <w:tcPr>
            <w:tcW w:w="2125"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Други</w:t>
            </w:r>
          </w:p>
        </w:tc>
        <w:tc>
          <w:tcPr>
            <w:tcW w:w="938"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13,2</w:t>
            </w:r>
          </w:p>
        </w:tc>
        <w:tc>
          <w:tcPr>
            <w:tcW w:w="752"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0,8</w:t>
            </w:r>
          </w:p>
        </w:tc>
        <w:tc>
          <w:tcPr>
            <w:tcW w:w="1037"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12,7</w:t>
            </w:r>
          </w:p>
        </w:tc>
        <w:tc>
          <w:tcPr>
            <w:tcW w:w="700"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0,6</w:t>
            </w:r>
          </w:p>
        </w:tc>
        <w:tc>
          <w:tcPr>
            <w:tcW w:w="1037"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13,1</w:t>
            </w:r>
          </w:p>
        </w:tc>
        <w:tc>
          <w:tcPr>
            <w:tcW w:w="700"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0,6</w:t>
            </w:r>
          </w:p>
        </w:tc>
        <w:tc>
          <w:tcPr>
            <w:tcW w:w="933"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13,6</w:t>
            </w:r>
          </w:p>
        </w:tc>
        <w:tc>
          <w:tcPr>
            <w:tcW w:w="804" w:type="dxa"/>
            <w:tcBorders>
              <w:top w:val="nil"/>
              <w:left w:val="nil"/>
              <w:right w:val="nil"/>
            </w:tcBorders>
            <w:shd w:val="clear" w:color="000000" w:fill="EAF1DD" w:themeFill="accent3" w:themeFillTint="33"/>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0,5</w:t>
            </w:r>
          </w:p>
        </w:tc>
      </w:tr>
      <w:tr w:rsidR="00700CEC" w:rsidRPr="00171A80" w:rsidTr="00700CEC">
        <w:trPr>
          <w:trHeight w:val="227"/>
          <w:jc w:val="center"/>
        </w:trPr>
        <w:tc>
          <w:tcPr>
            <w:tcW w:w="2125"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Укупно</w:t>
            </w:r>
          </w:p>
        </w:tc>
        <w:tc>
          <w:tcPr>
            <w:tcW w:w="938"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1.614,2</w:t>
            </w:r>
          </w:p>
        </w:tc>
        <w:tc>
          <w:tcPr>
            <w:tcW w:w="752"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100</w:t>
            </w:r>
            <w:r w:rsidR="00700CEC">
              <w:rPr>
                <w:rFonts w:asciiTheme="majorHAnsi" w:hAnsiTheme="majorHAnsi" w:cs="Calibri"/>
                <w:bCs w:val="0"/>
                <w:color w:val="7F7F7F"/>
                <w:sz w:val="20"/>
                <w:szCs w:val="20"/>
                <w:lang w:val="sr-Cyrl-RS" w:eastAsia="sr-Latn-RS"/>
              </w:rPr>
              <w:t>,0</w:t>
            </w:r>
          </w:p>
        </w:tc>
        <w:tc>
          <w:tcPr>
            <w:tcW w:w="1037"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2.081,3</w:t>
            </w:r>
          </w:p>
        </w:tc>
        <w:tc>
          <w:tcPr>
            <w:tcW w:w="700"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100</w:t>
            </w:r>
            <w:r w:rsidR="00700CEC">
              <w:rPr>
                <w:rFonts w:asciiTheme="majorHAnsi" w:hAnsiTheme="majorHAnsi" w:cs="Calibri"/>
                <w:bCs w:val="0"/>
                <w:color w:val="7F7F7F"/>
                <w:sz w:val="20"/>
                <w:szCs w:val="20"/>
                <w:lang w:val="sr-Cyrl-RS" w:eastAsia="sr-Latn-RS"/>
              </w:rPr>
              <w:t>,0</w:t>
            </w:r>
          </w:p>
        </w:tc>
        <w:tc>
          <w:tcPr>
            <w:tcW w:w="1037"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2.369,0</w:t>
            </w:r>
          </w:p>
        </w:tc>
        <w:tc>
          <w:tcPr>
            <w:tcW w:w="700"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100</w:t>
            </w:r>
            <w:r w:rsidR="00700CEC">
              <w:rPr>
                <w:rFonts w:asciiTheme="majorHAnsi" w:hAnsiTheme="majorHAnsi" w:cs="Calibri"/>
                <w:bCs w:val="0"/>
                <w:color w:val="7F7F7F"/>
                <w:sz w:val="20"/>
                <w:szCs w:val="20"/>
                <w:lang w:val="sr-Cyrl-RS" w:eastAsia="sr-Latn-RS"/>
              </w:rPr>
              <w:t>,0</w:t>
            </w:r>
          </w:p>
        </w:tc>
        <w:tc>
          <w:tcPr>
            <w:tcW w:w="933"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2.700,4</w:t>
            </w:r>
          </w:p>
        </w:tc>
        <w:tc>
          <w:tcPr>
            <w:tcW w:w="804" w:type="dxa"/>
            <w:tcBorders>
              <w:top w:val="nil"/>
              <w:left w:val="nil"/>
              <w:bottom w:val="single" w:sz="8" w:space="0" w:color="76923C" w:themeColor="accent3" w:themeShade="BF"/>
              <w:right w:val="nil"/>
            </w:tcBorders>
            <w:shd w:val="clear" w:color="auto" w:fill="auto"/>
            <w:noWrap/>
            <w:vAlign w:val="center"/>
            <w:hideMark/>
          </w:tcPr>
          <w:p w:rsidR="00171A80" w:rsidRPr="00171A80" w:rsidRDefault="00171A80" w:rsidP="00171A80">
            <w:pPr>
              <w:spacing w:after="0"/>
              <w:ind w:firstLine="0"/>
              <w:jc w:val="right"/>
              <w:rPr>
                <w:rFonts w:asciiTheme="majorHAnsi" w:hAnsiTheme="majorHAnsi" w:cs="Calibri"/>
                <w:bCs w:val="0"/>
                <w:color w:val="7F7F7F"/>
                <w:sz w:val="20"/>
                <w:szCs w:val="20"/>
                <w:lang w:val="sr-Cyrl-RS" w:eastAsia="sr-Latn-RS"/>
              </w:rPr>
            </w:pPr>
            <w:r w:rsidRPr="00171A80">
              <w:rPr>
                <w:rFonts w:asciiTheme="majorHAnsi" w:hAnsiTheme="majorHAnsi" w:cs="Calibri"/>
                <w:bCs w:val="0"/>
                <w:color w:val="7F7F7F"/>
                <w:sz w:val="20"/>
                <w:szCs w:val="20"/>
                <w:lang w:val="sr-Cyrl-RS" w:eastAsia="sr-Latn-RS"/>
              </w:rPr>
              <w:t>100</w:t>
            </w:r>
            <w:r w:rsidR="00700CEC">
              <w:rPr>
                <w:rFonts w:asciiTheme="majorHAnsi" w:hAnsiTheme="majorHAnsi" w:cs="Calibri"/>
                <w:bCs w:val="0"/>
                <w:color w:val="7F7F7F"/>
                <w:sz w:val="20"/>
                <w:szCs w:val="20"/>
                <w:lang w:val="sr-Cyrl-RS" w:eastAsia="sr-Latn-RS"/>
              </w:rPr>
              <w:t>,0</w:t>
            </w:r>
          </w:p>
        </w:tc>
      </w:tr>
    </w:tbl>
    <w:p w:rsidR="00171A80" w:rsidRPr="00171A80" w:rsidRDefault="00171A80" w:rsidP="00171A80">
      <w:pPr>
        <w:spacing w:after="0"/>
        <w:ind w:firstLine="0"/>
        <w:jc w:val="left"/>
        <w:rPr>
          <w:rFonts w:asciiTheme="majorHAnsi" w:hAnsiTheme="majorHAnsi"/>
          <w:bCs w:val="0"/>
          <w:color w:val="7F7F7F" w:themeColor="text1" w:themeTint="80"/>
          <w:sz w:val="20"/>
          <w:szCs w:val="20"/>
          <w:lang w:val="sr-Cyrl-RS"/>
        </w:rPr>
      </w:pPr>
    </w:p>
    <w:p w:rsidR="00171A80" w:rsidRPr="00171A80" w:rsidRDefault="00927329" w:rsidP="00D05B1D">
      <w:pPr>
        <w:ind w:firstLine="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t>Графикон 21</w:t>
      </w:r>
      <w:r w:rsidR="00171A80" w:rsidRPr="00171A80">
        <w:rPr>
          <w:rFonts w:asciiTheme="majorHAnsi" w:hAnsiTheme="majorHAnsi"/>
          <w:b/>
          <w:bCs w:val="0"/>
          <w:color w:val="7F7F7F" w:themeColor="text1" w:themeTint="80"/>
          <w:sz w:val="21"/>
          <w:szCs w:val="21"/>
          <w:lang w:val="sr-Cyrl-RS"/>
        </w:rPr>
        <w:t>. Валутна структура дуга о</w:t>
      </w:r>
      <w:r w:rsidR="00A9763F">
        <w:rPr>
          <w:rFonts w:asciiTheme="majorHAnsi" w:hAnsiTheme="majorHAnsi"/>
          <w:b/>
          <w:bCs w:val="0"/>
          <w:color w:val="7F7F7F" w:themeColor="text1" w:themeTint="80"/>
          <w:sz w:val="21"/>
          <w:szCs w:val="21"/>
          <w:lang w:val="sr-Cyrl-RS"/>
        </w:rPr>
        <w:t>пште државе у периоду крај 2011</w:t>
      </w:r>
      <w:r w:rsidR="00171A80" w:rsidRPr="00171A80">
        <w:rPr>
          <w:rFonts w:asciiTheme="majorHAnsi" w:hAnsiTheme="majorHAnsi"/>
          <w:b/>
          <w:bCs w:val="0"/>
          <w:color w:val="7F7F7F" w:themeColor="text1" w:themeTint="80"/>
          <w:sz w:val="21"/>
          <w:szCs w:val="21"/>
          <w:lang w:val="sr-Cyrl-RS"/>
        </w:rPr>
        <w:t xml:space="preserve"> – 31. октобар 2014. године</w:t>
      </w:r>
    </w:p>
    <w:p w:rsidR="00171A80" w:rsidRPr="00171A80" w:rsidRDefault="00171A80" w:rsidP="00171A80">
      <w:pPr>
        <w:spacing w:after="0"/>
        <w:ind w:firstLine="0"/>
        <w:jc w:val="center"/>
        <w:rPr>
          <w:rFonts w:asciiTheme="majorHAnsi" w:hAnsiTheme="majorHAnsi"/>
          <w:bCs w:val="0"/>
          <w:sz w:val="21"/>
          <w:szCs w:val="21"/>
          <w:lang w:val="sr-Cyrl-RS"/>
        </w:rPr>
      </w:pPr>
      <w:r w:rsidRPr="00171A80">
        <w:rPr>
          <w:rFonts w:asciiTheme="majorHAnsi" w:hAnsiTheme="majorHAnsi"/>
          <w:noProof/>
          <w:sz w:val="21"/>
          <w:szCs w:val="21"/>
          <w:lang w:val="en-US"/>
        </w:rPr>
        <w:drawing>
          <wp:inline distT="0" distB="0" distL="0" distR="0" wp14:anchorId="5AF90E1A" wp14:editId="1F9EDA02">
            <wp:extent cx="5562600" cy="3959860"/>
            <wp:effectExtent l="0" t="0" r="0" b="25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71A80" w:rsidRPr="002F31FA" w:rsidRDefault="002F31FA" w:rsidP="00171A80">
      <w:pPr>
        <w:rPr>
          <w:rFonts w:asciiTheme="majorHAnsi" w:hAnsiTheme="majorHAnsi"/>
          <w:color w:val="7F7F7F" w:themeColor="text1" w:themeTint="80"/>
          <w:sz w:val="21"/>
          <w:szCs w:val="21"/>
          <w:lang w:val="sr-Latn-RS"/>
        </w:rPr>
      </w:pPr>
      <w:r w:rsidRPr="002F31FA">
        <w:rPr>
          <w:rFonts w:asciiTheme="majorHAnsi" w:hAnsiTheme="majorHAnsi"/>
          <w:bCs w:val="0"/>
          <w:color w:val="7F7F7F" w:themeColor="text1" w:themeTint="80"/>
          <w:sz w:val="21"/>
          <w:szCs w:val="21"/>
          <w:lang w:val="sr-Cyrl-RS"/>
        </w:rPr>
        <w:t>Према подацима од 31. октобра 2014. године, највећи део јавног дуга Републике Србије је и даље деноминован у валути евро и износи 42,3%. Затим су највише заступљени амерички долар са 30,1% и динар са 22,2%. Остатак дуга је деноминован у специјалним правима вучења 4,2% и осталим валутама 1,2%</w:t>
      </w:r>
      <w:r>
        <w:rPr>
          <w:rFonts w:asciiTheme="majorHAnsi" w:hAnsiTheme="majorHAnsi"/>
          <w:bCs w:val="0"/>
          <w:color w:val="7F7F7F" w:themeColor="text1" w:themeTint="80"/>
          <w:sz w:val="21"/>
          <w:szCs w:val="21"/>
          <w:lang w:val="sr-Latn-RS"/>
        </w:rPr>
        <w:t>.</w:t>
      </w:r>
    </w:p>
    <w:p w:rsidR="00171A80" w:rsidRPr="00171A80" w:rsidRDefault="00171A80" w:rsidP="00171A80">
      <w:pPr>
        <w:ind w:firstLine="0"/>
        <w:rPr>
          <w:rFonts w:asciiTheme="majorHAnsi" w:hAnsiTheme="majorHAnsi" w:cs="Calibri"/>
          <w:b/>
          <w:i/>
          <w:iCs/>
          <w:color w:val="51671F"/>
          <w:szCs w:val="22"/>
          <w:lang w:val="sr-Cyrl-RS" w:bidi="en-US"/>
        </w:rPr>
      </w:pPr>
      <w:r w:rsidRPr="00171A80">
        <w:rPr>
          <w:rFonts w:asciiTheme="majorHAnsi" w:hAnsiTheme="majorHAnsi" w:cs="Calibri"/>
          <w:b/>
          <w:i/>
          <w:iCs/>
          <w:color w:val="51671F"/>
          <w:szCs w:val="22"/>
          <w:lang w:val="sr-Cyrl-RS" w:bidi="en-US"/>
        </w:rPr>
        <w:t>Каматна структура јавног дуга Републике Србије у периоду крај 2011 – 31. октобар 2014. године</w:t>
      </w:r>
    </w:p>
    <w:p w:rsidR="00171A80" w:rsidRPr="00171A80" w:rsidRDefault="002F31FA" w:rsidP="00171A80">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 xml:space="preserve">Структура јавног дуга, која укључује и негарантоване обавезе јединица локалне власти Републике Србије, према каматним стопама је повољна, јер је већина дуга везана за фиксне </w:t>
      </w:r>
      <w:r w:rsidRPr="002F31FA">
        <w:rPr>
          <w:rFonts w:asciiTheme="majorHAnsi" w:hAnsiTheme="majorHAnsi"/>
          <w:bCs w:val="0"/>
          <w:color w:val="7F7F7F" w:themeColor="text1" w:themeTint="80"/>
          <w:sz w:val="21"/>
          <w:szCs w:val="21"/>
          <w:lang w:val="sr-Cyrl-RS"/>
        </w:rPr>
        <w:lastRenderedPageBreak/>
        <w:t>каматне стопе. Структура каматних стопа јавног дуга Републике Србије је приказана на графиконима 22</w:t>
      </w:r>
      <w:r>
        <w:rPr>
          <w:rFonts w:asciiTheme="majorHAnsi" w:hAnsiTheme="majorHAnsi"/>
          <w:bCs w:val="0"/>
          <w:color w:val="7F7F7F" w:themeColor="text1" w:themeTint="80"/>
          <w:sz w:val="21"/>
          <w:szCs w:val="21"/>
          <w:lang w:val="sr-Latn-RS"/>
        </w:rPr>
        <w:t>.</w:t>
      </w:r>
      <w:r w:rsidRPr="002F31FA">
        <w:rPr>
          <w:rFonts w:asciiTheme="majorHAnsi" w:hAnsiTheme="majorHAnsi"/>
          <w:bCs w:val="0"/>
          <w:color w:val="7F7F7F" w:themeColor="text1" w:themeTint="80"/>
          <w:sz w:val="21"/>
          <w:szCs w:val="21"/>
          <w:lang w:val="sr-Cyrl-RS"/>
        </w:rPr>
        <w:t xml:space="preserve"> и 23</w:t>
      </w:r>
      <w:r w:rsidR="00171A80" w:rsidRPr="00171A80">
        <w:rPr>
          <w:rFonts w:asciiTheme="majorHAnsi" w:hAnsiTheme="majorHAnsi"/>
          <w:bCs w:val="0"/>
          <w:color w:val="7F7F7F" w:themeColor="text1" w:themeTint="80"/>
          <w:sz w:val="21"/>
          <w:szCs w:val="21"/>
          <w:lang w:val="sr-Cyrl-RS"/>
        </w:rPr>
        <w:t>:</w:t>
      </w:r>
    </w:p>
    <w:p w:rsidR="00171A80" w:rsidRPr="00171A80" w:rsidRDefault="00927329" w:rsidP="00171A80">
      <w:pPr>
        <w:spacing w:after="0"/>
        <w:ind w:firstLine="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t>Графикон 22</w:t>
      </w:r>
      <w:r w:rsidR="00171A80" w:rsidRPr="00171A80">
        <w:rPr>
          <w:rFonts w:asciiTheme="majorHAnsi" w:hAnsiTheme="majorHAnsi"/>
          <w:b/>
          <w:bCs w:val="0"/>
          <w:color w:val="7F7F7F" w:themeColor="text1" w:themeTint="80"/>
          <w:sz w:val="21"/>
          <w:szCs w:val="21"/>
          <w:lang w:val="sr-Cyrl-RS"/>
        </w:rPr>
        <w:t>. Структура каматних стопа дуга опште државе у периоду 2011 – 31. октобар 2014. године</w:t>
      </w:r>
    </w:p>
    <w:p w:rsidR="00171A80" w:rsidRPr="00171A80" w:rsidRDefault="00171A80" w:rsidP="00171A80">
      <w:pPr>
        <w:spacing w:after="0"/>
        <w:ind w:firstLine="0"/>
        <w:jc w:val="center"/>
        <w:rPr>
          <w:rFonts w:asciiTheme="majorHAnsi" w:hAnsiTheme="majorHAnsi"/>
          <w:bCs w:val="0"/>
          <w:sz w:val="21"/>
          <w:szCs w:val="21"/>
          <w:lang w:val="sr-Cyrl-RS"/>
        </w:rPr>
      </w:pPr>
      <w:bookmarkStart w:id="57" w:name="OLE_LINK13"/>
      <w:r w:rsidRPr="00171A80">
        <w:rPr>
          <w:rFonts w:asciiTheme="majorHAnsi" w:hAnsiTheme="majorHAnsi"/>
          <w:noProof/>
          <w:sz w:val="21"/>
          <w:szCs w:val="21"/>
          <w:lang w:val="en-US"/>
        </w:rPr>
        <w:drawing>
          <wp:inline distT="0" distB="0" distL="0" distR="0" wp14:anchorId="56C2F9A7" wp14:editId="10F0701C">
            <wp:extent cx="5486400" cy="372364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71A80" w:rsidRPr="009302DB" w:rsidRDefault="002F31FA" w:rsidP="009302DB">
      <w:pPr>
        <w:spacing w:before="120"/>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Највећи део јавног дуга Републике Србије 76,3% је са фиксном каматном стопом, док се на јавни дуг са варијабилном каматном стопом односи 23,7% укупног јавног дуга. Међу варијабилним каматним стопама највише су заступљени Еурибор и Либор на евро који укупно чине 64,1% од укупног јавног дуга по варијабилним каматним стопама, док се 12,9% односи на обавезе везане за референтну каматну стопу НБС, 10,3% се односи на обавезе везане за Либор на амерички долар, док се на остале обавезе везане за друге врсте варијабилних каматних стопа односи 12,7% (највећим делом на варијабилну каматну стопу за специјална права вучења</w:t>
      </w:r>
      <w:r w:rsidR="009302DB" w:rsidRPr="009302DB">
        <w:rPr>
          <w:rFonts w:asciiTheme="majorHAnsi" w:hAnsiTheme="majorHAnsi"/>
          <w:bCs w:val="0"/>
          <w:color w:val="7F7F7F" w:themeColor="text1" w:themeTint="80"/>
          <w:sz w:val="21"/>
          <w:szCs w:val="21"/>
          <w:lang w:val="sr-Cyrl-RS"/>
        </w:rPr>
        <w:t>)</w:t>
      </w:r>
      <w:r w:rsidR="00171A80" w:rsidRPr="00171A80">
        <w:rPr>
          <w:rFonts w:asciiTheme="majorHAnsi" w:hAnsiTheme="majorHAnsi"/>
          <w:bCs w:val="0"/>
          <w:color w:val="7F7F7F" w:themeColor="text1" w:themeTint="80"/>
          <w:sz w:val="21"/>
          <w:szCs w:val="21"/>
          <w:lang w:val="sr-Cyrl-RS"/>
        </w:rPr>
        <w:t xml:space="preserve">. </w:t>
      </w:r>
    </w:p>
    <w:p w:rsidR="00171A80" w:rsidRPr="00171A80" w:rsidRDefault="00171A80" w:rsidP="00171A80">
      <w:pPr>
        <w:spacing w:after="0"/>
        <w:rPr>
          <w:rFonts w:asciiTheme="majorHAnsi" w:hAnsiTheme="majorHAnsi"/>
          <w:bCs w:val="0"/>
          <w:sz w:val="21"/>
          <w:szCs w:val="21"/>
          <w:lang w:val="sr-Cyrl-RS"/>
        </w:rPr>
      </w:pPr>
    </w:p>
    <w:p w:rsidR="00171A80" w:rsidRPr="00171A80" w:rsidRDefault="00927329" w:rsidP="002A5649">
      <w:pPr>
        <w:spacing w:after="0"/>
        <w:ind w:firstLine="0"/>
        <w:jc w:val="left"/>
        <w:rPr>
          <w:rFonts w:asciiTheme="majorHAnsi" w:hAnsiTheme="majorHAnsi"/>
          <w:bCs w:val="0"/>
          <w:sz w:val="21"/>
          <w:szCs w:val="21"/>
          <w:lang w:val="sr-Cyrl-RS"/>
        </w:rPr>
      </w:pPr>
      <w:r>
        <w:rPr>
          <w:rFonts w:asciiTheme="majorHAnsi" w:hAnsiTheme="majorHAnsi"/>
          <w:bCs w:val="0"/>
          <w:sz w:val="21"/>
          <w:szCs w:val="21"/>
          <w:lang w:val="sr-Cyrl-RS"/>
        </w:rPr>
        <w:br w:type="page"/>
      </w:r>
    </w:p>
    <w:bookmarkEnd w:id="57"/>
    <w:p w:rsidR="00171A80" w:rsidRPr="00171A80" w:rsidRDefault="00927329" w:rsidP="00171A80">
      <w:pPr>
        <w:ind w:firstLine="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lastRenderedPageBreak/>
        <w:t>Графикон 23</w:t>
      </w:r>
      <w:r w:rsidR="00171A80" w:rsidRPr="00171A80">
        <w:rPr>
          <w:rFonts w:asciiTheme="majorHAnsi" w:hAnsiTheme="majorHAnsi"/>
          <w:b/>
          <w:bCs w:val="0"/>
          <w:color w:val="7F7F7F" w:themeColor="text1" w:themeTint="80"/>
          <w:sz w:val="21"/>
          <w:szCs w:val="21"/>
          <w:lang w:val="sr-Cyrl-RS"/>
        </w:rPr>
        <w:t>. Структура варијабилних каматних стопа дуга опште државе у периоду 2011 – 31. октобар 2014. године</w:t>
      </w:r>
    </w:p>
    <w:p w:rsidR="00171A80" w:rsidRPr="00171A80" w:rsidRDefault="00171A80" w:rsidP="00D05B1D">
      <w:pPr>
        <w:ind w:firstLine="0"/>
        <w:rPr>
          <w:rFonts w:asciiTheme="majorHAnsi" w:hAnsiTheme="majorHAnsi"/>
          <w:bCs w:val="0"/>
          <w:color w:val="7F7F7F" w:themeColor="text1" w:themeTint="80"/>
          <w:sz w:val="21"/>
          <w:szCs w:val="21"/>
          <w:lang w:val="sr-Cyrl-RS"/>
        </w:rPr>
      </w:pPr>
      <w:r w:rsidRPr="00171A80">
        <w:rPr>
          <w:noProof/>
          <w:lang w:val="en-US"/>
        </w:rPr>
        <w:drawing>
          <wp:inline distT="0" distB="0" distL="0" distR="0" wp14:anchorId="11DB2ACE" wp14:editId="2005CE8B">
            <wp:extent cx="5476875" cy="404812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71A80" w:rsidRPr="00171A80" w:rsidRDefault="00171A80" w:rsidP="00171A80">
      <w:pPr>
        <w:ind w:firstLine="0"/>
        <w:rPr>
          <w:rFonts w:asciiTheme="majorHAnsi" w:hAnsiTheme="majorHAnsi"/>
          <w:b/>
          <w:i/>
          <w:color w:val="51671F"/>
          <w:szCs w:val="22"/>
          <w:lang w:val="sr-Cyrl-RS"/>
        </w:rPr>
      </w:pPr>
      <w:r w:rsidRPr="00171A80">
        <w:rPr>
          <w:rFonts w:asciiTheme="majorHAnsi" w:hAnsiTheme="majorHAnsi"/>
          <w:b/>
          <w:i/>
          <w:color w:val="51671F"/>
          <w:szCs w:val="22"/>
          <w:lang w:val="sr-Cyrl-RS"/>
        </w:rPr>
        <w:t>Структура државних хартија од вредности и њихова дурација (просечна рочност) у периоду 2011 - 31. октобар 2014. године</w:t>
      </w:r>
    </w:p>
    <w:p w:rsidR="002F31FA" w:rsidRPr="002F31FA" w:rsidRDefault="002F31FA" w:rsidP="002F31FA">
      <w:pPr>
        <w:ind w:firstLine="708"/>
        <w:rPr>
          <w:rFonts w:asciiTheme="majorHAnsi" w:hAnsiTheme="majorHAnsi"/>
          <w:bCs w:val="0"/>
          <w:color w:val="7F7F7F" w:themeColor="text1" w:themeTint="80"/>
          <w:sz w:val="21"/>
          <w:szCs w:val="21"/>
          <w:lang w:val="sr-Cyrl-RS"/>
        </w:rPr>
      </w:pPr>
      <w:bookmarkStart w:id="58" w:name="OLE_LINK11"/>
      <w:r w:rsidRPr="002F31FA">
        <w:rPr>
          <w:rFonts w:asciiTheme="majorHAnsi" w:hAnsiTheme="majorHAnsi"/>
          <w:bCs w:val="0"/>
          <w:color w:val="7F7F7F" w:themeColor="text1" w:themeTint="80"/>
          <w:sz w:val="21"/>
          <w:szCs w:val="21"/>
          <w:lang w:val="sr-Cyrl-RS"/>
        </w:rPr>
        <w:t>Република Србија је почела са емитовањем државних хартија од вредности у 2003. години. Првобитно су били емитовани само краткорочни државни записи у периоду 2003 - 2006. година, да би након периода стагнације развоја динарског тржишта државних хартија од вредности почело са реемитовањем државних хартија од вредности од фебруара 2009. године. У року од пет година овај дуг достигао је стање од 778,3 млрд динара, односно од 12,4 млрд евра апсолутног раста дуга у односу на крај 2009. године, половина раста је била генерисана на домаћем тржишту путем емисије динарских и евро деноминованих државних хартија од вредности. У 2012. години уведени су нови динарски инструменти као што су инфлационо индексиране обвезнице и двогодишња амортизациона обвезница са варијабилним купоном и петогодишња динарска обвезница.</w:t>
      </w:r>
    </w:p>
    <w:p w:rsidR="002F31FA" w:rsidRPr="002F31FA" w:rsidRDefault="002F31FA" w:rsidP="002F31FA">
      <w:pPr>
        <w:ind w:firstLine="708"/>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 xml:space="preserve">Претходна 2013. година, одликује значајним променама на пољу развоја тржишта државних хартија од вредности, како примарног тако и секундарног, као и развоју инструмената финансирања на домаћем финансијском тржишту. До тада емитовани осамнаестомесечни и двадесетчетворомесечни државни записи, замењени су двогодишњим државним обвезницама. Поред промене структуре инструмената, Република Србија је по први пут емитовала седмогодишње државне динарске обвезнице у марту месецу. У погледу развоја тржишта евро деноминованих државних хартија од вредности, Република Србија је у априлу месецу емитовала по први пут петогодишње евро деноминоване обвезнице. У 2013. години измењен је купонски период, преласком са шестомесечног на једногодишњу исплату купона. Поред реализације плана финансирања, задуживање по основу емисија првенствено динарских али и евро деноминованих хартија од вредности карактерише значајно смањење трошкова задуживања. Током 2013. године Република Србија је смањила трошкове задуживања по основу динарских хартија, што се конкретно најбоље види на примеру </w:t>
      </w:r>
      <w:r w:rsidRPr="002F31FA">
        <w:rPr>
          <w:rFonts w:asciiTheme="majorHAnsi" w:hAnsiTheme="majorHAnsi"/>
          <w:bCs w:val="0"/>
          <w:color w:val="7F7F7F" w:themeColor="text1" w:themeTint="80"/>
          <w:sz w:val="21"/>
          <w:szCs w:val="21"/>
          <w:lang w:val="sr-Cyrl-RS"/>
        </w:rPr>
        <w:lastRenderedPageBreak/>
        <w:t>педесеттронедељних записа код којих је остварено смањење просечне извршне стопе приноса за 3,0 п.п, као и код трогодишњих обвезница код којих је остварено смањење од 3,77 п.п.</w:t>
      </w:r>
    </w:p>
    <w:p w:rsidR="002F31FA" w:rsidRPr="002F31FA" w:rsidRDefault="002F31FA" w:rsidP="002F31FA">
      <w:pPr>
        <w:ind w:firstLine="708"/>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 xml:space="preserve">Тренд продужења рочности и раст учешћа динарских државних хартија од вредности у укупном портфолију државних хартија од вредности емитованих на домаћем тржишту настављен је и у 2014. години. Република Србија је 9. априла 2014. године по први пут емитовала десетогодишње евро деноминоване обвезнице у обиму од 125 мил. евра. Реотварањем примарне емисије 4. јуна 2014. године, Република Србија је укупно продала 99,0 мил. евра по основу десетогодишњих евро деноминованих обвезница. Такође, 21. октобра </w:t>
      </w:r>
      <w:r w:rsidR="001044A0">
        <w:rPr>
          <w:rFonts w:asciiTheme="majorHAnsi" w:hAnsiTheme="majorHAnsi"/>
          <w:bCs w:val="0"/>
          <w:color w:val="7F7F7F" w:themeColor="text1" w:themeTint="80"/>
          <w:sz w:val="21"/>
          <w:szCs w:val="21"/>
          <w:lang w:val="sr-Cyrl-RS"/>
        </w:rPr>
        <w:t xml:space="preserve">2014. године </w:t>
      </w:r>
      <w:r w:rsidRPr="002F31FA">
        <w:rPr>
          <w:rFonts w:asciiTheme="majorHAnsi" w:hAnsiTheme="majorHAnsi"/>
          <w:bCs w:val="0"/>
          <w:color w:val="7F7F7F" w:themeColor="text1" w:themeTint="80"/>
          <w:sz w:val="21"/>
          <w:szCs w:val="21"/>
          <w:lang w:val="sr-Cyrl-RS"/>
        </w:rPr>
        <w:t>по први пут емитоване су и десетогодишње динарске обвезнице. Обим емисије износио је 10 млрд динара, продато је 93% емисије по извршној стопи приноса од 12,99% и купоном од 10%. Емисијом десетогодишњих обвезница остварен је један од стратешких циљева развоја рочности криве приноса динарских државних хартија од вредности. У погледу анализе висине трошкова задуживања и ризика рефинансирања може се закључити да је од почетка године присутан висок ниво тражње уз константан пад трошкова задуживања. Овакав тренд омогућен је захваљујући стабилности одређених макроекономских индикатора, стабилној бази инвеститора, као и транспарентној политици управљања тржиштем државних хартија од вредности.</w:t>
      </w:r>
    </w:p>
    <w:p w:rsidR="002F31FA" w:rsidRPr="002F31FA" w:rsidRDefault="002F31FA" w:rsidP="002F31FA">
      <w:pPr>
        <w:ind w:firstLine="708"/>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У 2013. години укупан обим понуде динарских хартија од вредности на домаћем тржишту износио је 403,4 млрд динара, док је тражња за динарским хартијама од вредности износила је 589,7 млрд динара. Укупна номинална вредност продатих динарских хартија од вредности у 2013. години износила је 324,1 млрд динара уз просечну вредносно пондерисану извршну стопу од 10,70%. У погледу рочности, укупан обим понуде краткорочних динарских хартија износио је (укључујући и педесеттронедељне записе) 159,6 млрд динара, уз обим тражње од 314,2 млрд динара. Укупна номинална вредности продатих краткорочних динарских хартија, укључујући и педесеттронедељне записе, износи 143,7 млрд динара са просечном пондерисаном извршном стопом од 9,90%. Дугорочне динарске хартије емитоване су у укупном обиму од 243,8 млрд динара, тражња је износила 275,5 млрд динара са реализацијом од 180,4 млрд динара и просечном пондерисаном извршном стопом од 11,37%.</w:t>
      </w:r>
    </w:p>
    <w:p w:rsidR="00171A80" w:rsidRPr="00171A80" w:rsidRDefault="002F31FA" w:rsidP="002F31FA">
      <w:pPr>
        <w:ind w:firstLine="708"/>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Закључно са 31. октобром 2014. године, обим понуде динарских хартија од вредности на домаћем финансијском тржишту износио је 391,5 млрд динара, док је тражња за динарским хартијама износила 463,5 млрд динара. Укупна номинална вредност продатих динарских хартија од вредности, закључно са последњом аукцијом из октобра 2014. године, износила је 315,8 млрд динара уз просечну вредносно пондерисану извршну стопу од 9,74%. У погледу рочности, укупан обим понуде краткорочних динарских хартија (укључујући и педесеттронедељне записе) износио је 127,0 млрд динара уз обим тражње 156,2 млрд динара. Укупна номинална вредност продатих краткорочних динарских хартија, укључујући и педесеттронедељне записе, износила је 103,9 млрд динара са просечно пондерисаном извршном стопом од 8,19%. Укупан обим понуде дугорочних динарских хартија износио је 264,5 млрд динара, тражња је износила 307,3 млрд динара. Укупна номинална вредност продатих дугорочних динарских хартија износила је 211,9 млрд, са просечном пондерисаном извршном стопом од 10,50%</w:t>
      </w:r>
      <w:r w:rsidR="005261F6" w:rsidRPr="005261F6">
        <w:rPr>
          <w:rFonts w:asciiTheme="majorHAnsi" w:hAnsiTheme="majorHAnsi"/>
          <w:bCs w:val="0"/>
          <w:color w:val="7F7F7F" w:themeColor="text1" w:themeTint="80"/>
          <w:sz w:val="21"/>
          <w:szCs w:val="21"/>
          <w:lang w:val="sr-Cyrl-RS"/>
        </w:rPr>
        <w:t>.</w:t>
      </w:r>
    </w:p>
    <w:p w:rsidR="00927329" w:rsidRDefault="00927329">
      <w:pPr>
        <w:spacing w:after="0"/>
        <w:ind w:firstLine="0"/>
        <w:jc w:val="left"/>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br w:type="page"/>
      </w:r>
    </w:p>
    <w:p w:rsidR="00171A80" w:rsidRPr="00171A80" w:rsidRDefault="00171A80" w:rsidP="00171A80">
      <w:pPr>
        <w:spacing w:after="0"/>
        <w:ind w:firstLine="0"/>
        <w:jc w:val="center"/>
        <w:rPr>
          <w:rFonts w:asciiTheme="majorHAnsi" w:hAnsiTheme="majorHAnsi"/>
          <w:b/>
          <w:bCs w:val="0"/>
          <w:color w:val="7F7F7F" w:themeColor="text1" w:themeTint="80"/>
          <w:sz w:val="21"/>
          <w:szCs w:val="21"/>
          <w:lang w:val="sr-Cyrl-RS"/>
        </w:rPr>
      </w:pPr>
      <w:r w:rsidRPr="00171A80">
        <w:rPr>
          <w:rFonts w:asciiTheme="majorHAnsi" w:hAnsiTheme="majorHAnsi"/>
          <w:b/>
          <w:bCs w:val="0"/>
          <w:color w:val="7F7F7F" w:themeColor="text1" w:themeTint="80"/>
          <w:sz w:val="21"/>
          <w:szCs w:val="21"/>
          <w:lang w:val="sr-Cyrl-RS"/>
        </w:rPr>
        <w:lastRenderedPageBreak/>
        <w:t>Графи</w:t>
      </w:r>
      <w:r w:rsidR="00927329">
        <w:rPr>
          <w:rFonts w:asciiTheme="majorHAnsi" w:hAnsiTheme="majorHAnsi"/>
          <w:b/>
          <w:bCs w:val="0"/>
          <w:color w:val="7F7F7F" w:themeColor="text1" w:themeTint="80"/>
          <w:sz w:val="21"/>
          <w:szCs w:val="21"/>
          <w:lang w:val="sr-Cyrl-RS"/>
        </w:rPr>
        <w:t>кон 24</w:t>
      </w:r>
      <w:r w:rsidRPr="00171A80">
        <w:rPr>
          <w:rFonts w:asciiTheme="majorHAnsi" w:hAnsiTheme="majorHAnsi"/>
          <w:b/>
          <w:bCs w:val="0"/>
          <w:color w:val="7F7F7F" w:themeColor="text1" w:themeTint="80"/>
          <w:sz w:val="21"/>
          <w:szCs w:val="21"/>
          <w:lang w:val="sr-Cyrl-RS"/>
        </w:rPr>
        <w:t>. Структура стања динарских државних хартија од вредности по рочности у тренутку емисије на крају посматраног периода 2011 – 31. октобар 2014. године</w:t>
      </w:r>
    </w:p>
    <w:p w:rsidR="00171A80" w:rsidRPr="00171A80" w:rsidRDefault="00171A80" w:rsidP="00927329">
      <w:pPr>
        <w:spacing w:after="0"/>
        <w:ind w:firstLine="0"/>
        <w:rPr>
          <w:rFonts w:asciiTheme="majorHAnsi" w:hAnsiTheme="majorHAnsi"/>
          <w:bCs w:val="0"/>
          <w:color w:val="7F7F7F" w:themeColor="text1" w:themeTint="80"/>
          <w:sz w:val="21"/>
          <w:szCs w:val="21"/>
          <w:lang w:val="sr-Cyrl-RS"/>
        </w:rPr>
      </w:pPr>
    </w:p>
    <w:p w:rsidR="00171A80" w:rsidRPr="00171A80" w:rsidRDefault="001E4F9B" w:rsidP="00B70AD0">
      <w:pPr>
        <w:spacing w:after="0"/>
        <w:ind w:firstLine="708"/>
        <w:jc w:val="center"/>
        <w:rPr>
          <w:rFonts w:asciiTheme="majorHAnsi" w:hAnsiTheme="majorHAnsi"/>
          <w:bCs w:val="0"/>
          <w:color w:val="7F7F7F" w:themeColor="text1" w:themeTint="80"/>
          <w:sz w:val="21"/>
          <w:szCs w:val="21"/>
          <w:lang w:val="sr-Cyrl-RS"/>
        </w:rPr>
      </w:pPr>
      <w:r w:rsidRPr="00A00768">
        <w:rPr>
          <w:noProof/>
          <w:lang w:val="en-US"/>
        </w:rPr>
        <w:drawing>
          <wp:inline distT="0" distB="0" distL="0" distR="0" wp14:anchorId="19D17CB2" wp14:editId="14A9761C">
            <wp:extent cx="5731510" cy="6118860"/>
            <wp:effectExtent l="0" t="0" r="2540" b="0"/>
            <wp:docPr id="2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bookmarkEnd w:id="58"/>
    <w:p w:rsidR="00171A80" w:rsidRPr="00171A80" w:rsidRDefault="002F31FA" w:rsidP="00171A80">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У 2013. години укупан обим понуде евро деноминованих хартија од вредности на домаћем тржишту износио је 981,9 мил. евра, тражња за евро деноминованим хартијама од вредности износила је 1.222,5 мил. евра. Укупна номинална вредност продатих евро деноминованих хартија од вредности у 2013. години износила је 807,3 мил. евра уз просечну пондерисану извршну стопу од 4,44%. У погледу рочности, укупан обим понуде, педесеттронедељних евро записа, износио је 269,9 мил. евра, обим тражње 430,0 мил. евра. Укупна номинална вредности продатих евро записа износила је 214,8 мил. евра, са просечном вредносно пондерисаном извршном стопом од 3,59%. Дугорочне евро деноминоване хартије емитоване су у укупном обиму од 712,0 мил. евра, тражња је износила 792,5 мил. евра са реализацијом од 573,3 мил. евра и просечном пондерисаном извршном стопом од 4,75</w:t>
      </w:r>
      <w:r w:rsidR="005261F6">
        <w:rPr>
          <w:rFonts w:asciiTheme="majorHAnsi" w:hAnsiTheme="majorHAnsi"/>
          <w:bCs w:val="0"/>
          <w:color w:val="7F7F7F" w:themeColor="text1" w:themeTint="80"/>
          <w:sz w:val="21"/>
          <w:szCs w:val="21"/>
          <w:lang w:val="sr-Cyrl-RS"/>
        </w:rPr>
        <w:t>%</w:t>
      </w:r>
      <w:r w:rsidR="00171A80" w:rsidRPr="00171A80">
        <w:rPr>
          <w:rFonts w:asciiTheme="majorHAnsi" w:hAnsiTheme="majorHAnsi"/>
          <w:bCs w:val="0"/>
          <w:color w:val="7F7F7F" w:themeColor="text1" w:themeTint="80"/>
          <w:sz w:val="21"/>
          <w:szCs w:val="21"/>
          <w:lang w:val="sr-Cyrl-RS"/>
        </w:rPr>
        <w:t xml:space="preserve">. </w:t>
      </w:r>
    </w:p>
    <w:p w:rsidR="00E1376F" w:rsidRDefault="00E1376F">
      <w:pPr>
        <w:spacing w:after="0"/>
        <w:ind w:firstLine="0"/>
        <w:jc w:val="left"/>
        <w:rPr>
          <w:rFonts w:asciiTheme="majorHAnsi" w:hAnsiTheme="majorHAnsi"/>
          <w:b/>
          <w:bCs w:val="0"/>
          <w:color w:val="7F7F7F" w:themeColor="text1" w:themeTint="80"/>
          <w:sz w:val="21"/>
          <w:szCs w:val="21"/>
          <w:lang w:val="sr-Cyrl-RS"/>
        </w:rPr>
      </w:pPr>
      <w:bookmarkStart w:id="59" w:name="OLE_LINK15"/>
      <w:r>
        <w:rPr>
          <w:rFonts w:asciiTheme="majorHAnsi" w:hAnsiTheme="majorHAnsi"/>
          <w:b/>
          <w:bCs w:val="0"/>
          <w:color w:val="7F7F7F" w:themeColor="text1" w:themeTint="80"/>
          <w:sz w:val="21"/>
          <w:szCs w:val="21"/>
          <w:lang w:val="sr-Cyrl-RS"/>
        </w:rPr>
        <w:br w:type="page"/>
      </w:r>
    </w:p>
    <w:p w:rsidR="00171A80" w:rsidRPr="00171A80" w:rsidRDefault="00927329" w:rsidP="00171A80">
      <w:pPr>
        <w:spacing w:after="0"/>
        <w:ind w:firstLine="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lastRenderedPageBreak/>
        <w:t>Графикон 25</w:t>
      </w:r>
      <w:r w:rsidR="00171A80" w:rsidRPr="00171A80">
        <w:rPr>
          <w:rFonts w:asciiTheme="majorHAnsi" w:hAnsiTheme="majorHAnsi"/>
          <w:b/>
          <w:bCs w:val="0"/>
          <w:color w:val="7F7F7F" w:themeColor="text1" w:themeTint="80"/>
          <w:sz w:val="21"/>
          <w:szCs w:val="21"/>
          <w:lang w:val="sr-Cyrl-RS"/>
        </w:rPr>
        <w:t>. Структура стања евро деноминованих државних хартија од вредности по рочности у тренутку емисије на крају октобра 2014. године</w:t>
      </w:r>
      <w:bookmarkEnd w:id="59"/>
    </w:p>
    <w:p w:rsidR="00171A80" w:rsidRPr="00171A80" w:rsidRDefault="00171A80" w:rsidP="00171A80">
      <w:pPr>
        <w:spacing w:after="0"/>
        <w:rPr>
          <w:rFonts w:asciiTheme="majorHAnsi" w:hAnsiTheme="majorHAnsi"/>
          <w:bCs w:val="0"/>
          <w:color w:val="7F7F7F" w:themeColor="text1" w:themeTint="80"/>
          <w:sz w:val="21"/>
          <w:szCs w:val="21"/>
          <w:lang w:val="sr-Cyrl-RS"/>
        </w:rPr>
      </w:pPr>
    </w:p>
    <w:p w:rsidR="00171A80" w:rsidRPr="00171A80" w:rsidRDefault="00B70AD0" w:rsidP="00B70AD0">
      <w:pPr>
        <w:spacing w:after="0"/>
        <w:jc w:val="center"/>
        <w:rPr>
          <w:rFonts w:asciiTheme="majorHAnsi" w:hAnsiTheme="majorHAnsi"/>
          <w:bCs w:val="0"/>
          <w:color w:val="7F7F7F" w:themeColor="text1" w:themeTint="80"/>
          <w:sz w:val="21"/>
          <w:szCs w:val="21"/>
          <w:lang w:val="sr-Cyrl-RS"/>
        </w:rPr>
      </w:pPr>
      <w:r w:rsidRPr="00A00768">
        <w:rPr>
          <w:noProof/>
          <w:lang w:val="en-US"/>
        </w:rPr>
        <w:drawing>
          <wp:inline distT="0" distB="0" distL="0" distR="0" wp14:anchorId="4424C18D" wp14:editId="51220C99">
            <wp:extent cx="5731510" cy="2988945"/>
            <wp:effectExtent l="0" t="0" r="2540" b="1905"/>
            <wp:docPr id="48"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71A80" w:rsidRPr="00171A80" w:rsidRDefault="00171A80" w:rsidP="00171A80">
      <w:pPr>
        <w:spacing w:after="0"/>
        <w:rPr>
          <w:rFonts w:asciiTheme="majorHAnsi" w:hAnsiTheme="majorHAnsi"/>
          <w:b/>
          <w:noProof/>
          <w:sz w:val="21"/>
          <w:szCs w:val="21"/>
          <w:lang w:val="sr-Cyrl-RS"/>
        </w:rPr>
      </w:pPr>
    </w:p>
    <w:p w:rsidR="00171A80" w:rsidRPr="00171A80" w:rsidRDefault="00171A80" w:rsidP="00171A80">
      <w:pPr>
        <w:spacing w:after="0"/>
        <w:ind w:firstLine="0"/>
        <w:rPr>
          <w:rFonts w:asciiTheme="majorHAnsi" w:hAnsiTheme="majorHAnsi"/>
          <w:bCs w:val="0"/>
          <w:color w:val="7F7F7F" w:themeColor="text1" w:themeTint="80"/>
          <w:sz w:val="21"/>
          <w:szCs w:val="21"/>
          <w:lang w:val="sr-Cyrl-RS"/>
        </w:rPr>
      </w:pPr>
    </w:p>
    <w:p w:rsidR="00171A80" w:rsidRPr="00171A80" w:rsidRDefault="00171A80" w:rsidP="00171A80">
      <w:pPr>
        <w:spacing w:after="0"/>
        <w:ind w:firstLine="0"/>
        <w:rPr>
          <w:rFonts w:asciiTheme="majorHAnsi" w:hAnsiTheme="majorHAnsi"/>
          <w:bCs w:val="0"/>
          <w:color w:val="7F7F7F" w:themeColor="text1" w:themeTint="80"/>
          <w:sz w:val="21"/>
          <w:szCs w:val="21"/>
          <w:lang w:val="sr-Cyrl-RS"/>
        </w:rPr>
      </w:pPr>
    </w:p>
    <w:p w:rsidR="00171A80" w:rsidRPr="00171A80" w:rsidRDefault="00984065" w:rsidP="00171A80">
      <w:pPr>
        <w:spacing w:after="0"/>
        <w:ind w:firstLine="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t>Графикон 26</w:t>
      </w:r>
      <w:r w:rsidR="00171A80" w:rsidRPr="00171A80">
        <w:rPr>
          <w:rFonts w:asciiTheme="majorHAnsi" w:hAnsiTheme="majorHAnsi"/>
          <w:b/>
          <w:bCs w:val="0"/>
          <w:color w:val="7F7F7F" w:themeColor="text1" w:themeTint="80"/>
          <w:sz w:val="21"/>
          <w:szCs w:val="21"/>
          <w:lang w:val="sr-Cyrl-RS"/>
        </w:rPr>
        <w:t>. Преглед извршних стопа државних динарских хартија од вредности</w:t>
      </w:r>
    </w:p>
    <w:p w:rsidR="00171A80" w:rsidRPr="00171A80" w:rsidRDefault="00171A80" w:rsidP="00171A80">
      <w:pPr>
        <w:spacing w:after="0"/>
        <w:ind w:firstLine="0"/>
        <w:jc w:val="center"/>
        <w:rPr>
          <w:rFonts w:asciiTheme="majorHAnsi" w:hAnsiTheme="majorHAnsi"/>
          <w:bCs w:val="0"/>
          <w:color w:val="7F7F7F" w:themeColor="text1" w:themeTint="80"/>
          <w:sz w:val="21"/>
          <w:szCs w:val="21"/>
          <w:lang w:val="sr-Cyrl-RS"/>
        </w:rPr>
      </w:pPr>
    </w:p>
    <w:p w:rsidR="00171A80" w:rsidRPr="00EE5FC0" w:rsidRDefault="00171A80" w:rsidP="00171A80">
      <w:pPr>
        <w:spacing w:after="0"/>
        <w:ind w:firstLine="0"/>
        <w:jc w:val="center"/>
        <w:rPr>
          <w:rFonts w:asciiTheme="majorHAnsi" w:hAnsiTheme="majorHAnsi"/>
          <w:bCs w:val="0"/>
          <w:color w:val="FFFFFF" w:themeColor="background1"/>
          <w:sz w:val="21"/>
          <w:szCs w:val="21"/>
          <w:lang w:val="sr-Cyrl-RS"/>
          <w14:textFill>
            <w14:noFill/>
          </w14:textFill>
        </w:rPr>
      </w:pPr>
      <w:r w:rsidRPr="00984065">
        <w:rPr>
          <w:rFonts w:asciiTheme="majorHAnsi" w:hAnsiTheme="majorHAnsi"/>
          <w:bCs w:val="0"/>
          <w:noProof/>
          <w:sz w:val="21"/>
          <w:szCs w:val="21"/>
          <w:shd w:val="clear" w:color="auto" w:fill="808080" w:themeFill="background1" w:themeFillShade="80"/>
          <w:lang w:val="en-US"/>
        </w:rPr>
        <w:drawing>
          <wp:inline distT="0" distB="0" distL="0" distR="0" wp14:anchorId="224A2346" wp14:editId="1137F82B">
            <wp:extent cx="5727700" cy="3784060"/>
            <wp:effectExtent l="0" t="0" r="6350" b="6985"/>
            <wp:docPr id="3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71A80" w:rsidRPr="00171A80" w:rsidRDefault="00171A80" w:rsidP="00171A80">
      <w:pPr>
        <w:spacing w:after="0"/>
        <w:ind w:firstLine="0"/>
        <w:jc w:val="center"/>
        <w:rPr>
          <w:rFonts w:asciiTheme="majorHAnsi" w:hAnsiTheme="majorHAnsi"/>
          <w:bCs w:val="0"/>
          <w:color w:val="7F7F7F" w:themeColor="text1" w:themeTint="80"/>
          <w:sz w:val="21"/>
          <w:szCs w:val="21"/>
          <w:lang w:val="sr-Cyrl-RS"/>
        </w:rPr>
      </w:pPr>
    </w:p>
    <w:p w:rsidR="00171A80" w:rsidRPr="00171A80" w:rsidRDefault="00171A80" w:rsidP="00171A80">
      <w:pPr>
        <w:spacing w:after="0"/>
        <w:ind w:firstLine="0"/>
        <w:jc w:val="center"/>
        <w:rPr>
          <w:rFonts w:asciiTheme="majorHAnsi" w:hAnsiTheme="majorHAnsi"/>
          <w:bCs w:val="0"/>
          <w:color w:val="7F7F7F" w:themeColor="text1" w:themeTint="80"/>
          <w:sz w:val="21"/>
          <w:szCs w:val="21"/>
          <w:lang w:val="sr-Cyrl-RS"/>
        </w:rPr>
      </w:pPr>
    </w:p>
    <w:p w:rsidR="00171A80" w:rsidRPr="00171A80" w:rsidRDefault="00171A80" w:rsidP="00171A80">
      <w:pPr>
        <w:spacing w:after="0"/>
        <w:ind w:firstLine="0"/>
        <w:jc w:val="center"/>
        <w:rPr>
          <w:rFonts w:asciiTheme="majorHAnsi" w:hAnsiTheme="majorHAnsi"/>
          <w:bCs w:val="0"/>
          <w:color w:val="7F7F7F" w:themeColor="text1" w:themeTint="80"/>
          <w:sz w:val="21"/>
          <w:szCs w:val="21"/>
          <w:lang w:val="sr-Cyrl-RS"/>
        </w:rPr>
      </w:pPr>
    </w:p>
    <w:p w:rsidR="00171A80" w:rsidRPr="00171A80" w:rsidRDefault="00171A80" w:rsidP="002A5649">
      <w:pPr>
        <w:spacing w:after="0"/>
        <w:ind w:firstLine="0"/>
        <w:rPr>
          <w:rFonts w:asciiTheme="majorHAnsi" w:hAnsiTheme="majorHAnsi"/>
          <w:bCs w:val="0"/>
          <w:color w:val="7F7F7F" w:themeColor="text1" w:themeTint="80"/>
          <w:sz w:val="21"/>
          <w:szCs w:val="21"/>
          <w:lang w:val="sr-Cyrl-RS"/>
        </w:rPr>
      </w:pPr>
    </w:p>
    <w:p w:rsidR="00171A80" w:rsidRPr="00171A80" w:rsidRDefault="00984065" w:rsidP="00171A80">
      <w:pPr>
        <w:spacing w:after="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lastRenderedPageBreak/>
        <w:t>Графикон 27</w:t>
      </w:r>
      <w:r w:rsidR="00171A80" w:rsidRPr="00171A80">
        <w:rPr>
          <w:rFonts w:asciiTheme="majorHAnsi" w:hAnsiTheme="majorHAnsi"/>
          <w:b/>
          <w:bCs w:val="0"/>
          <w:color w:val="7F7F7F" w:themeColor="text1" w:themeTint="80"/>
          <w:sz w:val="21"/>
          <w:szCs w:val="21"/>
          <w:lang w:val="sr-Cyrl-RS"/>
        </w:rPr>
        <w:t>. Преглед извршних стопа државних евро хартија од вредности</w:t>
      </w:r>
    </w:p>
    <w:p w:rsidR="00171A80" w:rsidRPr="00171A80" w:rsidRDefault="00171A80" w:rsidP="00171A80">
      <w:pPr>
        <w:spacing w:after="0"/>
        <w:ind w:firstLine="0"/>
        <w:rPr>
          <w:rFonts w:asciiTheme="majorHAnsi" w:hAnsiTheme="majorHAnsi"/>
          <w:bCs w:val="0"/>
          <w:color w:val="7F7F7F" w:themeColor="text1" w:themeTint="80"/>
          <w:sz w:val="21"/>
          <w:szCs w:val="21"/>
          <w:lang w:val="sr-Cyrl-RS"/>
        </w:rPr>
      </w:pPr>
    </w:p>
    <w:p w:rsidR="00171A80" w:rsidRPr="00171A80" w:rsidRDefault="00171A80" w:rsidP="00171A80">
      <w:pPr>
        <w:spacing w:after="0"/>
        <w:ind w:firstLine="0"/>
        <w:rPr>
          <w:rFonts w:asciiTheme="majorHAnsi" w:hAnsiTheme="majorHAnsi"/>
          <w:bCs w:val="0"/>
          <w:sz w:val="21"/>
          <w:szCs w:val="21"/>
          <w:lang w:val="sr-Cyrl-RS"/>
        </w:rPr>
      </w:pPr>
      <w:r w:rsidRPr="00171A80">
        <w:rPr>
          <w:rFonts w:asciiTheme="majorHAnsi" w:hAnsiTheme="majorHAnsi"/>
          <w:bCs w:val="0"/>
          <w:noProof/>
          <w:sz w:val="21"/>
          <w:szCs w:val="21"/>
          <w:lang w:val="en-US"/>
        </w:rPr>
        <w:drawing>
          <wp:inline distT="0" distB="0" distL="0" distR="0" wp14:anchorId="2B3844E4" wp14:editId="28B7AC4E">
            <wp:extent cx="5727940" cy="2682815"/>
            <wp:effectExtent l="0" t="0" r="6350" b="3810"/>
            <wp:docPr id="3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71A80" w:rsidRPr="00171A80" w:rsidRDefault="002F31FA" w:rsidP="00171A80">
      <w:pPr>
        <w:spacing w:before="120"/>
        <w:rPr>
          <w:rFonts w:asciiTheme="majorHAnsi" w:hAnsiTheme="majorHAnsi"/>
          <w:bCs w:val="0"/>
          <w:i/>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С обзиром на то да су до 2010. године емитовани углавном државни записи, дурација, односно просечан број дана до доспећа, је била на ниском нивоу. Увођењем нових инструмената, који су имали дужи рок доспећа и смањењем учешћа краткорочних инструмената у укупном стању динарских хартија од вредности, значајно је продужена дурација. На дан 31. октобар 2014. године, дурација динарских државних хартија од вредности је била 654 дана, док је просечна дурација укупних државних хартија од вредности износила 769 дана. Кретање дурације државних хартија од вредности у последњих неколико година приказано је на следећем графикону</w:t>
      </w:r>
      <w:r w:rsidR="00171A80" w:rsidRPr="00171A80">
        <w:rPr>
          <w:rFonts w:asciiTheme="majorHAnsi" w:hAnsiTheme="majorHAnsi"/>
          <w:bCs w:val="0"/>
          <w:color w:val="7F7F7F" w:themeColor="text1" w:themeTint="80"/>
          <w:sz w:val="21"/>
          <w:szCs w:val="21"/>
          <w:lang w:val="sr-Cyrl-RS"/>
        </w:rPr>
        <w:t>:</w:t>
      </w:r>
    </w:p>
    <w:p w:rsidR="00171A80" w:rsidRPr="00171A80" w:rsidRDefault="00984065" w:rsidP="00171A80">
      <w:pPr>
        <w:spacing w:after="0"/>
        <w:ind w:firstLine="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t>Графикон 28</w:t>
      </w:r>
      <w:r w:rsidR="00171A80" w:rsidRPr="00171A80">
        <w:rPr>
          <w:rFonts w:asciiTheme="majorHAnsi" w:hAnsiTheme="majorHAnsi"/>
          <w:b/>
          <w:bCs w:val="0"/>
          <w:color w:val="7F7F7F" w:themeColor="text1" w:themeTint="80"/>
          <w:sz w:val="21"/>
          <w:szCs w:val="21"/>
          <w:lang w:val="sr-Cyrl-RS"/>
        </w:rPr>
        <w:t>. Дурација по основу државних хартија од вредности емитованих на домаћем тржишту у периоду 2011 – 31. октобар 2014. године</w:t>
      </w:r>
    </w:p>
    <w:p w:rsidR="00171A80" w:rsidRPr="00171A80" w:rsidRDefault="00171A80" w:rsidP="00171A80">
      <w:pPr>
        <w:spacing w:after="0"/>
        <w:ind w:firstLine="0"/>
        <w:jc w:val="center"/>
        <w:rPr>
          <w:rFonts w:asciiTheme="majorHAnsi" w:hAnsiTheme="majorHAnsi"/>
          <w:noProof/>
          <w:sz w:val="21"/>
          <w:szCs w:val="21"/>
          <w:lang w:val="sr-Cyrl-RS" w:eastAsia="sr-Latn-RS"/>
        </w:rPr>
      </w:pPr>
      <w:r w:rsidRPr="00171A80">
        <w:rPr>
          <w:rFonts w:asciiTheme="majorHAnsi" w:hAnsiTheme="majorHAnsi"/>
          <w:noProof/>
          <w:sz w:val="21"/>
          <w:szCs w:val="21"/>
          <w:lang w:val="en-US"/>
        </w:rPr>
        <w:drawing>
          <wp:inline distT="0" distB="0" distL="0" distR="0" wp14:anchorId="2959FF22" wp14:editId="7C9D8A2C">
            <wp:extent cx="5227455" cy="2985961"/>
            <wp:effectExtent l="0" t="0" r="0" b="50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71A80" w:rsidRPr="00171A80" w:rsidRDefault="00171A80" w:rsidP="00171A80">
      <w:pPr>
        <w:spacing w:after="0"/>
        <w:ind w:firstLine="0"/>
        <w:jc w:val="center"/>
        <w:rPr>
          <w:rFonts w:asciiTheme="majorHAnsi" w:hAnsiTheme="majorHAnsi"/>
          <w:sz w:val="21"/>
          <w:szCs w:val="21"/>
          <w:lang w:val="sr-Cyrl-RS" w:eastAsia="ko-KR"/>
        </w:rPr>
      </w:pPr>
    </w:p>
    <w:p w:rsidR="00171A80" w:rsidRPr="002F31FA" w:rsidRDefault="00171A80" w:rsidP="00171A80">
      <w:pPr>
        <w:ind w:firstLine="0"/>
        <w:jc w:val="left"/>
        <w:rPr>
          <w:rFonts w:asciiTheme="majorHAnsi" w:hAnsiTheme="majorHAnsi"/>
          <w:b/>
          <w:i/>
          <w:color w:val="51671F"/>
          <w:szCs w:val="22"/>
          <w:lang w:val="sr-Latn-RS" w:eastAsia="ko-KR"/>
        </w:rPr>
      </w:pPr>
      <w:r w:rsidRPr="00171A80">
        <w:rPr>
          <w:rFonts w:asciiTheme="majorHAnsi" w:hAnsiTheme="majorHAnsi"/>
          <w:b/>
          <w:i/>
          <w:color w:val="51671F"/>
          <w:szCs w:val="22"/>
          <w:lang w:val="sr-Cyrl-RS" w:eastAsia="ko-KR"/>
        </w:rPr>
        <w:lastRenderedPageBreak/>
        <w:t>Сервисирање јавног дуга Републике Србије (централни ниво власти</w:t>
      </w:r>
      <w:r w:rsidRPr="00171A80">
        <w:rPr>
          <w:rFonts w:asciiTheme="majorHAnsi" w:hAnsiTheme="majorHAnsi"/>
          <w:b/>
          <w:i/>
          <w:color w:val="51671F"/>
          <w:szCs w:val="22"/>
          <w:vertAlign w:val="superscript"/>
          <w:lang w:val="sr-Cyrl-RS" w:eastAsia="ko-KR"/>
        </w:rPr>
        <w:footnoteReference w:id="6"/>
      </w:r>
      <w:r w:rsidRPr="00171A80">
        <w:rPr>
          <w:rFonts w:asciiTheme="majorHAnsi" w:hAnsiTheme="majorHAnsi"/>
          <w:b/>
          <w:i/>
          <w:color w:val="51671F"/>
          <w:szCs w:val="22"/>
          <w:lang w:val="sr-Cyrl-RS" w:eastAsia="ko-KR"/>
        </w:rPr>
        <w:t>) у периоду 2014 - 2017. годин</w:t>
      </w:r>
      <w:r w:rsidR="002F31FA">
        <w:rPr>
          <w:rFonts w:asciiTheme="majorHAnsi" w:hAnsiTheme="majorHAnsi"/>
          <w:b/>
          <w:i/>
          <w:color w:val="51671F"/>
          <w:szCs w:val="22"/>
          <w:lang w:val="sr-Latn-RS" w:eastAsia="ko-KR"/>
        </w:rPr>
        <w:t>e</w:t>
      </w:r>
    </w:p>
    <w:p w:rsidR="00171A80" w:rsidRPr="00171A80" w:rsidRDefault="005261F6" w:rsidP="00171A80">
      <w:pPr>
        <w:rPr>
          <w:rFonts w:asciiTheme="majorHAnsi" w:hAnsiTheme="majorHAnsi"/>
          <w:bCs w:val="0"/>
          <w:color w:val="7F7F7F" w:themeColor="text1" w:themeTint="80"/>
          <w:kern w:val="20"/>
          <w:sz w:val="21"/>
          <w:szCs w:val="21"/>
          <w:lang w:val="sr-Cyrl-RS" w:eastAsia="ko-KR"/>
        </w:rPr>
      </w:pPr>
      <w:r w:rsidRPr="005261F6">
        <w:rPr>
          <w:rFonts w:asciiTheme="majorHAnsi" w:hAnsiTheme="majorHAnsi"/>
          <w:bCs w:val="0"/>
          <w:color w:val="7F7F7F" w:themeColor="text1" w:themeTint="80"/>
          <w:kern w:val="20"/>
          <w:sz w:val="21"/>
          <w:szCs w:val="21"/>
          <w:lang w:val="sr-Cyrl-RS" w:eastAsia="ko-KR"/>
        </w:rPr>
        <w:t>Представљени су подаци о досадашњим отплатама камата и главница, као и о пројекцијама за наредни период</w:t>
      </w:r>
      <w:r w:rsidR="00171A80" w:rsidRPr="00171A80">
        <w:rPr>
          <w:rFonts w:asciiTheme="majorHAnsi" w:hAnsiTheme="majorHAnsi"/>
          <w:bCs w:val="0"/>
          <w:color w:val="7F7F7F" w:themeColor="text1" w:themeTint="80"/>
          <w:kern w:val="20"/>
          <w:sz w:val="21"/>
          <w:szCs w:val="21"/>
          <w:lang w:val="sr-Cyrl-RS" w:eastAsia="ko-KR"/>
        </w:rPr>
        <w:t xml:space="preserve">. </w:t>
      </w:r>
    </w:p>
    <w:p w:rsidR="00171A80" w:rsidRPr="00171A80" w:rsidRDefault="00171A80" w:rsidP="00D05B1D">
      <w:pPr>
        <w:ind w:firstLine="0"/>
        <w:jc w:val="left"/>
        <w:rPr>
          <w:rFonts w:asciiTheme="majorHAnsi" w:hAnsiTheme="majorHAnsi"/>
          <w:b/>
          <w:bCs w:val="0"/>
          <w:color w:val="7F7F7F" w:themeColor="text1" w:themeTint="80"/>
          <w:kern w:val="20"/>
          <w:sz w:val="21"/>
          <w:szCs w:val="21"/>
          <w:lang w:val="sr-Cyrl-RS" w:eastAsia="ko-KR"/>
        </w:rPr>
      </w:pPr>
      <w:r w:rsidRPr="00171A80">
        <w:rPr>
          <w:rFonts w:asciiTheme="majorHAnsi" w:hAnsiTheme="majorHAnsi"/>
          <w:b/>
          <w:bCs w:val="0"/>
          <w:color w:val="7F7F7F" w:themeColor="text1" w:themeTint="80"/>
          <w:kern w:val="20"/>
          <w:sz w:val="21"/>
          <w:szCs w:val="21"/>
          <w:lang w:val="sr-Cyrl-RS" w:eastAsia="ko-KR"/>
        </w:rPr>
        <w:t xml:space="preserve">Табела </w:t>
      </w:r>
      <w:r w:rsidR="00984065">
        <w:rPr>
          <w:rFonts w:asciiTheme="majorHAnsi" w:hAnsiTheme="majorHAnsi"/>
          <w:b/>
          <w:bCs w:val="0"/>
          <w:color w:val="7F7F7F" w:themeColor="text1" w:themeTint="80"/>
          <w:kern w:val="20"/>
          <w:sz w:val="21"/>
          <w:szCs w:val="21"/>
          <w:lang w:val="sr-Cyrl-RS" w:eastAsia="ko-KR"/>
        </w:rPr>
        <w:t>21</w:t>
      </w:r>
      <w:r w:rsidRPr="00171A80">
        <w:rPr>
          <w:rFonts w:asciiTheme="majorHAnsi" w:hAnsiTheme="majorHAnsi"/>
          <w:b/>
          <w:bCs w:val="0"/>
          <w:color w:val="7F7F7F" w:themeColor="text1" w:themeTint="80"/>
          <w:kern w:val="20"/>
          <w:sz w:val="21"/>
          <w:szCs w:val="21"/>
          <w:lang w:val="sr-Cyrl-RS" w:eastAsia="ko-KR"/>
        </w:rPr>
        <w:t>. Отплате камата и главница у периоду 2011 - 2013. године</w:t>
      </w:r>
    </w:p>
    <w:tbl>
      <w:tblPr>
        <w:tblW w:w="5000" w:type="pct"/>
        <w:tblBorders>
          <w:top w:val="single" w:sz="8" w:space="0" w:color="76923C" w:themeColor="accent3" w:themeShade="BF"/>
          <w:bottom w:val="single" w:sz="8" w:space="0" w:color="76923C" w:themeColor="accent3" w:themeShade="BF"/>
        </w:tblBorders>
        <w:tblLook w:val="0420" w:firstRow="1" w:lastRow="0" w:firstColumn="0" w:lastColumn="0" w:noHBand="0" w:noVBand="1"/>
      </w:tblPr>
      <w:tblGrid>
        <w:gridCol w:w="4443"/>
        <w:gridCol w:w="1527"/>
        <w:gridCol w:w="1527"/>
        <w:gridCol w:w="1529"/>
      </w:tblGrid>
      <w:tr w:rsidR="00171A80" w:rsidRPr="00171A80" w:rsidTr="005E5E59">
        <w:trPr>
          <w:trHeight w:val="20"/>
        </w:trPr>
        <w:tc>
          <w:tcPr>
            <w:tcW w:w="2461"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 </w:t>
            </w:r>
          </w:p>
        </w:tc>
        <w:tc>
          <w:tcPr>
            <w:tcW w:w="846"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2011</w:t>
            </w:r>
          </w:p>
        </w:tc>
        <w:tc>
          <w:tcPr>
            <w:tcW w:w="846"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2012</w:t>
            </w:r>
          </w:p>
        </w:tc>
        <w:tc>
          <w:tcPr>
            <w:tcW w:w="846"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2013</w:t>
            </w:r>
          </w:p>
        </w:tc>
      </w:tr>
      <w:tr w:rsidR="00171A80" w:rsidRPr="00171A80" w:rsidTr="00171A80">
        <w:trPr>
          <w:trHeight w:val="161"/>
        </w:trPr>
        <w:tc>
          <w:tcPr>
            <w:tcW w:w="2461" w:type="pct"/>
            <w:tcBorders>
              <w:top w:val="single" w:sz="8" w:space="0" w:color="76923C" w:themeColor="accent3" w:themeShade="BF"/>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w:t>
            </w:r>
          </w:p>
        </w:tc>
        <w:tc>
          <w:tcPr>
            <w:tcW w:w="2539" w:type="pct"/>
            <w:gridSpan w:val="3"/>
            <w:tcBorders>
              <w:top w:val="single" w:sz="8" w:space="0" w:color="76923C" w:themeColor="accent3" w:themeShade="BF"/>
            </w:tcBorders>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у млрд динара</w:t>
            </w:r>
          </w:p>
        </w:tc>
      </w:tr>
      <w:tr w:rsidR="00171A80" w:rsidRPr="00171A80" w:rsidTr="005E5E59">
        <w:trPr>
          <w:trHeight w:val="20"/>
        </w:trPr>
        <w:tc>
          <w:tcPr>
            <w:tcW w:w="2461" w:type="pct"/>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Отплата главнице</w:t>
            </w:r>
          </w:p>
        </w:tc>
        <w:tc>
          <w:tcPr>
            <w:tcW w:w="846" w:type="pct"/>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290,5</w:t>
            </w:r>
          </w:p>
        </w:tc>
        <w:tc>
          <w:tcPr>
            <w:tcW w:w="846" w:type="pct"/>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308,5</w:t>
            </w:r>
          </w:p>
        </w:tc>
        <w:tc>
          <w:tcPr>
            <w:tcW w:w="846" w:type="pct"/>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410,4</w:t>
            </w:r>
          </w:p>
        </w:tc>
      </w:tr>
      <w:tr w:rsidR="00171A80" w:rsidRPr="00171A80" w:rsidTr="005E5E59">
        <w:trPr>
          <w:trHeight w:val="20"/>
        </w:trPr>
        <w:tc>
          <w:tcPr>
            <w:tcW w:w="2461" w:type="pct"/>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Отплата камате</w:t>
            </w:r>
          </w:p>
        </w:tc>
        <w:tc>
          <w:tcPr>
            <w:tcW w:w="846" w:type="pct"/>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40,4</w:t>
            </w:r>
          </w:p>
        </w:tc>
        <w:tc>
          <w:tcPr>
            <w:tcW w:w="846" w:type="pct"/>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63,1</w:t>
            </w:r>
          </w:p>
        </w:tc>
        <w:tc>
          <w:tcPr>
            <w:tcW w:w="846" w:type="pct"/>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89,2</w:t>
            </w:r>
          </w:p>
        </w:tc>
      </w:tr>
      <w:tr w:rsidR="00171A80" w:rsidRPr="00171A80" w:rsidTr="005E5E59">
        <w:trPr>
          <w:trHeight w:val="20"/>
        </w:trPr>
        <w:tc>
          <w:tcPr>
            <w:tcW w:w="2461" w:type="pct"/>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Укупно</w:t>
            </w:r>
          </w:p>
        </w:tc>
        <w:tc>
          <w:tcPr>
            <w:tcW w:w="846" w:type="pct"/>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330,9</w:t>
            </w:r>
          </w:p>
        </w:tc>
        <w:tc>
          <w:tcPr>
            <w:tcW w:w="846" w:type="pct"/>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371,6</w:t>
            </w:r>
          </w:p>
        </w:tc>
        <w:tc>
          <w:tcPr>
            <w:tcW w:w="846" w:type="pct"/>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499,6</w:t>
            </w:r>
          </w:p>
        </w:tc>
      </w:tr>
    </w:tbl>
    <w:p w:rsidR="00171A80" w:rsidRPr="00171A80" w:rsidRDefault="00171A80" w:rsidP="00171A80">
      <w:pPr>
        <w:spacing w:after="0"/>
        <w:rPr>
          <w:rFonts w:asciiTheme="majorHAnsi" w:hAnsiTheme="majorHAnsi"/>
          <w:bCs w:val="0"/>
          <w:kern w:val="20"/>
          <w:sz w:val="21"/>
          <w:szCs w:val="21"/>
          <w:lang w:val="sr-Cyrl-RS" w:eastAsia="ko-KR"/>
        </w:rPr>
      </w:pPr>
    </w:p>
    <w:p w:rsidR="00171A80" w:rsidRPr="00171A80" w:rsidRDefault="00171A80" w:rsidP="00D05B1D">
      <w:pPr>
        <w:ind w:firstLine="0"/>
        <w:jc w:val="left"/>
        <w:rPr>
          <w:rFonts w:asciiTheme="majorHAnsi" w:hAnsiTheme="majorHAnsi"/>
          <w:b/>
          <w:bCs w:val="0"/>
          <w:color w:val="7F7F7F" w:themeColor="text1" w:themeTint="80"/>
          <w:kern w:val="20"/>
          <w:sz w:val="21"/>
          <w:szCs w:val="21"/>
          <w:lang w:val="sr-Cyrl-RS" w:eastAsia="ko-KR"/>
        </w:rPr>
      </w:pPr>
      <w:r w:rsidRPr="00171A80">
        <w:rPr>
          <w:rFonts w:asciiTheme="majorHAnsi" w:hAnsiTheme="majorHAnsi"/>
          <w:b/>
          <w:bCs w:val="0"/>
          <w:color w:val="7F7F7F" w:themeColor="text1" w:themeTint="80"/>
          <w:kern w:val="20"/>
          <w:sz w:val="21"/>
          <w:szCs w:val="21"/>
          <w:lang w:val="sr-Cyrl-RS" w:eastAsia="ko-KR"/>
        </w:rPr>
        <w:t xml:space="preserve">Табела </w:t>
      </w:r>
      <w:r w:rsidR="00984065">
        <w:rPr>
          <w:rFonts w:asciiTheme="majorHAnsi" w:hAnsiTheme="majorHAnsi"/>
          <w:b/>
          <w:bCs w:val="0"/>
          <w:color w:val="7F7F7F" w:themeColor="text1" w:themeTint="80"/>
          <w:kern w:val="20"/>
          <w:sz w:val="21"/>
          <w:szCs w:val="21"/>
          <w:lang w:val="sr-Cyrl-RS" w:eastAsia="ko-KR"/>
        </w:rPr>
        <w:t>22</w:t>
      </w:r>
      <w:r w:rsidRPr="00171A80">
        <w:rPr>
          <w:rFonts w:asciiTheme="majorHAnsi" w:hAnsiTheme="majorHAnsi"/>
          <w:b/>
          <w:bCs w:val="0"/>
          <w:color w:val="7F7F7F" w:themeColor="text1" w:themeTint="80"/>
          <w:kern w:val="20"/>
          <w:sz w:val="21"/>
          <w:szCs w:val="21"/>
          <w:lang w:val="sr-Cyrl-RS" w:eastAsia="ko-KR"/>
        </w:rPr>
        <w:t>. Пројекције отплате камата и главница до 2017. године</w:t>
      </w:r>
    </w:p>
    <w:tbl>
      <w:tblPr>
        <w:tblW w:w="4969" w:type="pct"/>
        <w:tblBorders>
          <w:top w:val="single" w:sz="8" w:space="0" w:color="4F81BD"/>
          <w:bottom w:val="single" w:sz="8" w:space="0" w:color="4F81BD"/>
        </w:tblBorders>
        <w:tblLook w:val="0420" w:firstRow="1" w:lastRow="0" w:firstColumn="0" w:lastColumn="0" w:noHBand="0" w:noVBand="1"/>
      </w:tblPr>
      <w:tblGrid>
        <w:gridCol w:w="4564"/>
        <w:gridCol w:w="1101"/>
        <w:gridCol w:w="1101"/>
        <w:gridCol w:w="1102"/>
        <w:gridCol w:w="1102"/>
      </w:tblGrid>
      <w:tr w:rsidR="00171A80" w:rsidRPr="00171A80" w:rsidTr="005E5E59">
        <w:trPr>
          <w:trHeight w:val="20"/>
        </w:trPr>
        <w:tc>
          <w:tcPr>
            <w:tcW w:w="2544"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 </w:t>
            </w:r>
          </w:p>
        </w:tc>
        <w:tc>
          <w:tcPr>
            <w:tcW w:w="614"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2014п</w:t>
            </w:r>
          </w:p>
        </w:tc>
        <w:tc>
          <w:tcPr>
            <w:tcW w:w="614"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2015п</w:t>
            </w:r>
          </w:p>
        </w:tc>
        <w:tc>
          <w:tcPr>
            <w:tcW w:w="614"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2016п</w:t>
            </w:r>
          </w:p>
        </w:tc>
        <w:tc>
          <w:tcPr>
            <w:tcW w:w="614"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2017п</w:t>
            </w:r>
          </w:p>
        </w:tc>
      </w:tr>
      <w:tr w:rsidR="00171A80" w:rsidRPr="00171A80" w:rsidTr="005E5E59">
        <w:trPr>
          <w:trHeight w:val="129"/>
        </w:trPr>
        <w:tc>
          <w:tcPr>
            <w:tcW w:w="2544" w:type="pct"/>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w:t>
            </w:r>
          </w:p>
        </w:tc>
        <w:tc>
          <w:tcPr>
            <w:tcW w:w="2456" w:type="pct"/>
            <w:gridSpan w:val="4"/>
            <w:tcBorders>
              <w:top w:val="single" w:sz="8" w:space="0" w:color="76923C" w:themeColor="accent3" w:themeShade="BF"/>
              <w:left w:val="nil"/>
              <w:bottom w:val="nil"/>
              <w:right w:val="nil"/>
            </w:tcBorders>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у млрд динара</w:t>
            </w:r>
          </w:p>
        </w:tc>
      </w:tr>
      <w:tr w:rsidR="00171A80" w:rsidRPr="00171A80" w:rsidTr="005E5E59">
        <w:trPr>
          <w:trHeight w:val="20"/>
        </w:trPr>
        <w:tc>
          <w:tcPr>
            <w:tcW w:w="2544" w:type="pct"/>
            <w:tcBorders>
              <w:top w:val="nil"/>
              <w:bottom w:val="nil"/>
            </w:tcBorders>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Главница</w:t>
            </w:r>
          </w:p>
        </w:tc>
        <w:tc>
          <w:tcPr>
            <w:tcW w:w="614"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428,6</w:t>
            </w:r>
          </w:p>
        </w:tc>
        <w:tc>
          <w:tcPr>
            <w:tcW w:w="614"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537,1</w:t>
            </w:r>
          </w:p>
        </w:tc>
        <w:tc>
          <w:tcPr>
            <w:tcW w:w="614"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533,1</w:t>
            </w:r>
          </w:p>
        </w:tc>
        <w:tc>
          <w:tcPr>
            <w:tcW w:w="614"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681,0</w:t>
            </w:r>
          </w:p>
        </w:tc>
      </w:tr>
      <w:tr w:rsidR="00171A80" w:rsidRPr="00171A80" w:rsidTr="005E5E59">
        <w:trPr>
          <w:trHeight w:val="20"/>
        </w:trPr>
        <w:tc>
          <w:tcPr>
            <w:tcW w:w="2544" w:type="pct"/>
            <w:tcBorders>
              <w:top w:val="nil"/>
              <w:bottom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Камата</w:t>
            </w:r>
          </w:p>
        </w:tc>
        <w:tc>
          <w:tcPr>
            <w:tcW w:w="614"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112,5</w:t>
            </w:r>
          </w:p>
        </w:tc>
        <w:tc>
          <w:tcPr>
            <w:tcW w:w="614" w:type="pct"/>
            <w:tcBorders>
              <w:top w:val="nil"/>
              <w:bottom w:val="nil"/>
            </w:tcBorders>
            <w:shd w:val="clear" w:color="auto" w:fill="EAF1DD" w:themeFill="accent3" w:themeFillTint="33"/>
            <w:noWrap/>
          </w:tcPr>
          <w:p w:rsidR="00171A80" w:rsidRPr="00593160" w:rsidRDefault="00593160" w:rsidP="00171A80">
            <w:pPr>
              <w:spacing w:after="0"/>
              <w:ind w:firstLine="0"/>
              <w:jc w:val="right"/>
              <w:rPr>
                <w:rFonts w:asciiTheme="majorHAnsi" w:hAnsiTheme="majorHAnsi"/>
                <w:bCs w:val="0"/>
                <w:color w:val="7F7F7F" w:themeColor="text1" w:themeTint="80"/>
                <w:sz w:val="20"/>
                <w:szCs w:val="20"/>
                <w:lang w:val="sr-Latn-RS" w:eastAsia="sr-Cyrl-CS"/>
              </w:rPr>
            </w:pPr>
            <w:r>
              <w:rPr>
                <w:rFonts w:asciiTheme="majorHAnsi" w:hAnsiTheme="majorHAnsi"/>
                <w:bCs w:val="0"/>
                <w:color w:val="7F7F7F" w:themeColor="text1" w:themeTint="80"/>
                <w:sz w:val="20"/>
                <w:szCs w:val="20"/>
                <w:lang w:val="sr-Latn-RS" w:eastAsia="sr-Cyrl-CS"/>
              </w:rPr>
              <w:t>131,1</w:t>
            </w:r>
          </w:p>
        </w:tc>
        <w:tc>
          <w:tcPr>
            <w:tcW w:w="614"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150,5</w:t>
            </w:r>
          </w:p>
        </w:tc>
        <w:tc>
          <w:tcPr>
            <w:tcW w:w="614"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168,5</w:t>
            </w:r>
          </w:p>
        </w:tc>
      </w:tr>
      <w:tr w:rsidR="00171A80" w:rsidRPr="00171A80" w:rsidTr="005E5E59">
        <w:trPr>
          <w:trHeight w:val="20"/>
        </w:trPr>
        <w:tc>
          <w:tcPr>
            <w:tcW w:w="2544" w:type="pct"/>
            <w:tcBorders>
              <w:top w:val="nil"/>
              <w:bottom w:val="nil"/>
            </w:tcBorders>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Укупно</w:t>
            </w:r>
          </w:p>
        </w:tc>
        <w:tc>
          <w:tcPr>
            <w:tcW w:w="614"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541,1</w:t>
            </w:r>
          </w:p>
        </w:tc>
        <w:tc>
          <w:tcPr>
            <w:tcW w:w="614" w:type="pct"/>
            <w:tcBorders>
              <w:top w:val="nil"/>
              <w:bottom w:val="nil"/>
            </w:tcBorders>
            <w:shd w:val="clear" w:color="auto" w:fill="auto"/>
            <w:noWrap/>
          </w:tcPr>
          <w:p w:rsidR="00171A80" w:rsidRPr="00593160" w:rsidRDefault="00593160" w:rsidP="00171A80">
            <w:pPr>
              <w:spacing w:after="0"/>
              <w:ind w:firstLine="0"/>
              <w:jc w:val="right"/>
              <w:rPr>
                <w:rFonts w:asciiTheme="majorHAnsi" w:hAnsiTheme="majorHAnsi"/>
                <w:bCs w:val="0"/>
                <w:color w:val="7F7F7F" w:themeColor="text1" w:themeTint="80"/>
                <w:sz w:val="20"/>
                <w:szCs w:val="20"/>
                <w:lang w:val="sr-Latn-RS" w:eastAsia="sr-Cyrl-CS"/>
              </w:rPr>
            </w:pPr>
            <w:r>
              <w:rPr>
                <w:rFonts w:asciiTheme="majorHAnsi" w:hAnsiTheme="majorHAnsi"/>
                <w:bCs w:val="0"/>
                <w:color w:val="7F7F7F" w:themeColor="text1" w:themeTint="80"/>
                <w:sz w:val="20"/>
                <w:szCs w:val="20"/>
                <w:lang w:val="sr-Latn-RS" w:eastAsia="sr-Cyrl-CS"/>
              </w:rPr>
              <w:t>668,2</w:t>
            </w:r>
          </w:p>
        </w:tc>
        <w:tc>
          <w:tcPr>
            <w:tcW w:w="614"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683,6</w:t>
            </w:r>
          </w:p>
        </w:tc>
        <w:tc>
          <w:tcPr>
            <w:tcW w:w="614"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849,5</w:t>
            </w:r>
          </w:p>
        </w:tc>
      </w:tr>
      <w:tr w:rsidR="00171A80" w:rsidRPr="00171A80" w:rsidTr="005E5E59">
        <w:trPr>
          <w:trHeight w:val="20"/>
        </w:trPr>
        <w:tc>
          <w:tcPr>
            <w:tcW w:w="2544" w:type="pct"/>
            <w:tcBorders>
              <w:top w:val="nil"/>
              <w:bottom w:val="single" w:sz="8" w:space="0" w:color="76923C" w:themeColor="accent3" w:themeShade="BF"/>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xml:space="preserve"> У односу на јавни дуг на дан 31.10.2014. године</w:t>
            </w:r>
          </w:p>
        </w:tc>
        <w:tc>
          <w:tcPr>
            <w:tcW w:w="614" w:type="pct"/>
            <w:tcBorders>
              <w:top w:val="nil"/>
              <w:left w:val="nil"/>
              <w:bottom w:val="single" w:sz="8" w:space="0" w:color="76923C" w:themeColor="accent3" w:themeShade="BF"/>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20,4%</w:t>
            </w:r>
          </w:p>
        </w:tc>
        <w:tc>
          <w:tcPr>
            <w:tcW w:w="614" w:type="pct"/>
            <w:tcBorders>
              <w:top w:val="nil"/>
              <w:bottom w:val="single" w:sz="8" w:space="0" w:color="76923C" w:themeColor="accent3" w:themeShade="BF"/>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25,3%</w:t>
            </w:r>
          </w:p>
        </w:tc>
        <w:tc>
          <w:tcPr>
            <w:tcW w:w="614" w:type="pct"/>
            <w:tcBorders>
              <w:top w:val="nil"/>
              <w:left w:val="nil"/>
              <w:bottom w:val="single" w:sz="8" w:space="0" w:color="76923C" w:themeColor="accent3" w:themeShade="BF"/>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25,8%</w:t>
            </w:r>
          </w:p>
        </w:tc>
        <w:tc>
          <w:tcPr>
            <w:tcW w:w="614" w:type="pct"/>
            <w:tcBorders>
              <w:top w:val="nil"/>
              <w:bottom w:val="single" w:sz="8" w:space="0" w:color="76923C" w:themeColor="accent3" w:themeShade="BF"/>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32,1%</w:t>
            </w:r>
          </w:p>
        </w:tc>
      </w:tr>
    </w:tbl>
    <w:p w:rsidR="00171A80" w:rsidRPr="00171A80" w:rsidRDefault="00171A80" w:rsidP="00171A80">
      <w:pPr>
        <w:spacing w:after="0"/>
        <w:rPr>
          <w:rFonts w:asciiTheme="majorHAnsi" w:hAnsiTheme="majorHAnsi"/>
          <w:bCs w:val="0"/>
          <w:kern w:val="20"/>
          <w:sz w:val="21"/>
          <w:szCs w:val="21"/>
          <w:lang w:val="sr-Cyrl-RS" w:eastAsia="ko-KR"/>
        </w:rPr>
      </w:pPr>
    </w:p>
    <w:p w:rsidR="00171A80" w:rsidRPr="00171A80" w:rsidRDefault="00171A80" w:rsidP="00D05B1D">
      <w:pPr>
        <w:ind w:firstLine="0"/>
        <w:jc w:val="left"/>
        <w:rPr>
          <w:rFonts w:asciiTheme="majorHAnsi" w:hAnsiTheme="majorHAnsi"/>
          <w:b/>
          <w:bCs w:val="0"/>
          <w:color w:val="7F7F7F" w:themeColor="text1" w:themeTint="80"/>
          <w:kern w:val="20"/>
          <w:sz w:val="21"/>
          <w:szCs w:val="21"/>
          <w:lang w:val="sr-Cyrl-RS" w:eastAsia="ko-KR"/>
        </w:rPr>
      </w:pPr>
      <w:r w:rsidRPr="00171A80">
        <w:rPr>
          <w:rFonts w:asciiTheme="majorHAnsi" w:hAnsiTheme="majorHAnsi"/>
          <w:b/>
          <w:bCs w:val="0"/>
          <w:color w:val="7F7F7F" w:themeColor="text1" w:themeTint="80"/>
          <w:kern w:val="20"/>
          <w:sz w:val="21"/>
          <w:szCs w:val="21"/>
          <w:lang w:val="sr-Cyrl-RS" w:eastAsia="ko-KR"/>
        </w:rPr>
        <w:t xml:space="preserve">Табела </w:t>
      </w:r>
      <w:r w:rsidR="00984065">
        <w:rPr>
          <w:rFonts w:asciiTheme="majorHAnsi" w:hAnsiTheme="majorHAnsi"/>
          <w:b/>
          <w:bCs w:val="0"/>
          <w:color w:val="7F7F7F" w:themeColor="text1" w:themeTint="80"/>
          <w:kern w:val="20"/>
          <w:sz w:val="21"/>
          <w:szCs w:val="21"/>
          <w:lang w:val="sr-Cyrl-RS" w:eastAsia="ko-KR"/>
        </w:rPr>
        <w:t>23</w:t>
      </w:r>
      <w:r w:rsidRPr="00171A80">
        <w:rPr>
          <w:rFonts w:asciiTheme="majorHAnsi" w:hAnsiTheme="majorHAnsi"/>
          <w:b/>
          <w:bCs w:val="0"/>
          <w:color w:val="7F7F7F" w:themeColor="text1" w:themeTint="80"/>
          <w:kern w:val="20"/>
          <w:sz w:val="21"/>
          <w:szCs w:val="21"/>
          <w:lang w:val="sr-Cyrl-RS" w:eastAsia="ko-KR"/>
        </w:rPr>
        <w:t>. Пројекције отплате камата и главница до 2017. године (% учешћа у БДП)</w:t>
      </w:r>
    </w:p>
    <w:tbl>
      <w:tblPr>
        <w:tblW w:w="5000" w:type="pct"/>
        <w:tblBorders>
          <w:top w:val="single" w:sz="8" w:space="0" w:color="4F81BD"/>
          <w:bottom w:val="single" w:sz="8" w:space="0" w:color="4F81BD"/>
        </w:tblBorders>
        <w:tblLook w:val="0420" w:firstRow="1" w:lastRow="0" w:firstColumn="0" w:lastColumn="0" w:noHBand="0" w:noVBand="1"/>
      </w:tblPr>
      <w:tblGrid>
        <w:gridCol w:w="3802"/>
        <w:gridCol w:w="1305"/>
        <w:gridCol w:w="1305"/>
        <w:gridCol w:w="1305"/>
        <w:gridCol w:w="1309"/>
      </w:tblGrid>
      <w:tr w:rsidR="00171A80" w:rsidRPr="00171A80" w:rsidTr="005E5E59">
        <w:trPr>
          <w:trHeight w:val="20"/>
        </w:trPr>
        <w:tc>
          <w:tcPr>
            <w:tcW w:w="2106"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 </w:t>
            </w:r>
          </w:p>
        </w:tc>
        <w:tc>
          <w:tcPr>
            <w:tcW w:w="723"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2014п</w:t>
            </w:r>
          </w:p>
        </w:tc>
        <w:tc>
          <w:tcPr>
            <w:tcW w:w="723"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2015п</w:t>
            </w:r>
          </w:p>
        </w:tc>
        <w:tc>
          <w:tcPr>
            <w:tcW w:w="723"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2016п</w:t>
            </w:r>
          </w:p>
        </w:tc>
        <w:tc>
          <w:tcPr>
            <w:tcW w:w="723"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2017п</w:t>
            </w:r>
          </w:p>
        </w:tc>
      </w:tr>
      <w:tr w:rsidR="00171A80" w:rsidRPr="00171A80" w:rsidTr="00171A80">
        <w:trPr>
          <w:trHeight w:val="171"/>
        </w:trPr>
        <w:tc>
          <w:tcPr>
            <w:tcW w:w="2106" w:type="pct"/>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w:t>
            </w:r>
          </w:p>
        </w:tc>
        <w:tc>
          <w:tcPr>
            <w:tcW w:w="2894" w:type="pct"/>
            <w:gridSpan w:val="4"/>
            <w:tcBorders>
              <w:top w:val="single" w:sz="8" w:space="0" w:color="76923C" w:themeColor="accent3" w:themeShade="BF"/>
              <w:left w:val="nil"/>
              <w:bottom w:val="nil"/>
              <w:right w:val="nil"/>
            </w:tcBorders>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у млрд динара</w:t>
            </w:r>
          </w:p>
        </w:tc>
      </w:tr>
      <w:tr w:rsidR="00171A80" w:rsidRPr="00171A80" w:rsidTr="005E5E59">
        <w:trPr>
          <w:trHeight w:val="81"/>
        </w:trPr>
        <w:tc>
          <w:tcPr>
            <w:tcW w:w="2106" w:type="pct"/>
            <w:tcBorders>
              <w:top w:val="nil"/>
              <w:bottom w:val="nil"/>
            </w:tcBorders>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БДП</w:t>
            </w:r>
          </w:p>
        </w:tc>
        <w:tc>
          <w:tcPr>
            <w:tcW w:w="72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3.884,0</w:t>
            </w:r>
          </w:p>
        </w:tc>
        <w:tc>
          <w:tcPr>
            <w:tcW w:w="72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3.970,0</w:t>
            </w:r>
          </w:p>
        </w:tc>
        <w:tc>
          <w:tcPr>
            <w:tcW w:w="72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4.195,0</w:t>
            </w:r>
          </w:p>
        </w:tc>
        <w:tc>
          <w:tcPr>
            <w:tcW w:w="72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4.455,0</w:t>
            </w:r>
          </w:p>
        </w:tc>
      </w:tr>
      <w:tr w:rsidR="00171A80" w:rsidRPr="00171A80" w:rsidTr="005E5E59">
        <w:trPr>
          <w:trHeight w:val="20"/>
        </w:trPr>
        <w:tc>
          <w:tcPr>
            <w:tcW w:w="2106" w:type="pct"/>
            <w:tcBorders>
              <w:top w:val="nil"/>
              <w:bottom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Главница</w:t>
            </w:r>
          </w:p>
        </w:tc>
        <w:tc>
          <w:tcPr>
            <w:tcW w:w="723"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11,0%</w:t>
            </w:r>
          </w:p>
        </w:tc>
        <w:tc>
          <w:tcPr>
            <w:tcW w:w="723"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13,5%</w:t>
            </w:r>
          </w:p>
        </w:tc>
        <w:tc>
          <w:tcPr>
            <w:tcW w:w="723"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12,7%</w:t>
            </w:r>
          </w:p>
        </w:tc>
        <w:tc>
          <w:tcPr>
            <w:tcW w:w="723"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15,3%</w:t>
            </w:r>
          </w:p>
        </w:tc>
      </w:tr>
      <w:tr w:rsidR="00171A80" w:rsidRPr="00171A80" w:rsidTr="005E5E59">
        <w:trPr>
          <w:trHeight w:val="80"/>
        </w:trPr>
        <w:tc>
          <w:tcPr>
            <w:tcW w:w="2106" w:type="pct"/>
            <w:tcBorders>
              <w:top w:val="nil"/>
              <w:bottom w:val="nil"/>
            </w:tcBorders>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Камата</w:t>
            </w:r>
          </w:p>
        </w:tc>
        <w:tc>
          <w:tcPr>
            <w:tcW w:w="72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2,9%</w:t>
            </w:r>
          </w:p>
        </w:tc>
        <w:tc>
          <w:tcPr>
            <w:tcW w:w="72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3,3%</w:t>
            </w:r>
          </w:p>
        </w:tc>
        <w:tc>
          <w:tcPr>
            <w:tcW w:w="72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3,6%</w:t>
            </w:r>
          </w:p>
        </w:tc>
        <w:tc>
          <w:tcPr>
            <w:tcW w:w="72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3,8%</w:t>
            </w:r>
          </w:p>
        </w:tc>
      </w:tr>
      <w:tr w:rsidR="00171A80" w:rsidRPr="00171A80" w:rsidTr="005E5E59">
        <w:trPr>
          <w:trHeight w:val="20"/>
        </w:trPr>
        <w:tc>
          <w:tcPr>
            <w:tcW w:w="2106" w:type="pct"/>
            <w:tcBorders>
              <w:top w:val="nil"/>
              <w:bottom w:val="single" w:sz="8" w:space="0" w:color="76923C" w:themeColor="accent3" w:themeShade="BF"/>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Укупно</w:t>
            </w:r>
          </w:p>
        </w:tc>
        <w:tc>
          <w:tcPr>
            <w:tcW w:w="723" w:type="pct"/>
            <w:tcBorders>
              <w:top w:val="nil"/>
              <w:left w:val="nil"/>
              <w:bottom w:val="single" w:sz="8" w:space="0" w:color="76923C" w:themeColor="accent3" w:themeShade="BF"/>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13,9%</w:t>
            </w:r>
          </w:p>
        </w:tc>
        <w:tc>
          <w:tcPr>
            <w:tcW w:w="723" w:type="pct"/>
            <w:tcBorders>
              <w:top w:val="nil"/>
              <w:bottom w:val="single" w:sz="8" w:space="0" w:color="76923C" w:themeColor="accent3" w:themeShade="BF"/>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16,8%</w:t>
            </w:r>
          </w:p>
        </w:tc>
        <w:tc>
          <w:tcPr>
            <w:tcW w:w="723" w:type="pct"/>
            <w:tcBorders>
              <w:top w:val="nil"/>
              <w:left w:val="nil"/>
              <w:bottom w:val="single" w:sz="8" w:space="0" w:color="76923C" w:themeColor="accent3" w:themeShade="BF"/>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16,3%</w:t>
            </w:r>
          </w:p>
        </w:tc>
        <w:tc>
          <w:tcPr>
            <w:tcW w:w="723" w:type="pct"/>
            <w:tcBorders>
              <w:top w:val="nil"/>
              <w:bottom w:val="single" w:sz="8" w:space="0" w:color="76923C" w:themeColor="accent3" w:themeShade="BF"/>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19,1%</w:t>
            </w:r>
          </w:p>
        </w:tc>
      </w:tr>
    </w:tbl>
    <w:p w:rsidR="00171A80" w:rsidRPr="00171A80" w:rsidRDefault="00171A80" w:rsidP="00171A80">
      <w:pPr>
        <w:ind w:firstLine="0"/>
        <w:rPr>
          <w:rFonts w:asciiTheme="majorHAnsi" w:hAnsiTheme="majorHAnsi"/>
          <w:bCs w:val="0"/>
          <w:color w:val="7F7F7F" w:themeColor="text1" w:themeTint="80"/>
          <w:sz w:val="21"/>
          <w:szCs w:val="21"/>
          <w:lang w:val="sr-Cyrl-RS"/>
        </w:rPr>
      </w:pPr>
    </w:p>
    <w:p w:rsidR="00171A80" w:rsidRPr="00171A80" w:rsidRDefault="00171A80" w:rsidP="003274D9">
      <w:pPr>
        <w:pStyle w:val="IFS2012Naslov2"/>
        <w:rPr>
          <w:lang w:val="sr-Cyrl-RS"/>
        </w:rPr>
      </w:pPr>
      <w:bookmarkStart w:id="60" w:name="_Toc407617171"/>
      <w:r w:rsidRPr="00171A80">
        <w:rPr>
          <w:lang w:val="sr-Cyrl-RS"/>
        </w:rPr>
        <w:t>Пројекција стања јавног дуга опште државе у периоду 2014</w:t>
      </w:r>
      <w:r w:rsidR="002F31FA">
        <w:rPr>
          <w:lang w:val="sr-Latn-RS"/>
        </w:rPr>
        <w:t xml:space="preserve"> </w:t>
      </w:r>
      <w:r w:rsidRPr="00171A80">
        <w:rPr>
          <w:lang w:val="sr-Cyrl-RS"/>
        </w:rPr>
        <w:t>-</w:t>
      </w:r>
      <w:r w:rsidR="002F31FA">
        <w:rPr>
          <w:lang w:val="sr-Latn-RS"/>
        </w:rPr>
        <w:t xml:space="preserve"> </w:t>
      </w:r>
      <w:r w:rsidRPr="00171A80">
        <w:rPr>
          <w:lang w:val="sr-Cyrl-RS"/>
        </w:rPr>
        <w:t>2017. годин</w:t>
      </w:r>
      <w:r w:rsidR="00E54AD1">
        <w:rPr>
          <w:lang w:val="sr-Cyrl-RS"/>
        </w:rPr>
        <w:t>е</w:t>
      </w:r>
      <w:bookmarkEnd w:id="60"/>
    </w:p>
    <w:p w:rsidR="00171A80" w:rsidRPr="002F31FA" w:rsidRDefault="00171A80" w:rsidP="00D05B1D">
      <w:pPr>
        <w:spacing w:after="0"/>
        <w:rPr>
          <w:rFonts w:asciiTheme="majorHAnsi" w:hAnsiTheme="majorHAnsi"/>
          <w:bCs w:val="0"/>
          <w:color w:val="7F7F7F" w:themeColor="text1" w:themeTint="80"/>
          <w:sz w:val="28"/>
          <w:szCs w:val="28"/>
          <w:lang w:val="sr-Cyrl-RS"/>
        </w:rPr>
      </w:pPr>
    </w:p>
    <w:p w:rsidR="00171A80" w:rsidRPr="00171A80" w:rsidRDefault="002F31FA" w:rsidP="00171A80">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Имајући у виду пројектовани примарни дефицит буџета Републике Србије за период 2014 - 2017. године, укључујући и обим повлачења кредитних средстава за пројектно финансирање од буџетских корисника, ефекте промене девизног курса динара према евру и америчком долару у основном макроекономском сценарију, стање дуга централне државе требало би да буде на нивоу од око 76,9% БДП на крају 2017. године</w:t>
      </w:r>
      <w:r w:rsidR="00171A80" w:rsidRPr="00171A80">
        <w:rPr>
          <w:rFonts w:asciiTheme="majorHAnsi" w:hAnsiTheme="majorHAnsi"/>
          <w:bCs w:val="0"/>
          <w:color w:val="7F7F7F" w:themeColor="text1" w:themeTint="80"/>
          <w:sz w:val="21"/>
          <w:szCs w:val="21"/>
          <w:lang w:val="sr-Cyrl-RS"/>
        </w:rPr>
        <w:t>.</w:t>
      </w:r>
    </w:p>
    <w:p w:rsidR="00171A80" w:rsidRPr="00171A80" w:rsidRDefault="00171A80" w:rsidP="00171A80">
      <w:pPr>
        <w:ind w:firstLine="0"/>
        <w:rPr>
          <w:rFonts w:asciiTheme="majorHAnsi" w:hAnsiTheme="majorHAnsi"/>
          <w:b/>
          <w:bCs w:val="0"/>
          <w:color w:val="7F7F7F" w:themeColor="text1" w:themeTint="80"/>
          <w:kern w:val="20"/>
          <w:sz w:val="21"/>
          <w:szCs w:val="21"/>
          <w:lang w:val="sr-Cyrl-RS" w:eastAsia="ko-KR"/>
        </w:rPr>
      </w:pPr>
      <w:r w:rsidRPr="00171A80">
        <w:rPr>
          <w:rFonts w:asciiTheme="majorHAnsi" w:hAnsiTheme="majorHAnsi"/>
          <w:b/>
          <w:bCs w:val="0"/>
          <w:color w:val="7F7F7F" w:themeColor="text1" w:themeTint="80"/>
          <w:sz w:val="21"/>
          <w:szCs w:val="21"/>
          <w:lang w:val="sr-Cyrl-RS" w:eastAsia="ko-KR"/>
        </w:rPr>
        <w:t xml:space="preserve">Табела </w:t>
      </w:r>
      <w:r w:rsidR="00984065">
        <w:rPr>
          <w:rFonts w:asciiTheme="majorHAnsi" w:hAnsiTheme="majorHAnsi"/>
          <w:b/>
          <w:bCs w:val="0"/>
          <w:color w:val="7F7F7F" w:themeColor="text1" w:themeTint="80"/>
          <w:sz w:val="21"/>
          <w:szCs w:val="21"/>
          <w:lang w:val="sr-Cyrl-RS" w:eastAsia="ko-KR"/>
        </w:rPr>
        <w:t>24</w:t>
      </w:r>
      <w:r w:rsidRPr="00171A80">
        <w:rPr>
          <w:rFonts w:asciiTheme="majorHAnsi" w:hAnsiTheme="majorHAnsi"/>
          <w:b/>
          <w:bCs w:val="0"/>
          <w:color w:val="7F7F7F" w:themeColor="text1" w:themeTint="80"/>
          <w:sz w:val="21"/>
          <w:szCs w:val="21"/>
          <w:lang w:val="sr-Cyrl-RS" w:eastAsia="ko-KR"/>
        </w:rPr>
        <w:t>. Основна пројекција стања јавног дуга опште државе до 2017. године</w:t>
      </w:r>
    </w:p>
    <w:tbl>
      <w:tblPr>
        <w:tblW w:w="5000" w:type="pct"/>
        <w:tblBorders>
          <w:top w:val="single" w:sz="8" w:space="0" w:color="4F81BD"/>
          <w:bottom w:val="single" w:sz="8" w:space="0" w:color="4F81BD"/>
        </w:tblBorders>
        <w:tblLook w:val="0420" w:firstRow="1" w:lastRow="0" w:firstColumn="0" w:lastColumn="0" w:noHBand="0" w:noVBand="1"/>
      </w:tblPr>
      <w:tblGrid>
        <w:gridCol w:w="4918"/>
        <w:gridCol w:w="1027"/>
        <w:gridCol w:w="1027"/>
        <w:gridCol w:w="1027"/>
        <w:gridCol w:w="1027"/>
      </w:tblGrid>
      <w:tr w:rsidR="00171A80" w:rsidRPr="00171A80" w:rsidTr="005E5E59">
        <w:trPr>
          <w:trHeight w:val="20"/>
        </w:trPr>
        <w:tc>
          <w:tcPr>
            <w:tcW w:w="2724" w:type="pct"/>
            <w:tcBorders>
              <w:top w:val="single" w:sz="8" w:space="0" w:color="76923C" w:themeColor="accent3" w:themeShade="BF"/>
              <w:left w:val="nil"/>
              <w:bottom w:val="single" w:sz="8" w:space="0" w:color="76923C" w:themeColor="accent3" w:themeShade="BF"/>
              <w:right w:val="nil"/>
            </w:tcBorders>
            <w:shd w:val="clear" w:color="auto" w:fill="auto"/>
            <w:noWrap/>
            <w:hideMark/>
          </w:tcPr>
          <w:p w:rsidR="00171A80" w:rsidRPr="00171A80" w:rsidRDefault="00171A80" w:rsidP="00171A80">
            <w:pPr>
              <w:spacing w:after="0"/>
              <w:ind w:firstLine="0"/>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 </w:t>
            </w:r>
          </w:p>
        </w:tc>
        <w:tc>
          <w:tcPr>
            <w:tcW w:w="569" w:type="pct"/>
            <w:tcBorders>
              <w:top w:val="single" w:sz="8" w:space="0" w:color="76923C" w:themeColor="accent3" w:themeShade="BF"/>
              <w:left w:val="nil"/>
              <w:bottom w:val="single" w:sz="8" w:space="0" w:color="76923C" w:themeColor="accent3" w:themeShade="BF"/>
              <w:right w:val="nil"/>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2014п</w:t>
            </w:r>
          </w:p>
        </w:tc>
        <w:tc>
          <w:tcPr>
            <w:tcW w:w="569" w:type="pct"/>
            <w:tcBorders>
              <w:top w:val="single" w:sz="8" w:space="0" w:color="76923C" w:themeColor="accent3" w:themeShade="BF"/>
              <w:left w:val="nil"/>
              <w:bottom w:val="single" w:sz="8" w:space="0" w:color="76923C" w:themeColor="accent3" w:themeShade="BF"/>
              <w:right w:val="nil"/>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2015п</w:t>
            </w:r>
          </w:p>
        </w:tc>
        <w:tc>
          <w:tcPr>
            <w:tcW w:w="569" w:type="pct"/>
            <w:tcBorders>
              <w:top w:val="single" w:sz="8" w:space="0" w:color="76923C" w:themeColor="accent3" w:themeShade="BF"/>
              <w:left w:val="nil"/>
              <w:bottom w:val="single" w:sz="8" w:space="0" w:color="76923C" w:themeColor="accent3" w:themeShade="BF"/>
              <w:right w:val="nil"/>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2016п</w:t>
            </w:r>
          </w:p>
        </w:tc>
        <w:tc>
          <w:tcPr>
            <w:tcW w:w="569" w:type="pct"/>
            <w:tcBorders>
              <w:top w:val="single" w:sz="8" w:space="0" w:color="76923C" w:themeColor="accent3" w:themeShade="BF"/>
              <w:left w:val="nil"/>
              <w:bottom w:val="single" w:sz="8" w:space="0" w:color="76923C" w:themeColor="accent3" w:themeShade="BF"/>
              <w:right w:val="nil"/>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eastAsia="sr-Cyrl-CS"/>
              </w:rPr>
            </w:pPr>
            <w:r w:rsidRPr="00171A80">
              <w:rPr>
                <w:rFonts w:asciiTheme="majorHAnsi" w:hAnsiTheme="majorHAnsi"/>
                <w:b/>
                <w:bCs w:val="0"/>
                <w:color w:val="7F7F7F" w:themeColor="text1" w:themeTint="80"/>
                <w:sz w:val="20"/>
                <w:szCs w:val="20"/>
                <w:lang w:val="sr-Cyrl-RS" w:eastAsia="sr-Cyrl-CS"/>
              </w:rPr>
              <w:t>2017п</w:t>
            </w:r>
          </w:p>
        </w:tc>
      </w:tr>
      <w:tr w:rsidR="00171A80" w:rsidRPr="00171A80" w:rsidTr="00481FFE">
        <w:trPr>
          <w:trHeight w:val="20"/>
        </w:trPr>
        <w:tc>
          <w:tcPr>
            <w:tcW w:w="2724" w:type="pct"/>
            <w:tcBorders>
              <w:top w:val="single" w:sz="8" w:space="0" w:color="76923C" w:themeColor="accent3" w:themeShade="BF"/>
              <w:left w:val="nil"/>
              <w:bottom w:val="nil"/>
              <w:right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w:t>
            </w:r>
          </w:p>
        </w:tc>
        <w:tc>
          <w:tcPr>
            <w:tcW w:w="2276" w:type="pct"/>
            <w:gridSpan w:val="4"/>
            <w:tcBorders>
              <w:top w:val="single" w:sz="8" w:space="0" w:color="76923C" w:themeColor="accent3" w:themeShade="BF"/>
              <w:left w:val="nil"/>
              <w:bottom w:val="nil"/>
              <w:right w:val="nil"/>
            </w:tcBorders>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у млрд динара</w:t>
            </w:r>
          </w:p>
        </w:tc>
      </w:tr>
      <w:tr w:rsidR="00171A80" w:rsidRPr="00171A80" w:rsidTr="005E5E59">
        <w:trPr>
          <w:trHeight w:val="20"/>
        </w:trPr>
        <w:tc>
          <w:tcPr>
            <w:tcW w:w="2724" w:type="pct"/>
            <w:tcBorders>
              <w:top w:val="nil"/>
              <w:bottom w:val="nil"/>
            </w:tcBorders>
            <w:shd w:val="clear" w:color="auto" w:fill="auto"/>
            <w:noWrap/>
            <w:hideMark/>
          </w:tcPr>
          <w:p w:rsidR="00171A80" w:rsidRPr="00171A80" w:rsidRDefault="00171A80" w:rsidP="00171A80">
            <w:pPr>
              <w:spacing w:after="0"/>
              <w:ind w:firstLine="0"/>
              <w:jc w:val="lef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БДП</w:t>
            </w:r>
          </w:p>
        </w:tc>
        <w:tc>
          <w:tcPr>
            <w:tcW w:w="569"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3.884,0</w:t>
            </w:r>
          </w:p>
        </w:tc>
        <w:tc>
          <w:tcPr>
            <w:tcW w:w="569"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3.970,0</w:t>
            </w:r>
          </w:p>
        </w:tc>
        <w:tc>
          <w:tcPr>
            <w:tcW w:w="569"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4.195,0</w:t>
            </w:r>
          </w:p>
        </w:tc>
        <w:tc>
          <w:tcPr>
            <w:tcW w:w="569"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4.455,0</w:t>
            </w:r>
          </w:p>
        </w:tc>
      </w:tr>
      <w:tr w:rsidR="00171A80" w:rsidRPr="00171A80" w:rsidTr="005E5E59">
        <w:trPr>
          <w:trHeight w:val="20"/>
        </w:trPr>
        <w:tc>
          <w:tcPr>
            <w:tcW w:w="2724" w:type="pct"/>
            <w:tcBorders>
              <w:top w:val="nil"/>
              <w:left w:val="nil"/>
              <w:bottom w:val="nil"/>
              <w:right w:val="nil"/>
            </w:tcBorders>
            <w:shd w:val="clear" w:color="auto" w:fill="EAF1DD" w:themeFill="accent3" w:themeFillTint="33"/>
            <w:noWrap/>
            <w:hideMark/>
          </w:tcPr>
          <w:p w:rsidR="00171A80" w:rsidRPr="00593160" w:rsidRDefault="00171A80" w:rsidP="00171A80">
            <w:pPr>
              <w:spacing w:after="0"/>
              <w:ind w:firstLine="0"/>
              <w:jc w:val="lef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Примарни дефицит</w:t>
            </w:r>
            <w:r w:rsidR="00593160">
              <w:rPr>
                <w:rFonts w:asciiTheme="majorHAnsi" w:hAnsiTheme="majorHAnsi"/>
                <w:bCs w:val="0"/>
                <w:color w:val="7F7F7F" w:themeColor="text1" w:themeTint="80"/>
                <w:sz w:val="20"/>
                <w:szCs w:val="20"/>
                <w:lang w:val="sr-Latn-RS" w:eastAsia="sr-Cyrl-CS"/>
              </w:rPr>
              <w:t xml:space="preserve"> </w:t>
            </w:r>
            <w:r w:rsidR="00593160">
              <w:rPr>
                <w:rFonts w:asciiTheme="majorHAnsi" w:hAnsiTheme="majorHAnsi"/>
                <w:bCs w:val="0"/>
                <w:color w:val="7F7F7F" w:themeColor="text1" w:themeTint="80"/>
                <w:sz w:val="20"/>
                <w:szCs w:val="20"/>
                <w:lang w:val="sr-Cyrl-RS" w:eastAsia="sr-Cyrl-CS"/>
              </w:rPr>
              <w:t>(централни ниво власти)</w:t>
            </w:r>
          </w:p>
        </w:tc>
        <w:tc>
          <w:tcPr>
            <w:tcW w:w="569" w:type="pct"/>
            <w:tcBorders>
              <w:top w:val="nil"/>
              <w:left w:val="nil"/>
              <w:bottom w:val="nil"/>
              <w:right w:val="nil"/>
            </w:tcBorders>
            <w:shd w:val="clear" w:color="auto" w:fill="EAF1DD" w:themeFill="accent3" w:themeFillTint="33"/>
            <w:noWrap/>
          </w:tcPr>
          <w:p w:rsidR="00171A80" w:rsidRPr="00171A80" w:rsidRDefault="00593160" w:rsidP="00171A80">
            <w:pPr>
              <w:spacing w:after="0"/>
              <w:ind w:firstLine="0"/>
              <w:jc w:val="right"/>
              <w:rPr>
                <w:rFonts w:asciiTheme="majorHAnsi" w:hAnsiTheme="majorHAnsi"/>
                <w:bCs w:val="0"/>
                <w:color w:val="7F7F7F" w:themeColor="text1" w:themeTint="80"/>
                <w:sz w:val="20"/>
                <w:szCs w:val="20"/>
                <w:lang w:val="sr-Cyrl-RS" w:eastAsia="sr-Cyrl-CS"/>
              </w:rPr>
            </w:pPr>
            <w:r>
              <w:rPr>
                <w:rFonts w:asciiTheme="majorHAnsi" w:hAnsiTheme="majorHAnsi"/>
                <w:bCs w:val="0"/>
                <w:color w:val="7F7F7F" w:themeColor="text1" w:themeTint="80"/>
                <w:sz w:val="20"/>
                <w:szCs w:val="20"/>
                <w:lang w:val="sr-Cyrl-RS" w:eastAsia="sr-Cyrl-CS"/>
              </w:rPr>
              <w:t>194,5</w:t>
            </w:r>
          </w:p>
        </w:tc>
        <w:tc>
          <w:tcPr>
            <w:tcW w:w="569" w:type="pct"/>
            <w:tcBorders>
              <w:top w:val="nil"/>
              <w:left w:val="nil"/>
              <w:bottom w:val="nil"/>
              <w:right w:val="nil"/>
            </w:tcBorders>
            <w:shd w:val="clear" w:color="auto" w:fill="EAF1DD" w:themeFill="accent3" w:themeFillTint="33"/>
            <w:noWrap/>
          </w:tcPr>
          <w:p w:rsidR="00171A80" w:rsidRPr="00171A80" w:rsidRDefault="00593160" w:rsidP="00171A80">
            <w:pPr>
              <w:spacing w:after="0"/>
              <w:ind w:firstLine="0"/>
              <w:jc w:val="right"/>
              <w:rPr>
                <w:rFonts w:asciiTheme="majorHAnsi" w:hAnsiTheme="majorHAnsi"/>
                <w:bCs w:val="0"/>
                <w:color w:val="7F7F7F" w:themeColor="text1" w:themeTint="80"/>
                <w:sz w:val="20"/>
                <w:szCs w:val="20"/>
                <w:lang w:val="sr-Cyrl-RS" w:eastAsia="sr-Cyrl-CS"/>
              </w:rPr>
            </w:pPr>
            <w:r>
              <w:rPr>
                <w:rFonts w:asciiTheme="majorHAnsi" w:hAnsiTheme="majorHAnsi"/>
                <w:bCs w:val="0"/>
                <w:color w:val="7F7F7F" w:themeColor="text1" w:themeTint="80"/>
                <w:sz w:val="20"/>
                <w:szCs w:val="20"/>
                <w:lang w:val="sr-Cyrl-RS" w:eastAsia="sr-Cyrl-CS"/>
              </w:rPr>
              <w:t>89,3</w:t>
            </w:r>
          </w:p>
        </w:tc>
        <w:tc>
          <w:tcPr>
            <w:tcW w:w="569" w:type="pct"/>
            <w:tcBorders>
              <w:top w:val="nil"/>
              <w:left w:val="nil"/>
              <w:bottom w:val="nil"/>
              <w:right w:val="nil"/>
            </w:tcBorders>
            <w:shd w:val="clear" w:color="auto" w:fill="EAF1DD" w:themeFill="accent3" w:themeFillTint="33"/>
            <w:noWrap/>
          </w:tcPr>
          <w:p w:rsidR="00171A80" w:rsidRPr="00171A80" w:rsidRDefault="00593160" w:rsidP="00171A80">
            <w:pPr>
              <w:spacing w:after="0"/>
              <w:ind w:firstLine="0"/>
              <w:jc w:val="right"/>
              <w:rPr>
                <w:rFonts w:asciiTheme="majorHAnsi" w:hAnsiTheme="majorHAnsi"/>
                <w:bCs w:val="0"/>
                <w:color w:val="7F7F7F" w:themeColor="text1" w:themeTint="80"/>
                <w:sz w:val="20"/>
                <w:szCs w:val="20"/>
                <w:lang w:val="sr-Cyrl-RS" w:eastAsia="sr-Cyrl-CS"/>
              </w:rPr>
            </w:pPr>
            <w:r>
              <w:rPr>
                <w:rFonts w:asciiTheme="majorHAnsi" w:hAnsiTheme="majorHAnsi"/>
                <w:bCs w:val="0"/>
                <w:color w:val="7F7F7F" w:themeColor="text1" w:themeTint="80"/>
                <w:sz w:val="20"/>
                <w:szCs w:val="20"/>
                <w:lang w:val="sr-Cyrl-RS" w:eastAsia="sr-Cyrl-CS"/>
              </w:rPr>
              <w:t>31,9</w:t>
            </w:r>
          </w:p>
        </w:tc>
        <w:tc>
          <w:tcPr>
            <w:tcW w:w="569" w:type="pct"/>
            <w:tcBorders>
              <w:top w:val="nil"/>
              <w:left w:val="nil"/>
              <w:bottom w:val="nil"/>
              <w:right w:val="nil"/>
            </w:tcBorders>
            <w:shd w:val="clear" w:color="auto" w:fill="EAF1DD" w:themeFill="accent3" w:themeFillTint="33"/>
            <w:noWrap/>
          </w:tcPr>
          <w:p w:rsidR="00171A80" w:rsidRPr="00171A80" w:rsidRDefault="00593160" w:rsidP="00171A80">
            <w:pPr>
              <w:spacing w:after="0"/>
              <w:ind w:firstLine="0"/>
              <w:jc w:val="right"/>
              <w:rPr>
                <w:rFonts w:asciiTheme="majorHAnsi" w:hAnsiTheme="majorHAnsi"/>
                <w:bCs w:val="0"/>
                <w:color w:val="7F7F7F" w:themeColor="text1" w:themeTint="80"/>
                <w:sz w:val="20"/>
                <w:szCs w:val="20"/>
                <w:lang w:val="sr-Cyrl-RS" w:eastAsia="sr-Cyrl-CS"/>
              </w:rPr>
            </w:pPr>
            <w:r>
              <w:rPr>
                <w:rFonts w:asciiTheme="majorHAnsi" w:hAnsiTheme="majorHAnsi"/>
                <w:bCs w:val="0"/>
                <w:color w:val="7F7F7F" w:themeColor="text1" w:themeTint="80"/>
                <w:sz w:val="20"/>
                <w:szCs w:val="20"/>
                <w:lang w:val="sr-Cyrl-RS" w:eastAsia="sr-Cyrl-CS"/>
              </w:rPr>
              <w:t>-10,9</w:t>
            </w:r>
          </w:p>
        </w:tc>
      </w:tr>
      <w:tr w:rsidR="00171A80" w:rsidRPr="00171A80" w:rsidTr="005E5E59">
        <w:trPr>
          <w:trHeight w:val="20"/>
        </w:trPr>
        <w:tc>
          <w:tcPr>
            <w:tcW w:w="2724" w:type="pct"/>
            <w:tcBorders>
              <w:top w:val="nil"/>
              <w:bottom w:val="nil"/>
            </w:tcBorders>
            <w:shd w:val="clear" w:color="auto" w:fill="auto"/>
            <w:noWrap/>
            <w:hideMark/>
          </w:tcPr>
          <w:p w:rsidR="00171A80" w:rsidRPr="00171A80" w:rsidRDefault="00171A80" w:rsidP="00171A80">
            <w:pPr>
              <w:spacing w:after="0"/>
              <w:ind w:firstLine="0"/>
              <w:jc w:val="lef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Камате</w:t>
            </w:r>
            <w:r w:rsidR="00593160">
              <w:rPr>
                <w:rFonts w:asciiTheme="majorHAnsi" w:hAnsiTheme="majorHAnsi"/>
                <w:bCs w:val="0"/>
                <w:color w:val="7F7F7F" w:themeColor="text1" w:themeTint="80"/>
                <w:sz w:val="20"/>
                <w:szCs w:val="20"/>
                <w:lang w:val="sr-Cyrl-RS" w:eastAsia="sr-Cyrl-CS"/>
              </w:rPr>
              <w:t xml:space="preserve"> (централни ниво власти)</w:t>
            </w:r>
          </w:p>
        </w:tc>
        <w:tc>
          <w:tcPr>
            <w:tcW w:w="569" w:type="pct"/>
            <w:tcBorders>
              <w:top w:val="nil"/>
              <w:bottom w:val="nil"/>
            </w:tcBorders>
            <w:shd w:val="clear" w:color="auto" w:fill="auto"/>
            <w:noWrap/>
            <w:hideMark/>
          </w:tcPr>
          <w:p w:rsidR="00171A80" w:rsidRPr="00171A80" w:rsidRDefault="00593160" w:rsidP="00171A80">
            <w:pPr>
              <w:spacing w:after="0"/>
              <w:ind w:firstLine="0"/>
              <w:jc w:val="right"/>
              <w:rPr>
                <w:rFonts w:asciiTheme="majorHAnsi" w:hAnsiTheme="majorHAnsi"/>
                <w:bCs w:val="0"/>
                <w:color w:val="7F7F7F" w:themeColor="text1" w:themeTint="80"/>
                <w:sz w:val="20"/>
                <w:szCs w:val="20"/>
                <w:lang w:val="sr-Cyrl-RS" w:eastAsia="sr-Cyrl-CS"/>
              </w:rPr>
            </w:pPr>
            <w:r>
              <w:rPr>
                <w:rFonts w:asciiTheme="majorHAnsi" w:hAnsiTheme="majorHAnsi"/>
                <w:bCs w:val="0"/>
                <w:color w:val="7F7F7F" w:themeColor="text1" w:themeTint="80"/>
                <w:sz w:val="20"/>
                <w:szCs w:val="20"/>
                <w:lang w:val="sr-Cyrl-RS" w:eastAsia="sr-Cyrl-CS"/>
              </w:rPr>
              <w:t>112,5</w:t>
            </w:r>
          </w:p>
        </w:tc>
        <w:tc>
          <w:tcPr>
            <w:tcW w:w="569" w:type="pct"/>
            <w:tcBorders>
              <w:top w:val="nil"/>
              <w:bottom w:val="nil"/>
            </w:tcBorders>
            <w:shd w:val="clear" w:color="auto" w:fill="auto"/>
            <w:noWrap/>
            <w:hideMark/>
          </w:tcPr>
          <w:p w:rsidR="00171A80" w:rsidRPr="00171A80" w:rsidRDefault="00593160" w:rsidP="00171A80">
            <w:pPr>
              <w:spacing w:after="0"/>
              <w:ind w:firstLine="0"/>
              <w:jc w:val="right"/>
              <w:rPr>
                <w:rFonts w:asciiTheme="majorHAnsi" w:hAnsiTheme="majorHAnsi"/>
                <w:bCs w:val="0"/>
                <w:color w:val="7F7F7F" w:themeColor="text1" w:themeTint="80"/>
                <w:sz w:val="20"/>
                <w:szCs w:val="20"/>
                <w:lang w:val="sr-Cyrl-RS" w:eastAsia="sr-Cyrl-CS"/>
              </w:rPr>
            </w:pPr>
            <w:r>
              <w:rPr>
                <w:rFonts w:asciiTheme="majorHAnsi" w:hAnsiTheme="majorHAnsi"/>
                <w:bCs w:val="0"/>
                <w:color w:val="7F7F7F" w:themeColor="text1" w:themeTint="80"/>
                <w:sz w:val="20"/>
                <w:szCs w:val="20"/>
                <w:lang w:val="sr-Cyrl-RS" w:eastAsia="sr-Cyrl-CS"/>
              </w:rPr>
              <w:t>131,1</w:t>
            </w:r>
          </w:p>
        </w:tc>
        <w:tc>
          <w:tcPr>
            <w:tcW w:w="569" w:type="pct"/>
            <w:tcBorders>
              <w:top w:val="nil"/>
              <w:bottom w:val="nil"/>
            </w:tcBorders>
            <w:shd w:val="clear" w:color="auto" w:fill="auto"/>
            <w:noWrap/>
            <w:hideMark/>
          </w:tcPr>
          <w:p w:rsidR="00171A80" w:rsidRPr="00171A80" w:rsidRDefault="00593160" w:rsidP="00171A80">
            <w:pPr>
              <w:spacing w:after="0"/>
              <w:ind w:firstLine="0"/>
              <w:jc w:val="right"/>
              <w:rPr>
                <w:rFonts w:asciiTheme="majorHAnsi" w:hAnsiTheme="majorHAnsi"/>
                <w:bCs w:val="0"/>
                <w:color w:val="7F7F7F" w:themeColor="text1" w:themeTint="80"/>
                <w:sz w:val="20"/>
                <w:szCs w:val="20"/>
                <w:lang w:val="sr-Cyrl-RS" w:eastAsia="sr-Cyrl-CS"/>
              </w:rPr>
            </w:pPr>
            <w:r>
              <w:rPr>
                <w:rFonts w:asciiTheme="majorHAnsi" w:hAnsiTheme="majorHAnsi"/>
                <w:bCs w:val="0"/>
                <w:color w:val="7F7F7F" w:themeColor="text1" w:themeTint="80"/>
                <w:sz w:val="20"/>
                <w:szCs w:val="20"/>
                <w:lang w:val="sr-Cyrl-RS" w:eastAsia="sr-Cyrl-CS"/>
              </w:rPr>
              <w:t>150,5</w:t>
            </w:r>
          </w:p>
        </w:tc>
        <w:tc>
          <w:tcPr>
            <w:tcW w:w="569" w:type="pct"/>
            <w:tcBorders>
              <w:top w:val="nil"/>
              <w:bottom w:val="nil"/>
            </w:tcBorders>
            <w:shd w:val="clear" w:color="auto" w:fill="auto"/>
            <w:noWrap/>
            <w:hideMark/>
          </w:tcPr>
          <w:p w:rsidR="00171A80" w:rsidRPr="00171A80" w:rsidRDefault="00593160" w:rsidP="00171A80">
            <w:pPr>
              <w:spacing w:after="0"/>
              <w:ind w:firstLine="0"/>
              <w:jc w:val="right"/>
              <w:rPr>
                <w:rFonts w:asciiTheme="majorHAnsi" w:hAnsiTheme="majorHAnsi"/>
                <w:bCs w:val="0"/>
                <w:color w:val="7F7F7F" w:themeColor="text1" w:themeTint="80"/>
                <w:sz w:val="20"/>
                <w:szCs w:val="20"/>
                <w:lang w:val="sr-Cyrl-RS" w:eastAsia="sr-Cyrl-CS"/>
              </w:rPr>
            </w:pPr>
            <w:r>
              <w:rPr>
                <w:rFonts w:asciiTheme="majorHAnsi" w:hAnsiTheme="majorHAnsi"/>
                <w:bCs w:val="0"/>
                <w:color w:val="7F7F7F" w:themeColor="text1" w:themeTint="80"/>
                <w:sz w:val="20"/>
                <w:szCs w:val="20"/>
                <w:lang w:val="sr-Cyrl-RS" w:eastAsia="sr-Cyrl-CS"/>
              </w:rPr>
              <w:t>168,5</w:t>
            </w:r>
          </w:p>
        </w:tc>
      </w:tr>
      <w:tr w:rsidR="00171A80" w:rsidRPr="00171A80" w:rsidTr="005E5E59">
        <w:trPr>
          <w:trHeight w:val="20"/>
        </w:trPr>
        <w:tc>
          <w:tcPr>
            <w:tcW w:w="2724" w:type="pct"/>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Јавни дуг</w:t>
            </w:r>
            <w:r w:rsidR="00593160">
              <w:rPr>
                <w:rFonts w:asciiTheme="majorHAnsi" w:hAnsiTheme="majorHAnsi"/>
                <w:bCs w:val="0"/>
                <w:color w:val="7F7F7F" w:themeColor="text1" w:themeTint="80"/>
                <w:sz w:val="20"/>
                <w:szCs w:val="20"/>
                <w:lang w:val="sr-Cyrl-RS" w:eastAsia="sr-Cyrl-CS"/>
              </w:rPr>
              <w:t xml:space="preserve"> (централни ниво власти)</w:t>
            </w:r>
          </w:p>
        </w:tc>
        <w:tc>
          <w:tcPr>
            <w:tcW w:w="569" w:type="pct"/>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2.660,2</w:t>
            </w:r>
          </w:p>
        </w:tc>
        <w:tc>
          <w:tcPr>
            <w:tcW w:w="569" w:type="pct"/>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3.022,0</w:t>
            </w:r>
          </w:p>
        </w:tc>
        <w:tc>
          <w:tcPr>
            <w:tcW w:w="569" w:type="pct"/>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3.250,9</w:t>
            </w:r>
          </w:p>
        </w:tc>
        <w:tc>
          <w:tcPr>
            <w:tcW w:w="569" w:type="pct"/>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3.423,8</w:t>
            </w:r>
          </w:p>
        </w:tc>
      </w:tr>
      <w:tr w:rsidR="00171A80" w:rsidRPr="00171A80" w:rsidTr="005E5E59">
        <w:trPr>
          <w:trHeight w:val="20"/>
        </w:trPr>
        <w:tc>
          <w:tcPr>
            <w:tcW w:w="2724" w:type="pct"/>
            <w:tcBorders>
              <w:top w:val="nil"/>
              <w:bottom w:val="nil"/>
            </w:tcBorders>
            <w:shd w:val="clear" w:color="auto" w:fill="auto"/>
            <w:hideMark/>
          </w:tcPr>
          <w:p w:rsidR="00171A80" w:rsidRPr="00171A80" w:rsidRDefault="00171A80" w:rsidP="00171A80">
            <w:pPr>
              <w:spacing w:after="0"/>
              <w:ind w:firstLine="0"/>
              <w:jc w:val="lef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Дуг централне државе, у % БДП</w:t>
            </w:r>
          </w:p>
        </w:tc>
        <w:tc>
          <w:tcPr>
            <w:tcW w:w="569"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68,5%</w:t>
            </w:r>
          </w:p>
        </w:tc>
        <w:tc>
          <w:tcPr>
            <w:tcW w:w="569"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76,1%</w:t>
            </w:r>
          </w:p>
        </w:tc>
        <w:tc>
          <w:tcPr>
            <w:tcW w:w="569"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77,5%</w:t>
            </w:r>
          </w:p>
        </w:tc>
        <w:tc>
          <w:tcPr>
            <w:tcW w:w="569"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76,9%</w:t>
            </w:r>
          </w:p>
        </w:tc>
      </w:tr>
      <w:tr w:rsidR="00171A80" w:rsidRPr="00171A80" w:rsidTr="005E5E59">
        <w:trPr>
          <w:trHeight w:val="20"/>
        </w:trPr>
        <w:tc>
          <w:tcPr>
            <w:tcW w:w="2724" w:type="pct"/>
            <w:tcBorders>
              <w:top w:val="nil"/>
              <w:bottom w:val="nil"/>
            </w:tcBorders>
            <w:shd w:val="clear" w:color="auto" w:fill="EAF1DD" w:themeFill="accent3" w:themeFillTint="33"/>
          </w:tcPr>
          <w:p w:rsidR="00171A80" w:rsidRPr="00171A80" w:rsidRDefault="00171A80" w:rsidP="00171A80">
            <w:pPr>
              <w:spacing w:after="0"/>
              <w:ind w:firstLine="0"/>
              <w:jc w:val="lef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Негарантовани дуг локалне власти-БДП</w:t>
            </w:r>
          </w:p>
        </w:tc>
        <w:tc>
          <w:tcPr>
            <w:tcW w:w="569"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1,4%</w:t>
            </w:r>
          </w:p>
        </w:tc>
        <w:tc>
          <w:tcPr>
            <w:tcW w:w="569"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1,6%</w:t>
            </w:r>
          </w:p>
        </w:tc>
        <w:tc>
          <w:tcPr>
            <w:tcW w:w="569"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1,7%</w:t>
            </w:r>
          </w:p>
        </w:tc>
        <w:tc>
          <w:tcPr>
            <w:tcW w:w="569"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1,8%</w:t>
            </w:r>
          </w:p>
        </w:tc>
      </w:tr>
      <w:tr w:rsidR="00171A80" w:rsidRPr="00171A80" w:rsidTr="005E5E59">
        <w:trPr>
          <w:trHeight w:val="20"/>
        </w:trPr>
        <w:tc>
          <w:tcPr>
            <w:tcW w:w="2724" w:type="pct"/>
            <w:tcBorders>
              <w:top w:val="nil"/>
              <w:bottom w:val="single" w:sz="8" w:space="0" w:color="76923C" w:themeColor="accent3" w:themeShade="BF"/>
            </w:tcBorders>
            <w:shd w:val="clear" w:color="auto" w:fill="auto"/>
          </w:tcPr>
          <w:p w:rsidR="00171A80" w:rsidRPr="00171A80" w:rsidRDefault="00171A80" w:rsidP="00171A80">
            <w:pPr>
              <w:spacing w:after="0"/>
              <w:ind w:firstLine="0"/>
              <w:rPr>
                <w:rFonts w:asciiTheme="majorHAnsi" w:hAnsiTheme="majorHAnsi"/>
                <w:bCs w:val="0"/>
                <w:color w:val="7F7F7F" w:themeColor="text1" w:themeTint="80"/>
                <w:sz w:val="21"/>
                <w:szCs w:val="21"/>
                <w:lang w:val="sr-Cyrl-RS" w:eastAsia="sr-Cyrl-CS"/>
              </w:rPr>
            </w:pPr>
            <w:r w:rsidRPr="00171A80">
              <w:rPr>
                <w:rFonts w:asciiTheme="majorHAnsi" w:hAnsiTheme="majorHAnsi"/>
                <w:bCs w:val="0"/>
                <w:color w:val="7F7F7F" w:themeColor="text1" w:themeTint="80"/>
                <w:sz w:val="20"/>
                <w:szCs w:val="20"/>
                <w:lang w:val="sr-Cyrl-RS" w:eastAsia="sr-Cyrl-CS"/>
              </w:rPr>
              <w:t>Дуг опште државе, у % БДП</w:t>
            </w:r>
          </w:p>
        </w:tc>
        <w:tc>
          <w:tcPr>
            <w:tcW w:w="569" w:type="pct"/>
            <w:tcBorders>
              <w:top w:val="nil"/>
              <w:bottom w:val="single" w:sz="8" w:space="0" w:color="76923C" w:themeColor="accent3" w:themeShade="BF"/>
            </w:tcBorders>
            <w:shd w:val="clear" w:color="auto" w:fill="auto"/>
            <w:noWrap/>
          </w:tcPr>
          <w:p w:rsidR="00171A80" w:rsidRPr="00171A80" w:rsidRDefault="00497C7E" w:rsidP="00171A80">
            <w:pPr>
              <w:spacing w:after="0"/>
              <w:ind w:firstLine="0"/>
              <w:jc w:val="right"/>
              <w:rPr>
                <w:rFonts w:asciiTheme="majorHAnsi" w:hAnsiTheme="majorHAnsi"/>
                <w:bCs w:val="0"/>
                <w:color w:val="7F7F7F" w:themeColor="text1" w:themeTint="80"/>
                <w:sz w:val="20"/>
                <w:szCs w:val="20"/>
                <w:lang w:val="sr-Cyrl-RS" w:eastAsia="sr-Cyrl-CS"/>
              </w:rPr>
            </w:pPr>
            <w:r>
              <w:rPr>
                <w:rFonts w:asciiTheme="majorHAnsi" w:hAnsiTheme="majorHAnsi"/>
                <w:bCs w:val="0"/>
                <w:color w:val="7F7F7F" w:themeColor="text1" w:themeTint="80"/>
                <w:sz w:val="20"/>
                <w:szCs w:val="20"/>
                <w:lang w:val="sr-Cyrl-RS" w:eastAsia="sr-Cyrl-CS"/>
              </w:rPr>
              <w:t xml:space="preserve">    </w:t>
            </w:r>
            <w:r w:rsidR="00171A80" w:rsidRPr="00171A80">
              <w:rPr>
                <w:rFonts w:asciiTheme="majorHAnsi" w:hAnsiTheme="majorHAnsi"/>
                <w:bCs w:val="0"/>
                <w:color w:val="7F7F7F" w:themeColor="text1" w:themeTint="80"/>
                <w:sz w:val="20"/>
                <w:szCs w:val="20"/>
                <w:lang w:val="sr-Cyrl-RS" w:eastAsia="sr-Cyrl-CS"/>
              </w:rPr>
              <w:t>69,9%</w:t>
            </w:r>
          </w:p>
        </w:tc>
        <w:tc>
          <w:tcPr>
            <w:tcW w:w="569" w:type="pct"/>
            <w:tcBorders>
              <w:top w:val="nil"/>
              <w:bottom w:val="single" w:sz="8" w:space="0" w:color="76923C" w:themeColor="accent3" w:themeShade="BF"/>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xml:space="preserve"> 77,7%</w:t>
            </w:r>
          </w:p>
        </w:tc>
        <w:tc>
          <w:tcPr>
            <w:tcW w:w="569" w:type="pct"/>
            <w:tcBorders>
              <w:top w:val="nil"/>
              <w:bottom w:val="single" w:sz="8" w:space="0" w:color="76923C" w:themeColor="accent3" w:themeShade="BF"/>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xml:space="preserve"> 79,2%</w:t>
            </w:r>
          </w:p>
        </w:tc>
        <w:tc>
          <w:tcPr>
            <w:tcW w:w="569" w:type="pct"/>
            <w:tcBorders>
              <w:top w:val="nil"/>
              <w:bottom w:val="single" w:sz="8" w:space="0" w:color="76923C" w:themeColor="accent3" w:themeShade="BF"/>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78,7%</w:t>
            </w:r>
          </w:p>
        </w:tc>
      </w:tr>
    </w:tbl>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lastRenderedPageBreak/>
        <w:t xml:space="preserve">Предвиђа се да ће дуг локалног нивоа власти у наредном периоду остати на релативном нивоу од око 2,5% БДП. Дуг по основу обавеза, које се не укључују у стање јавног дуга по Мастрихтском критеријуму, очекује се да на крају 2017. године буде на нивоу од око 7,0% БДП, док би стање јавног дуга опште државе исказано према овом критеријуму требало да буде на нивоу од 71,7% БДП на крају 2017. године. Разлог раста учешћа дуга који према Мастрихтским критеријумима не улази у стање јавног дуга са 4,1% БДП на крају 2014. године на 7,0% БДП на крају 2017. године је проузрокован повећањем задуживања солвентних ентитета, као што су ЈП ,,Електропривреда Србије”, Агенција за осигурање депозита и коришћења нове линије апекс зајмова од Европске инвестиционе банке од домаћих пословних банака. </w:t>
      </w:r>
    </w:p>
    <w:p w:rsidR="00171A80" w:rsidRPr="00171A80"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 xml:space="preserve">Токови јавних прихода и расхода су стохастичког карактера и веома су осетљиви на промене макроекономског окружења и политике. Како је јавни дуг последица неусклађености јавних финансија, претња дужничке кризе остаје док се не изврши фискална консолидација, као предуслов за одржавање и побољшање конкурентности привреде. Имајући то у виду, земље чланице ЕУ постепено спроводе процес фискалне консолидације, што може довести до успоравања привредног раста и преливања негативних ефеката на привреду </w:t>
      </w:r>
      <w:r w:rsidRPr="002F31FA">
        <w:rPr>
          <w:rFonts w:asciiTheme="majorHAnsi" w:hAnsiTheme="majorHAnsi"/>
          <w:color w:val="7F7F7F" w:themeColor="text1" w:themeTint="80"/>
          <w:sz w:val="21"/>
          <w:szCs w:val="21"/>
          <w:lang w:val="sr-Cyrl-RS"/>
        </w:rPr>
        <w:t>Републике</w:t>
      </w:r>
      <w:r w:rsidRPr="002F31FA">
        <w:rPr>
          <w:rFonts w:asciiTheme="majorHAnsi" w:hAnsiTheme="majorHAnsi"/>
          <w:bCs w:val="0"/>
          <w:color w:val="7F7F7F" w:themeColor="text1" w:themeTint="80"/>
          <w:sz w:val="21"/>
          <w:szCs w:val="21"/>
          <w:lang w:val="sr-Cyrl-RS"/>
        </w:rPr>
        <w:t xml:space="preserve"> Србије, којој је ЕУ главни спољнотрговински партнер, а то би довело до погоршања стања у вези са јавним дугом</w:t>
      </w:r>
      <w:r w:rsidR="00171A80" w:rsidRPr="00171A80">
        <w:rPr>
          <w:rFonts w:asciiTheme="majorHAnsi" w:hAnsiTheme="majorHAnsi"/>
          <w:bCs w:val="0"/>
          <w:color w:val="7F7F7F" w:themeColor="text1" w:themeTint="80"/>
          <w:sz w:val="21"/>
          <w:szCs w:val="21"/>
          <w:lang w:val="sr-Cyrl-RS"/>
        </w:rPr>
        <w:t>.</w:t>
      </w:r>
      <w:bookmarkStart w:id="61" w:name="_Toc337117132"/>
    </w:p>
    <w:p w:rsidR="00171A80" w:rsidRPr="00171A80" w:rsidRDefault="00171A80" w:rsidP="00171A80">
      <w:pPr>
        <w:ind w:firstLine="0"/>
        <w:rPr>
          <w:rFonts w:asciiTheme="majorHAnsi" w:hAnsiTheme="majorHAnsi"/>
          <w:bCs w:val="0"/>
          <w:color w:val="51671F"/>
          <w:sz w:val="21"/>
          <w:szCs w:val="21"/>
          <w:lang w:val="sr-Cyrl-RS"/>
        </w:rPr>
      </w:pPr>
      <w:r w:rsidRPr="00171A80">
        <w:rPr>
          <w:rFonts w:asciiTheme="majorHAnsi" w:hAnsiTheme="majorHAnsi"/>
          <w:b/>
          <w:i/>
          <w:color w:val="51671F"/>
          <w:szCs w:val="22"/>
          <w:lang w:val="sr-Cyrl-RS" w:eastAsia="ko-KR"/>
        </w:rPr>
        <w:t>Анализе коришћене приликом израде Стратегије за управљање јавним дугом</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Управа за јавни дуг је користила квантитативни приступ за формулисање Стратегије за управљање јавним дугом, идентификујући могућа ограничења кроз макроекономске показатеље, анализу трошкова и ризика и тржишних услова који утичу на управљање јавним дугом. Приликом анализирања трошкова и ризика разматрају се све изводљиве алтернативе финансирања. Удео сваког инструмента у укупним потребама за финансирањем у датој години одређен је у складу са циљевима Стратегије.</w:t>
      </w:r>
    </w:p>
    <w:p w:rsidR="00171A80" w:rsidRPr="00171A80"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У сврху анализе коришћени су доле описани инструменти доступни на домаћем и међународном финансијском тржишту</w:t>
      </w:r>
      <w:r w:rsidR="00171A80" w:rsidRPr="00171A80">
        <w:rPr>
          <w:rFonts w:asciiTheme="majorHAnsi" w:hAnsiTheme="majorHAnsi"/>
          <w:bCs w:val="0"/>
          <w:color w:val="7F7F7F" w:themeColor="text1" w:themeTint="80"/>
          <w:sz w:val="21"/>
          <w:szCs w:val="21"/>
          <w:lang w:val="sr-Cyrl-RS"/>
        </w:rPr>
        <w:t>.</w:t>
      </w:r>
    </w:p>
    <w:p w:rsidR="00171A80" w:rsidRPr="00171A80" w:rsidRDefault="00171A80" w:rsidP="00171A80">
      <w:pPr>
        <w:ind w:firstLine="0"/>
        <w:rPr>
          <w:rFonts w:asciiTheme="majorHAnsi" w:hAnsiTheme="majorHAnsi"/>
          <w:b/>
          <w:i/>
          <w:color w:val="51671F"/>
          <w:szCs w:val="22"/>
          <w:lang w:val="sr-Cyrl-RS" w:eastAsia="ko-KR"/>
        </w:rPr>
      </w:pPr>
      <w:r w:rsidRPr="00171A80">
        <w:rPr>
          <w:rFonts w:asciiTheme="majorHAnsi" w:hAnsiTheme="majorHAnsi"/>
          <w:b/>
          <w:i/>
          <w:color w:val="51671F"/>
          <w:szCs w:val="22"/>
          <w:lang w:val="sr-Cyrl-RS" w:eastAsia="ko-KR"/>
        </w:rPr>
        <w:t>Извори финансирања деноминовани у страној валути</w:t>
      </w:r>
    </w:p>
    <w:p w:rsidR="00171A80" w:rsidRPr="00171A80" w:rsidRDefault="005261F6" w:rsidP="00D05B1D">
      <w:pPr>
        <w:numPr>
          <w:ilvl w:val="0"/>
          <w:numId w:val="7"/>
        </w:numPr>
        <w:ind w:left="714" w:hanging="357"/>
        <w:rPr>
          <w:rFonts w:asciiTheme="majorHAnsi" w:hAnsiTheme="majorHAnsi"/>
          <w:color w:val="7F7F7F" w:themeColor="text1" w:themeTint="80"/>
          <w:sz w:val="21"/>
          <w:szCs w:val="21"/>
          <w:lang w:val="sr-Cyrl-RS"/>
        </w:rPr>
      </w:pPr>
      <w:r w:rsidRPr="005261F6">
        <w:rPr>
          <w:rFonts w:asciiTheme="majorHAnsi" w:hAnsiTheme="majorHAnsi"/>
          <w:color w:val="7F7F7F" w:themeColor="text1" w:themeTint="80"/>
          <w:sz w:val="21"/>
          <w:szCs w:val="21"/>
          <w:lang w:val="sr-Cyrl-RS"/>
        </w:rPr>
        <w:t>Зајмови страних влада и међународних финансијских институција приказани су као инструменти деноминовани у еврима и америчким доларима, са фиксном и варијабилном каматном стопом</w:t>
      </w:r>
      <w:r w:rsidR="00171A80" w:rsidRPr="00171A80">
        <w:rPr>
          <w:rFonts w:asciiTheme="majorHAnsi" w:hAnsiTheme="majorHAnsi"/>
          <w:color w:val="7F7F7F" w:themeColor="text1" w:themeTint="80"/>
          <w:sz w:val="21"/>
          <w:szCs w:val="21"/>
          <w:lang w:val="sr-Cyrl-RS"/>
        </w:rPr>
        <w:t>;</w:t>
      </w:r>
    </w:p>
    <w:p w:rsidR="00171A80" w:rsidRPr="00171A80" w:rsidRDefault="005261F6" w:rsidP="00D05B1D">
      <w:pPr>
        <w:numPr>
          <w:ilvl w:val="0"/>
          <w:numId w:val="7"/>
        </w:numPr>
        <w:ind w:left="714" w:hanging="357"/>
        <w:rPr>
          <w:rFonts w:asciiTheme="majorHAnsi" w:hAnsiTheme="majorHAnsi"/>
          <w:color w:val="7F7F7F" w:themeColor="text1" w:themeTint="80"/>
          <w:sz w:val="21"/>
          <w:szCs w:val="21"/>
          <w:lang w:val="sr-Cyrl-RS"/>
        </w:rPr>
      </w:pPr>
      <w:r w:rsidRPr="005261F6">
        <w:rPr>
          <w:rFonts w:asciiTheme="majorHAnsi" w:hAnsiTheme="majorHAnsi"/>
          <w:color w:val="7F7F7F" w:themeColor="text1" w:themeTint="80"/>
          <w:sz w:val="21"/>
          <w:szCs w:val="21"/>
          <w:lang w:val="sr-Cyrl-RS"/>
        </w:rPr>
        <w:t>Домаћи дуг деноминован у еврима је исказан кроз три инструмента: зајмови домаћих пословних банака са варијабилном каматном стопом, државни записи и државне обвезнице емитоване на домаћем финансијском тржишту</w:t>
      </w:r>
      <w:r w:rsidR="00171A80" w:rsidRPr="00171A80">
        <w:rPr>
          <w:rFonts w:asciiTheme="majorHAnsi" w:hAnsiTheme="majorHAnsi"/>
          <w:color w:val="7F7F7F" w:themeColor="text1" w:themeTint="80"/>
          <w:sz w:val="21"/>
          <w:szCs w:val="21"/>
          <w:lang w:val="sr-Cyrl-RS"/>
        </w:rPr>
        <w:t>;</w:t>
      </w:r>
    </w:p>
    <w:p w:rsidR="00171A80" w:rsidRPr="00171A80" w:rsidRDefault="005261F6" w:rsidP="00D05B1D">
      <w:pPr>
        <w:numPr>
          <w:ilvl w:val="0"/>
          <w:numId w:val="7"/>
        </w:numPr>
        <w:ind w:left="714" w:hanging="357"/>
        <w:rPr>
          <w:rFonts w:asciiTheme="majorHAnsi" w:hAnsiTheme="majorHAnsi"/>
          <w:color w:val="7F7F7F" w:themeColor="text1" w:themeTint="80"/>
          <w:sz w:val="21"/>
          <w:szCs w:val="21"/>
          <w:lang w:val="sr-Cyrl-RS"/>
        </w:rPr>
      </w:pPr>
      <w:r w:rsidRPr="005261F6">
        <w:rPr>
          <w:rFonts w:asciiTheme="majorHAnsi" w:hAnsiTheme="majorHAnsi"/>
          <w:color w:val="7F7F7F" w:themeColor="text1" w:themeTint="80"/>
          <w:sz w:val="21"/>
          <w:szCs w:val="21"/>
          <w:lang w:val="sr-Cyrl-RS"/>
        </w:rPr>
        <w:t>Еврообвезница (еуробонд) емитована у еврима или америчким доларима на међународном финансијском тржишту</w:t>
      </w:r>
      <w:r w:rsidR="00171A80" w:rsidRPr="00171A80">
        <w:rPr>
          <w:rFonts w:asciiTheme="majorHAnsi" w:hAnsiTheme="majorHAnsi"/>
          <w:color w:val="7F7F7F" w:themeColor="text1" w:themeTint="80"/>
          <w:sz w:val="21"/>
          <w:szCs w:val="21"/>
          <w:lang w:val="sr-Cyrl-RS"/>
        </w:rPr>
        <w:t>.</w:t>
      </w:r>
    </w:p>
    <w:p w:rsidR="00171A80" w:rsidRPr="00171A80" w:rsidRDefault="00171A80" w:rsidP="00171A80">
      <w:pPr>
        <w:ind w:firstLine="0"/>
        <w:rPr>
          <w:rFonts w:asciiTheme="majorHAnsi" w:hAnsiTheme="majorHAnsi"/>
          <w:b/>
          <w:i/>
          <w:color w:val="51671F"/>
          <w:szCs w:val="22"/>
          <w:lang w:val="sr-Cyrl-RS" w:eastAsia="ko-KR"/>
        </w:rPr>
      </w:pPr>
      <w:r w:rsidRPr="00171A80">
        <w:rPr>
          <w:rFonts w:asciiTheme="majorHAnsi" w:hAnsiTheme="majorHAnsi"/>
          <w:b/>
          <w:i/>
          <w:color w:val="51671F"/>
          <w:szCs w:val="22"/>
          <w:lang w:val="sr-Cyrl-RS" w:eastAsia="ko-KR"/>
        </w:rPr>
        <w:t>Извори финансирања у домаћој валути</w:t>
      </w:r>
    </w:p>
    <w:p w:rsidR="00171A80" w:rsidRPr="00171A80" w:rsidRDefault="002F31FA" w:rsidP="00171A80">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Све државне хартије од вредности деноминоване у динарима груписане су у неколико група, и то у краткорочне државне записе (са роковима доспећа до 53 недеље), двогодишње, трогодишње и дугорочне (петогодишње, седмогодишње и десетогодишње) државне обвезнице</w:t>
      </w:r>
      <w:r w:rsidR="00171A80" w:rsidRPr="00171A80">
        <w:rPr>
          <w:rFonts w:asciiTheme="majorHAnsi" w:hAnsiTheme="majorHAnsi"/>
          <w:bCs w:val="0"/>
          <w:color w:val="7F7F7F" w:themeColor="text1" w:themeTint="80"/>
          <w:sz w:val="21"/>
          <w:szCs w:val="21"/>
          <w:lang w:val="sr-Cyrl-RS"/>
        </w:rPr>
        <w:t>.</w:t>
      </w:r>
    </w:p>
    <w:p w:rsidR="00171A80" w:rsidRPr="00171A80" w:rsidRDefault="00171A80" w:rsidP="00171A80">
      <w:pPr>
        <w:ind w:firstLine="0"/>
        <w:rPr>
          <w:rFonts w:asciiTheme="majorHAnsi" w:hAnsiTheme="majorHAnsi"/>
          <w:b/>
          <w:i/>
          <w:color w:val="51671F"/>
          <w:szCs w:val="22"/>
          <w:lang w:val="sr-Cyrl-RS" w:eastAsia="ko-KR"/>
        </w:rPr>
      </w:pPr>
      <w:r w:rsidRPr="00171A80">
        <w:rPr>
          <w:rFonts w:asciiTheme="majorHAnsi" w:hAnsiTheme="majorHAnsi"/>
          <w:b/>
          <w:i/>
          <w:color w:val="51671F"/>
          <w:szCs w:val="22"/>
          <w:lang w:val="sr-Cyrl-RS" w:eastAsia="ko-KR"/>
        </w:rPr>
        <w:t>Будуће тржишне каматне стопе и сценарио анализа</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Приликом израде средњорочне стратегије управљања јавним дугом за период 2015 - 2017. године коришћене су квантитативне анализе трошкова и ризика засноване на различитим сценаријима и пројекцијама.</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 xml:space="preserve">Полази се од основног сценарија који се базира на највише вероватним тржишним условима. Затим су идентификоване три групе тржишних варијабли: девизни курс, референтне каматне стопе на међународном тржишту и референтна каматна стопа на динаре. Будуће тржишне стопе могу се извести анализом доступних предвиђања паритета куповне снаге или предвиђањем паритета каматних стопа. Претпостављена је просечна депрецијација </w:t>
      </w:r>
      <w:r w:rsidRPr="002F31FA">
        <w:rPr>
          <w:rFonts w:asciiTheme="majorHAnsi" w:hAnsiTheme="majorHAnsi"/>
          <w:bCs w:val="0"/>
          <w:color w:val="7F7F7F" w:themeColor="text1" w:themeTint="80"/>
          <w:sz w:val="21"/>
          <w:szCs w:val="21"/>
          <w:lang w:val="sr-Cyrl-RS"/>
        </w:rPr>
        <w:lastRenderedPageBreak/>
        <w:t>динара у односу на евро и у односу на амерички долар у складу са макроекономским оквиром у посматраном периоду. Друга могућност је да се користи форвард девизни курс између евра и америчког долара, али у овом случају су лимитирани екстерни утицаји („шокови”) и задржан је константан однос евра и америчког долара, како би се добила чиста слика датог ефекта примењеног шока. Исто тако тржишне форвард стопе су тренутно лоша база за предвиђање каматних стопа. Овде су такође биле коришћене и константне стопе. У шоковима су тестирани ефекти промена тржишних каматних стопа.</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Приступ за динарске каматне стопе заснива се на тренутним реалним стопама, и пројекцији инфлације у наредном средњорочном периоду.</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Након дефинисања основног сценарија, у циљу стрес тестирања одабране су још три врсте сценарија - шокова. Макроекономски шокови или шокови у примарном буџету се посматрају одвојено у анализи одрживости дуга.</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i/>
          <w:color w:val="7F7F7F" w:themeColor="text1" w:themeTint="80"/>
          <w:sz w:val="21"/>
          <w:szCs w:val="21"/>
          <w:lang w:val="sr-Cyrl-RS"/>
        </w:rPr>
        <w:t>Депрецијација динара у односу на амерички долар од 25%.</w:t>
      </w:r>
      <w:r w:rsidRPr="002F31FA">
        <w:rPr>
          <w:rFonts w:asciiTheme="majorHAnsi" w:hAnsiTheme="majorHAnsi"/>
          <w:bCs w:val="0"/>
          <w:color w:val="7F7F7F" w:themeColor="text1" w:themeTint="80"/>
          <w:sz w:val="21"/>
          <w:szCs w:val="21"/>
          <w:lang w:val="sr-Cyrl-RS"/>
        </w:rPr>
        <w:t xml:space="preserve"> При овој врсти шока сви други девизни курсеви остају непромењени. Овакав глобални сценарио није много повезан са српском економијом, али има великог утицаја на српски дуг због удела дуга деноминованог у америчким доларима (који је на крају октобра 2014. године чинио 30,8% српског јавног дуга централног нивоа власти). Овај сценарио се лако може догодити када се економија САД опорави и почне да бележи значајан привредни раст, и паралелно са њом европска економија и даље буде трпела утицаје тренутне кризе задужености и рецесије. Кретања на девизном међународном финансијском тржишту у периоду јун - октобар 2014. године управо то показују - да се налазимо у периоду када се овакав сценарио реализује. </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i/>
          <w:color w:val="7F7F7F" w:themeColor="text1" w:themeTint="80"/>
          <w:sz w:val="21"/>
          <w:szCs w:val="21"/>
          <w:lang w:val="sr-Cyrl-RS"/>
        </w:rPr>
        <w:t>Депрецијација динара у односу на све валуте од 25%.</w:t>
      </w:r>
      <w:r w:rsidRPr="002F31FA">
        <w:rPr>
          <w:rFonts w:asciiTheme="majorHAnsi" w:hAnsiTheme="majorHAnsi"/>
          <w:bCs w:val="0"/>
          <w:color w:val="7F7F7F" w:themeColor="text1" w:themeTint="80"/>
          <w:sz w:val="21"/>
          <w:szCs w:val="21"/>
          <w:lang w:val="sr-Cyrl-RS"/>
        </w:rPr>
        <w:t xml:space="preserve"> У овом сценарију би валутни курсеви у читавом свету остали стабилни, док би само динар депрецирао у односу на њих. Макроекономске околности за такав сценарио би се односиле на велики текући дефицит платног биланса и низак прилив страних директних и портфолио инвестиција.</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i/>
          <w:color w:val="7F7F7F" w:themeColor="text1" w:themeTint="80"/>
          <w:sz w:val="21"/>
          <w:szCs w:val="21"/>
          <w:lang w:val="sr-Cyrl-RS"/>
        </w:rPr>
        <w:t>Повећање каматних стопа на међународном тржишту.</w:t>
      </w:r>
      <w:r w:rsidRPr="002F31FA">
        <w:rPr>
          <w:rFonts w:asciiTheme="majorHAnsi" w:hAnsiTheme="majorHAnsi"/>
          <w:bCs w:val="0"/>
          <w:color w:val="7F7F7F" w:themeColor="text1" w:themeTint="80"/>
          <w:sz w:val="21"/>
          <w:szCs w:val="21"/>
          <w:lang w:val="sr-Cyrl-RS"/>
        </w:rPr>
        <w:t xml:space="preserve"> Тренутне каматне стопе у свету су на историјски веома ниском нивоу. Централне банке држе ниске стопе усидрене, омогућавајући владама решавање проблема јавног дуга као и банкама да профитирају од позитивних крива приноса и докапитализације, све док инфлација не постане потенцијална претња. Уколико дође до опоравка светске економије каматне стопе ће се вероватно повећати за око 2-3 п.п. у средњорочном року. </w:t>
      </w:r>
    </w:p>
    <w:p w:rsidR="002F31FA" w:rsidRPr="002F31FA" w:rsidRDefault="002F31FA" w:rsidP="002F31FA">
      <w:pPr>
        <w:rPr>
          <w:rFonts w:asciiTheme="majorHAnsi" w:hAnsiTheme="majorHAnsi"/>
          <w:bCs w:val="0"/>
          <w:i/>
          <w:color w:val="7F7F7F" w:themeColor="text1" w:themeTint="80"/>
          <w:sz w:val="21"/>
          <w:szCs w:val="21"/>
          <w:lang w:val="sr-Cyrl-RS"/>
        </w:rPr>
      </w:pPr>
      <w:r w:rsidRPr="002F31FA">
        <w:rPr>
          <w:rFonts w:asciiTheme="majorHAnsi" w:hAnsiTheme="majorHAnsi"/>
          <w:bCs w:val="0"/>
          <w:i/>
          <w:color w:val="7F7F7F" w:themeColor="text1" w:themeTint="80"/>
          <w:sz w:val="21"/>
          <w:szCs w:val="21"/>
          <w:lang w:val="sr-Cyrl-RS"/>
        </w:rPr>
        <w:t>Повећање каматних стопа на домаћем тржишту до 5 п.п</w:t>
      </w:r>
      <w:r w:rsidRPr="002F31FA">
        <w:rPr>
          <w:rFonts w:asciiTheme="majorHAnsi" w:hAnsiTheme="majorHAnsi"/>
          <w:bCs w:val="0"/>
          <w:color w:val="7F7F7F" w:themeColor="text1" w:themeTint="80"/>
          <w:sz w:val="21"/>
          <w:szCs w:val="21"/>
          <w:lang w:val="sr-Cyrl-RS"/>
        </w:rPr>
        <w:t xml:space="preserve">. Овакав сценарио би био могућ уколико инфлација поново постане висока (преко 10%) и буде присутна велика волатилност курса динара према евру услед повећања премије ризика земље. </w:t>
      </w:r>
    </w:p>
    <w:p w:rsidR="00171A80" w:rsidRPr="00171A80"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Сваки од горе наведених стрес тестова или сценарија ризика је коришћен за преглед ефеката коштања разматраних стратегија</w:t>
      </w:r>
      <w:r w:rsidR="005261F6" w:rsidRPr="005261F6">
        <w:rPr>
          <w:rFonts w:asciiTheme="majorHAnsi" w:hAnsiTheme="majorHAnsi"/>
          <w:bCs w:val="0"/>
          <w:color w:val="7F7F7F" w:themeColor="text1" w:themeTint="80"/>
          <w:sz w:val="21"/>
          <w:szCs w:val="21"/>
          <w:lang w:val="sr-Cyrl-RS"/>
        </w:rPr>
        <w:t>.</w:t>
      </w:r>
    </w:p>
    <w:p w:rsidR="00171A80" w:rsidRPr="00171A80" w:rsidRDefault="00171A80" w:rsidP="00171A80">
      <w:pPr>
        <w:ind w:firstLine="0"/>
        <w:rPr>
          <w:rFonts w:asciiTheme="majorHAnsi" w:hAnsiTheme="majorHAnsi"/>
          <w:b/>
          <w:i/>
          <w:color w:val="51671F"/>
          <w:szCs w:val="22"/>
          <w:lang w:val="sr-Cyrl-RS" w:eastAsia="ko-KR"/>
        </w:rPr>
      </w:pPr>
      <w:bookmarkStart w:id="62" w:name="_Toc337117131"/>
      <w:r w:rsidRPr="00171A80">
        <w:rPr>
          <w:rFonts w:asciiTheme="majorHAnsi" w:hAnsiTheme="majorHAnsi"/>
          <w:b/>
          <w:i/>
          <w:color w:val="51671F"/>
          <w:szCs w:val="22"/>
          <w:lang w:val="sr-Cyrl-RS" w:eastAsia="ko-KR"/>
        </w:rPr>
        <w:t>Алтернативне стратегије задуживања за период 2015-2017. годин</w:t>
      </w:r>
      <w:bookmarkEnd w:id="62"/>
      <w:r w:rsidRPr="00171A80">
        <w:rPr>
          <w:rFonts w:asciiTheme="majorHAnsi" w:hAnsiTheme="majorHAnsi"/>
          <w:b/>
          <w:i/>
          <w:color w:val="51671F"/>
          <w:szCs w:val="22"/>
          <w:lang w:val="sr-Cyrl-RS" w:eastAsia="ko-KR"/>
        </w:rPr>
        <w:t>е</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 xml:space="preserve">У сарадњи са експертима Светске банке, Министарство финансија - Управа за јавни дуг ради анализе трошкова и ризика алтернативних стратегија задуживања применила је модел Светске банке Medium Term Debt Strategy Model - MTDS у циљу оптимизације портфолија и ефикаснијег управљања јавним дугом. </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Оптимални избор између трошкова и ризика дефинисао је избор основне стратегије задуживања за наредни средњорочни период. Анализиране алтернативне стратегије задуживања су:</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i/>
          <w:color w:val="7F7F7F" w:themeColor="text1" w:themeTint="80"/>
          <w:sz w:val="21"/>
          <w:szCs w:val="21"/>
          <w:lang w:val="sr-Cyrl-RS"/>
        </w:rPr>
        <w:t>Основна стратегија (С1):</w:t>
      </w:r>
      <w:r w:rsidRPr="002F31FA">
        <w:rPr>
          <w:rFonts w:asciiTheme="majorHAnsi" w:hAnsiTheme="majorHAnsi"/>
          <w:bCs w:val="0"/>
          <w:color w:val="7F7F7F" w:themeColor="text1" w:themeTint="80"/>
          <w:sz w:val="21"/>
          <w:szCs w:val="21"/>
          <w:lang w:val="sr-Cyrl-RS"/>
        </w:rPr>
        <w:t xml:space="preserve"> представља стратегију, која покрива потребе за финансирањем емисијама државних хартија од вредности у домаћој и страној валути на домаћем финансијском тржишту и емисији еврообвезница у еврима са рочношћу пет и десет година.</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i/>
          <w:color w:val="7F7F7F" w:themeColor="text1" w:themeTint="80"/>
          <w:sz w:val="21"/>
          <w:szCs w:val="21"/>
          <w:lang w:val="sr-Cyrl-RS"/>
        </w:rPr>
        <w:t>Стратегија са обезбеђеним концесионалним зајмом (С2):</w:t>
      </w:r>
      <w:r w:rsidRPr="002F31FA">
        <w:rPr>
          <w:rFonts w:asciiTheme="majorHAnsi" w:hAnsiTheme="majorHAnsi"/>
          <w:bCs w:val="0"/>
          <w:color w:val="7F7F7F" w:themeColor="text1" w:themeTint="80"/>
          <w:sz w:val="21"/>
          <w:szCs w:val="21"/>
          <w:lang w:val="sr-Cyrl-RS"/>
        </w:rPr>
        <w:t xml:space="preserve"> у односу на стратегију С1, емитују се две еврообвезнице у еврима на рок од пет и десет година, обезбеђује се повољни </w:t>
      </w:r>
      <w:r w:rsidRPr="002F31FA">
        <w:rPr>
          <w:rFonts w:asciiTheme="majorHAnsi" w:hAnsiTheme="majorHAnsi"/>
          <w:bCs w:val="0"/>
          <w:color w:val="7F7F7F" w:themeColor="text1" w:themeTint="80"/>
          <w:sz w:val="21"/>
          <w:szCs w:val="21"/>
          <w:lang w:val="sr-Cyrl-RS"/>
        </w:rPr>
        <w:lastRenderedPageBreak/>
        <w:t>дугорочни зајам са роком отплате од 10 година и фиксном каматном стопом од 2% у америчким доларима, док се додатно финансирање на домаћем тржишту заснива доминантно на динарским хартијама од вредности у структури слично као код С1.</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i/>
          <w:color w:val="7F7F7F" w:themeColor="text1" w:themeTint="80"/>
          <w:sz w:val="21"/>
          <w:szCs w:val="21"/>
          <w:lang w:val="sr-Cyrl-RS"/>
        </w:rPr>
        <w:t>Стратегија заснована на емисијама еврообвезница (С3):</w:t>
      </w:r>
      <w:r w:rsidRPr="002F31FA">
        <w:rPr>
          <w:rFonts w:asciiTheme="majorHAnsi" w:hAnsiTheme="majorHAnsi"/>
          <w:bCs w:val="0"/>
          <w:color w:val="7F7F7F" w:themeColor="text1" w:themeTint="80"/>
          <w:sz w:val="21"/>
          <w:szCs w:val="21"/>
          <w:lang w:val="sr-Cyrl-RS"/>
        </w:rPr>
        <w:t xml:space="preserve"> стратегија С3 у односу на стратегију С1 предвиђа да се емисије еврообвезница рочности пет и десет година емитују у америчким доларима, док структура и обим емисија динарских државних хартија од вредности остају као код стратегије С1.</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i/>
          <w:color w:val="7F7F7F" w:themeColor="text1" w:themeTint="80"/>
          <w:sz w:val="21"/>
          <w:szCs w:val="21"/>
          <w:lang w:val="sr-Cyrl-RS"/>
        </w:rPr>
        <w:t>Стратегија додатне динаризације (С4):</w:t>
      </w:r>
      <w:r w:rsidRPr="002F31FA">
        <w:rPr>
          <w:rFonts w:asciiTheme="majorHAnsi" w:hAnsiTheme="majorHAnsi"/>
          <w:bCs w:val="0"/>
          <w:color w:val="7F7F7F" w:themeColor="text1" w:themeTint="80"/>
          <w:sz w:val="21"/>
          <w:szCs w:val="21"/>
          <w:lang w:val="sr-Cyrl-RS"/>
        </w:rPr>
        <w:t xml:space="preserve"> представља стратегију која целокупно финансирање заснива на емисијама динарских хартија од вредности.</w:t>
      </w:r>
    </w:p>
    <w:p w:rsidR="00171A80" w:rsidRPr="00171A80"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Финансирање издатака буџета Републике Србије по свим стратегијама вршиће се углавном путем емисија државних хартија од вредности на међународном и домаћем тржишту капитала, осим код стратегије С2, где се предвиђа знатније учешће концесионалних зајмова. Дуг који се анализира односи се на дуг централног нивоа власти укључујући и дуг по основу индиректних обавеза које сервисира Република Србија, без негарантованог дуга локалне власти, без нових повлачења по основу пројектних и програмских зајмова и без нових осталих дуговања и датих гаранција - стање овако израчунатог јавног дуга на крају 2014. године процењује се на 62,5% БДП</w:t>
      </w:r>
      <w:r w:rsidR="00171A80" w:rsidRPr="00171A80">
        <w:rPr>
          <w:rFonts w:asciiTheme="majorHAnsi" w:hAnsiTheme="majorHAnsi"/>
          <w:bCs w:val="0"/>
          <w:color w:val="7F7F7F" w:themeColor="text1" w:themeTint="80"/>
          <w:sz w:val="21"/>
          <w:szCs w:val="21"/>
          <w:lang w:val="sr-Cyrl-RS"/>
        </w:rPr>
        <w:t>.</w:t>
      </w:r>
    </w:p>
    <w:p w:rsidR="00171A80" w:rsidRPr="00171A80" w:rsidRDefault="00171A80" w:rsidP="00171A80">
      <w:pPr>
        <w:ind w:firstLine="0"/>
        <w:rPr>
          <w:rFonts w:asciiTheme="majorHAnsi" w:hAnsiTheme="majorHAnsi"/>
          <w:b/>
          <w:i/>
          <w:color w:val="51671F"/>
          <w:szCs w:val="22"/>
          <w:lang w:val="sr-Cyrl-RS" w:eastAsia="ko-KR"/>
        </w:rPr>
      </w:pPr>
      <w:r w:rsidRPr="00171A80">
        <w:rPr>
          <w:rFonts w:asciiTheme="majorHAnsi" w:hAnsiTheme="majorHAnsi"/>
          <w:b/>
          <w:i/>
          <w:color w:val="51671F"/>
          <w:szCs w:val="22"/>
          <w:lang w:val="sr-Cyrl-RS" w:eastAsia="ko-KR"/>
        </w:rPr>
        <w:t>Анализа трошкова и ризика алтернативних стратегија задуживања</w:t>
      </w:r>
    </w:p>
    <w:p w:rsidR="00984065" w:rsidRPr="002A5649" w:rsidRDefault="002F31FA" w:rsidP="002A5649">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Квантитативна анализа представља учинке сваке од четири алтернативне стратегије задуживања, где се на вертикалној оси налази учешће дуга у БДП при основном макроекономском оквиру, који је дефинисан Фискалном стратегијом и представља основну вредност примене одређене стратегије задуживања, док се на хоризонталној оси налази потенцијални трошак одређене стратегије задуживања (резултат стрес теста). Примењене су две мере трошкова: однос јавног дуга према БДП и номинална камата као проценат БДП. Први однос је индикатор стања, а други индикатор тока. У циљу поређења, пажња је усмерена на резултате разматраних стратегија на крају 2017. године</w:t>
      </w:r>
      <w:r w:rsidR="002A5649">
        <w:rPr>
          <w:rFonts w:asciiTheme="majorHAnsi" w:hAnsiTheme="majorHAnsi"/>
          <w:bCs w:val="0"/>
          <w:color w:val="7F7F7F" w:themeColor="text1" w:themeTint="80"/>
          <w:sz w:val="21"/>
          <w:szCs w:val="21"/>
          <w:lang w:val="sr-Cyrl-RS"/>
        </w:rPr>
        <w:t>.</w:t>
      </w:r>
    </w:p>
    <w:p w:rsidR="00171A80" w:rsidRPr="00171A80" w:rsidRDefault="00171A80" w:rsidP="00171A80">
      <w:pPr>
        <w:ind w:firstLine="0"/>
        <w:rPr>
          <w:rFonts w:asciiTheme="majorHAnsi" w:hAnsiTheme="majorHAnsi"/>
          <w:b/>
          <w:bCs w:val="0"/>
          <w:i/>
          <w:color w:val="51671F"/>
          <w:szCs w:val="22"/>
          <w:lang w:val="sr-Cyrl-RS"/>
        </w:rPr>
      </w:pPr>
      <w:r w:rsidRPr="00171A80">
        <w:rPr>
          <w:rFonts w:asciiTheme="majorHAnsi" w:hAnsiTheme="majorHAnsi"/>
          <w:b/>
          <w:bCs w:val="0"/>
          <w:i/>
          <w:color w:val="51671F"/>
          <w:szCs w:val="22"/>
          <w:lang w:val="sr-Cyrl-RS"/>
        </w:rPr>
        <w:t>Поређење алтернативних стратегија:</w:t>
      </w:r>
    </w:p>
    <w:p w:rsidR="00171A80" w:rsidRPr="00171A80" w:rsidRDefault="00171A80" w:rsidP="00171A80">
      <w:pPr>
        <w:spacing w:after="0"/>
        <w:ind w:firstLine="0"/>
        <w:jc w:val="center"/>
        <w:rPr>
          <w:rFonts w:asciiTheme="majorHAnsi" w:hAnsiTheme="majorHAnsi"/>
          <w:b/>
          <w:color w:val="7F7F7F" w:themeColor="text1" w:themeTint="80"/>
          <w:sz w:val="21"/>
          <w:szCs w:val="21"/>
          <w:lang w:val="sr-Cyrl-RS"/>
        </w:rPr>
      </w:pPr>
      <w:r w:rsidRPr="00171A80">
        <w:rPr>
          <w:rFonts w:asciiTheme="majorHAnsi" w:hAnsiTheme="majorHAnsi"/>
          <w:b/>
          <w:color w:val="7F7F7F" w:themeColor="text1" w:themeTint="80"/>
          <w:sz w:val="21"/>
          <w:szCs w:val="21"/>
          <w:lang w:val="sr-Cyrl-RS"/>
        </w:rPr>
        <w:t xml:space="preserve">Графикон </w:t>
      </w:r>
      <w:r w:rsidR="00984065">
        <w:rPr>
          <w:rFonts w:asciiTheme="majorHAnsi" w:hAnsiTheme="majorHAnsi"/>
          <w:b/>
          <w:color w:val="7F7F7F" w:themeColor="text1" w:themeTint="80"/>
          <w:sz w:val="21"/>
          <w:szCs w:val="21"/>
          <w:lang w:val="sr-Cyrl-RS"/>
        </w:rPr>
        <w:t>2</w:t>
      </w:r>
      <w:r w:rsidR="00BC66CD">
        <w:rPr>
          <w:rFonts w:asciiTheme="majorHAnsi" w:hAnsiTheme="majorHAnsi"/>
          <w:b/>
          <w:color w:val="7F7F7F" w:themeColor="text1" w:themeTint="80"/>
          <w:sz w:val="21"/>
          <w:szCs w:val="21"/>
          <w:lang w:val="sr-Latn-RS"/>
        </w:rPr>
        <w:t>9</w:t>
      </w:r>
      <w:r w:rsidRPr="00171A80">
        <w:rPr>
          <w:rFonts w:asciiTheme="majorHAnsi" w:hAnsiTheme="majorHAnsi"/>
          <w:b/>
          <w:color w:val="7F7F7F" w:themeColor="text1" w:themeTint="80"/>
          <w:sz w:val="21"/>
          <w:szCs w:val="21"/>
          <w:lang w:val="sr-Cyrl-RS"/>
        </w:rPr>
        <w:t>. Однос дуга и БДП на крају 2017. године</w:t>
      </w:r>
    </w:p>
    <w:p w:rsidR="00171A80" w:rsidRPr="009123E8" w:rsidRDefault="000C4436" w:rsidP="009123E8">
      <w:pPr>
        <w:spacing w:after="0"/>
        <w:ind w:firstLine="0"/>
        <w:jc w:val="center"/>
        <w:rPr>
          <w:rFonts w:asciiTheme="majorHAnsi" w:hAnsiTheme="majorHAnsi"/>
          <w:color w:val="7F7F7F" w:themeColor="text1" w:themeTint="80"/>
          <w:sz w:val="21"/>
          <w:szCs w:val="21"/>
          <w:lang w:val="sr-Cyrl-RS"/>
        </w:rPr>
      </w:pPr>
      <w:r>
        <w:rPr>
          <w:noProof/>
          <w:lang w:val="en-US"/>
        </w:rPr>
        <w:drawing>
          <wp:inline distT="0" distB="0" distL="0" distR="0" wp14:anchorId="42CABD7C" wp14:editId="76D40F7E">
            <wp:extent cx="5619242" cy="2922567"/>
            <wp:effectExtent l="0" t="0" r="63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A5649" w:rsidRDefault="002A5649" w:rsidP="00D86BDA">
      <w:pPr>
        <w:spacing w:before="120"/>
        <w:ind w:firstLine="0"/>
        <w:jc w:val="center"/>
        <w:rPr>
          <w:rFonts w:asciiTheme="majorHAnsi" w:hAnsiTheme="majorHAnsi"/>
          <w:b/>
          <w:color w:val="7F7F7F" w:themeColor="text1" w:themeTint="80"/>
          <w:sz w:val="21"/>
          <w:szCs w:val="21"/>
          <w:lang w:val="sr-Cyrl-RS"/>
        </w:rPr>
      </w:pPr>
    </w:p>
    <w:p w:rsidR="002A5649" w:rsidRDefault="002A5649" w:rsidP="00D86BDA">
      <w:pPr>
        <w:spacing w:before="120"/>
        <w:ind w:firstLine="0"/>
        <w:jc w:val="center"/>
        <w:rPr>
          <w:rFonts w:asciiTheme="majorHAnsi" w:hAnsiTheme="majorHAnsi"/>
          <w:b/>
          <w:color w:val="7F7F7F" w:themeColor="text1" w:themeTint="80"/>
          <w:sz w:val="21"/>
          <w:szCs w:val="21"/>
          <w:lang w:val="sr-Cyrl-RS"/>
        </w:rPr>
      </w:pPr>
    </w:p>
    <w:p w:rsidR="002A5649" w:rsidRDefault="002A5649" w:rsidP="00D86BDA">
      <w:pPr>
        <w:spacing w:before="120"/>
        <w:ind w:firstLine="0"/>
        <w:jc w:val="center"/>
        <w:rPr>
          <w:rFonts w:asciiTheme="majorHAnsi" w:hAnsiTheme="majorHAnsi"/>
          <w:b/>
          <w:color w:val="7F7F7F" w:themeColor="text1" w:themeTint="80"/>
          <w:sz w:val="21"/>
          <w:szCs w:val="21"/>
          <w:lang w:val="sr-Cyrl-RS"/>
        </w:rPr>
      </w:pPr>
    </w:p>
    <w:p w:rsidR="002A5649" w:rsidRDefault="002A5649" w:rsidP="00D86BDA">
      <w:pPr>
        <w:spacing w:before="120"/>
        <w:ind w:firstLine="0"/>
        <w:jc w:val="center"/>
        <w:rPr>
          <w:rFonts w:asciiTheme="majorHAnsi" w:hAnsiTheme="majorHAnsi"/>
          <w:b/>
          <w:color w:val="7F7F7F" w:themeColor="text1" w:themeTint="80"/>
          <w:sz w:val="21"/>
          <w:szCs w:val="21"/>
          <w:lang w:val="sr-Cyrl-RS"/>
        </w:rPr>
      </w:pPr>
    </w:p>
    <w:p w:rsidR="00171A80" w:rsidRPr="00171A80" w:rsidRDefault="00BC66CD" w:rsidP="00D86BDA">
      <w:pPr>
        <w:spacing w:before="120"/>
        <w:ind w:firstLine="0"/>
        <w:jc w:val="center"/>
        <w:rPr>
          <w:rFonts w:asciiTheme="majorHAnsi" w:hAnsiTheme="majorHAnsi"/>
          <w:b/>
          <w:color w:val="7F7F7F" w:themeColor="text1" w:themeTint="80"/>
          <w:sz w:val="21"/>
          <w:szCs w:val="21"/>
          <w:lang w:val="sr-Cyrl-RS"/>
        </w:rPr>
      </w:pPr>
      <w:r>
        <w:rPr>
          <w:rFonts w:asciiTheme="majorHAnsi" w:hAnsiTheme="majorHAnsi"/>
          <w:b/>
          <w:color w:val="7F7F7F" w:themeColor="text1" w:themeTint="80"/>
          <w:sz w:val="21"/>
          <w:szCs w:val="21"/>
          <w:lang w:val="sr-Cyrl-RS"/>
        </w:rPr>
        <w:lastRenderedPageBreak/>
        <w:t>Графикон 30</w:t>
      </w:r>
      <w:r w:rsidR="00171A80" w:rsidRPr="00171A80">
        <w:rPr>
          <w:rFonts w:asciiTheme="majorHAnsi" w:hAnsiTheme="majorHAnsi"/>
          <w:b/>
          <w:color w:val="7F7F7F" w:themeColor="text1" w:themeTint="80"/>
          <w:sz w:val="21"/>
          <w:szCs w:val="21"/>
          <w:lang w:val="sr-Cyrl-RS"/>
        </w:rPr>
        <w:t>. Однос камата и БДП на крају 2017. године</w:t>
      </w:r>
    </w:p>
    <w:p w:rsidR="00171A80" w:rsidRPr="00171A80" w:rsidRDefault="000C4436" w:rsidP="00171A80">
      <w:pPr>
        <w:spacing w:after="0"/>
        <w:ind w:firstLine="0"/>
        <w:jc w:val="center"/>
        <w:rPr>
          <w:rFonts w:asciiTheme="majorHAnsi" w:hAnsiTheme="majorHAnsi"/>
          <w:noProof/>
          <w:color w:val="262626"/>
          <w:sz w:val="21"/>
          <w:szCs w:val="21"/>
          <w:lang w:val="sr-Cyrl-RS" w:eastAsia="sr-Latn-RS"/>
        </w:rPr>
      </w:pPr>
      <w:r w:rsidRPr="003570F7">
        <w:rPr>
          <w:noProof/>
          <w:sz w:val="18"/>
          <w:szCs w:val="18"/>
          <w:lang w:val="en-US"/>
        </w:rPr>
        <w:drawing>
          <wp:inline distT="0" distB="0" distL="0" distR="0" wp14:anchorId="40633F9F" wp14:editId="3A8C9180">
            <wp:extent cx="5700479" cy="2637282"/>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F31FA" w:rsidRPr="002F31FA" w:rsidRDefault="002F31FA" w:rsidP="002A5649">
      <w:pPr>
        <w:spacing w:before="120"/>
        <w:rPr>
          <w:rFonts w:asciiTheme="majorHAnsi" w:hAnsiTheme="majorHAnsi"/>
          <w:color w:val="7F7F7F" w:themeColor="text1" w:themeTint="80"/>
          <w:sz w:val="21"/>
          <w:szCs w:val="21"/>
          <w:lang w:val="sr-Cyrl-RS"/>
        </w:rPr>
      </w:pPr>
      <w:r w:rsidRPr="002F31FA">
        <w:rPr>
          <w:rFonts w:asciiTheme="majorHAnsi" w:hAnsiTheme="majorHAnsi"/>
          <w:color w:val="7F7F7F" w:themeColor="text1" w:themeTint="80"/>
          <w:sz w:val="21"/>
          <w:szCs w:val="21"/>
          <w:lang w:val="sr-Cyrl-RS"/>
        </w:rPr>
        <w:t>На основу графикона јасно се уочавају трошкови, које свака од разматраних стратегија носи са собом - стратегије С2 и С3 имају релативно већу изложеност ризику девизног курса. Стратегија С1 услед комбиновања динарских и еурских хартија од вредности у тренутним пропорцијама има велику изложеност могућим осцилацијама динарских каматних стопа на државним хартијама од вредности, док се тај ниво изложености код стратегије С4 значајно повећава, јер се целокупно додатно финансирања обезбеђује емисијама динарских хартија од вредности. Са друге стране, стратегија С4 при основном макроекономском оквиру има, због релативно већег учешћа динара, стабилнији рацио учешћа дуга у БДП. Код стратегије С2, која се једним делом заснива на дугорочном зајму са роком отплате од 10 година и фиксном каматном стопом од 2% у америчким доларима, присутан је најмањи ризик код каматних стопа у односу на све четири посматране стратегије услед ниског фиксног трошка код концесионалног зајма. Стратегија С3 се показује као релативно доста ризична у погледу рациа дуг-БДП, јер се додатно финансирање заснива на емисији обвезница деноминованих у америчким доларима, док стратегија С4 се показује као релативно скупа с обзиром на високо учешће динарских хартија од вредности у овој стратегији.</w:t>
      </w:r>
    </w:p>
    <w:p w:rsidR="002F31FA" w:rsidRPr="002F31FA" w:rsidRDefault="002F31FA" w:rsidP="002F31FA">
      <w:pPr>
        <w:rPr>
          <w:rFonts w:asciiTheme="majorHAnsi" w:hAnsiTheme="majorHAnsi"/>
          <w:color w:val="7F7F7F" w:themeColor="text1" w:themeTint="80"/>
          <w:sz w:val="21"/>
          <w:szCs w:val="21"/>
          <w:lang w:val="sr-Cyrl-RS"/>
        </w:rPr>
      </w:pPr>
      <w:r w:rsidRPr="002F31FA">
        <w:rPr>
          <w:rFonts w:asciiTheme="majorHAnsi" w:hAnsiTheme="majorHAnsi"/>
          <w:color w:val="7F7F7F" w:themeColor="text1" w:themeTint="80"/>
          <w:sz w:val="21"/>
          <w:szCs w:val="21"/>
          <w:lang w:val="sr-Cyrl-RS"/>
        </w:rPr>
        <w:t>Приликом анализе односа јавног дуга и БДП оцењено је да стратегија С2 представља најризичнији избор. Основна стратегија С1 има релативно високе трошкове камата услед значајног учешћа динарских хартија од вредности. При основном макроекономском оквиру стратегија С2 има ниске трошкове камата, јер се један део потреба за финансирањем обезбеђује из концесионалног зајма. На основу ових анализа евидентно је да ће се у наредном средњорочном периоду, основне операције задуживања заснивати на стратегијама С1 и С2, али уз јасну преференцију да ће се, уколико се укажу могућности за задуживање по концесионалним условима у већем обиму, дужничке операције заснивати на стратегији С2.</w:t>
      </w:r>
    </w:p>
    <w:p w:rsidR="00171A80" w:rsidRPr="00171A80" w:rsidRDefault="002F31FA" w:rsidP="002F31FA">
      <w:pPr>
        <w:rPr>
          <w:rFonts w:asciiTheme="majorHAnsi" w:hAnsiTheme="majorHAnsi"/>
          <w:color w:val="7F7F7F" w:themeColor="text1" w:themeTint="80"/>
          <w:sz w:val="21"/>
          <w:szCs w:val="21"/>
          <w:lang w:val="sr-Cyrl-RS"/>
        </w:rPr>
      </w:pPr>
      <w:r w:rsidRPr="002F31FA">
        <w:rPr>
          <w:rFonts w:asciiTheme="majorHAnsi" w:hAnsiTheme="majorHAnsi"/>
          <w:color w:val="7F7F7F" w:themeColor="text1" w:themeTint="80"/>
          <w:sz w:val="21"/>
          <w:szCs w:val="21"/>
          <w:lang w:val="sr-Cyrl-RS"/>
        </w:rPr>
        <w:t>Резултати добијени применом модела Светске банке за однос јавног дуга и БДП на крају 2017. године не узимају у обзир могућа примања од продаје државне имовине, као ни гарантоване обавезе које не сервисира Република Србија</w:t>
      </w:r>
      <w:r w:rsidR="00171A80" w:rsidRPr="00171A80">
        <w:rPr>
          <w:rFonts w:asciiTheme="majorHAnsi" w:hAnsiTheme="majorHAnsi"/>
          <w:color w:val="7F7F7F" w:themeColor="text1" w:themeTint="80"/>
          <w:sz w:val="21"/>
          <w:szCs w:val="21"/>
          <w:lang w:val="sr-Cyrl-RS"/>
        </w:rPr>
        <w:t>.</w:t>
      </w:r>
    </w:p>
    <w:p w:rsidR="00171A80" w:rsidRPr="00171A80" w:rsidRDefault="00171A80" w:rsidP="00171A80">
      <w:pPr>
        <w:ind w:firstLine="0"/>
        <w:jc w:val="left"/>
        <w:rPr>
          <w:rFonts w:asciiTheme="majorHAnsi" w:hAnsiTheme="majorHAnsi"/>
          <w:b/>
          <w:bCs w:val="0"/>
          <w:color w:val="7F7F7F" w:themeColor="text1" w:themeTint="80"/>
          <w:kern w:val="20"/>
          <w:sz w:val="21"/>
          <w:szCs w:val="21"/>
          <w:lang w:val="sr-Cyrl-RS" w:eastAsia="ko-KR"/>
        </w:rPr>
      </w:pPr>
      <w:r w:rsidRPr="00171A80">
        <w:rPr>
          <w:rFonts w:asciiTheme="majorHAnsi" w:hAnsiTheme="majorHAnsi"/>
          <w:b/>
          <w:bCs w:val="0"/>
          <w:color w:val="7F7F7F" w:themeColor="text1" w:themeTint="80"/>
          <w:kern w:val="20"/>
          <w:sz w:val="21"/>
          <w:szCs w:val="21"/>
          <w:lang w:val="sr-Cyrl-RS" w:eastAsia="ko-KR"/>
        </w:rPr>
        <w:t xml:space="preserve">Табела </w:t>
      </w:r>
      <w:r w:rsidR="0038616A">
        <w:rPr>
          <w:rFonts w:asciiTheme="majorHAnsi" w:hAnsiTheme="majorHAnsi"/>
          <w:b/>
          <w:bCs w:val="0"/>
          <w:color w:val="7F7F7F" w:themeColor="text1" w:themeTint="80"/>
          <w:kern w:val="20"/>
          <w:sz w:val="21"/>
          <w:szCs w:val="21"/>
          <w:lang w:val="sr-Cyrl-RS" w:eastAsia="ko-KR"/>
        </w:rPr>
        <w:t>25</w:t>
      </w:r>
      <w:r w:rsidRPr="00171A80">
        <w:rPr>
          <w:rFonts w:asciiTheme="majorHAnsi" w:hAnsiTheme="majorHAnsi"/>
          <w:b/>
          <w:bCs w:val="0"/>
          <w:color w:val="7F7F7F" w:themeColor="text1" w:themeTint="80"/>
          <w:kern w:val="20"/>
          <w:sz w:val="21"/>
          <w:szCs w:val="21"/>
          <w:lang w:val="sr-Cyrl-RS" w:eastAsia="ko-KR"/>
        </w:rPr>
        <w:t>. Однос јавног дуга и БДП на крају 2017. године</w:t>
      </w:r>
    </w:p>
    <w:tbl>
      <w:tblPr>
        <w:tblStyle w:val="LightShading-Accent6"/>
        <w:tblW w:w="8960" w:type="dxa"/>
        <w:tblLook w:val="04A0" w:firstRow="1" w:lastRow="0" w:firstColumn="1" w:lastColumn="0" w:noHBand="0" w:noVBand="1"/>
      </w:tblPr>
      <w:tblGrid>
        <w:gridCol w:w="4816"/>
        <w:gridCol w:w="1036"/>
        <w:gridCol w:w="1036"/>
        <w:gridCol w:w="1036"/>
        <w:gridCol w:w="1036"/>
      </w:tblGrid>
      <w:tr w:rsidR="00171A80" w:rsidRPr="00171A80" w:rsidTr="005E5E5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left"/>
              <w:rPr>
                <w:rFonts w:asciiTheme="majorHAnsi" w:hAnsiTheme="majorHAnsi" w:cs="Times New Roman"/>
                <w:color w:val="7F7F7F"/>
                <w:sz w:val="20"/>
                <w:szCs w:val="20"/>
                <w:lang w:val="sr-Cyrl-RS"/>
              </w:rPr>
            </w:pPr>
            <w:r w:rsidRPr="00171A80">
              <w:rPr>
                <w:rFonts w:asciiTheme="majorHAnsi" w:hAnsiTheme="majorHAnsi" w:cs="Times New Roman"/>
                <w:color w:val="7F7F7F"/>
                <w:sz w:val="20"/>
                <w:szCs w:val="20"/>
                <w:lang w:val="sr-Cyrl-RS"/>
              </w:rPr>
              <w:t>Сценарији</w:t>
            </w:r>
          </w:p>
        </w:tc>
        <w:tc>
          <w:tcPr>
            <w:tcW w:w="1036" w:type="dxa"/>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7F7F7F"/>
                <w:sz w:val="20"/>
                <w:szCs w:val="20"/>
                <w:lang w:val="sr-Cyrl-RS"/>
              </w:rPr>
            </w:pPr>
            <w:r w:rsidRPr="00171A80">
              <w:rPr>
                <w:rFonts w:asciiTheme="majorHAnsi" w:hAnsiTheme="majorHAnsi" w:cs="Times New Roman"/>
                <w:color w:val="7F7F7F"/>
                <w:sz w:val="20"/>
                <w:szCs w:val="20"/>
                <w:lang w:val="sr-Cyrl-RS"/>
              </w:rPr>
              <w:t>C1</w:t>
            </w:r>
          </w:p>
        </w:tc>
        <w:tc>
          <w:tcPr>
            <w:tcW w:w="1036" w:type="dxa"/>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7F7F7F"/>
                <w:sz w:val="20"/>
                <w:szCs w:val="20"/>
                <w:lang w:val="sr-Cyrl-RS"/>
              </w:rPr>
            </w:pPr>
            <w:r w:rsidRPr="00171A80">
              <w:rPr>
                <w:rFonts w:asciiTheme="majorHAnsi" w:hAnsiTheme="majorHAnsi" w:cs="Times New Roman"/>
                <w:color w:val="7F7F7F"/>
                <w:sz w:val="20"/>
                <w:szCs w:val="20"/>
                <w:lang w:val="sr-Cyrl-RS"/>
              </w:rPr>
              <w:t>C2</w:t>
            </w:r>
          </w:p>
        </w:tc>
        <w:tc>
          <w:tcPr>
            <w:tcW w:w="1036" w:type="dxa"/>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7F7F7F"/>
                <w:sz w:val="20"/>
                <w:szCs w:val="20"/>
                <w:lang w:val="sr-Cyrl-RS"/>
              </w:rPr>
            </w:pPr>
            <w:r w:rsidRPr="00171A80">
              <w:rPr>
                <w:rFonts w:asciiTheme="majorHAnsi" w:hAnsiTheme="majorHAnsi" w:cs="Times New Roman"/>
                <w:color w:val="7F7F7F"/>
                <w:sz w:val="20"/>
                <w:szCs w:val="20"/>
                <w:lang w:val="sr-Cyrl-RS"/>
              </w:rPr>
              <w:t>C3</w:t>
            </w:r>
          </w:p>
        </w:tc>
        <w:tc>
          <w:tcPr>
            <w:tcW w:w="1036" w:type="dxa"/>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7F7F7F"/>
                <w:sz w:val="20"/>
                <w:szCs w:val="20"/>
                <w:lang w:val="sr-Cyrl-RS"/>
              </w:rPr>
            </w:pPr>
            <w:r w:rsidRPr="00171A80">
              <w:rPr>
                <w:rFonts w:asciiTheme="majorHAnsi" w:hAnsiTheme="majorHAnsi" w:cs="Times New Roman"/>
                <w:color w:val="7F7F7F"/>
                <w:sz w:val="20"/>
                <w:szCs w:val="20"/>
                <w:lang w:val="sr-Cyrl-RS"/>
              </w:rPr>
              <w:t>C4</w:t>
            </w:r>
          </w:p>
        </w:tc>
      </w:tr>
      <w:tr w:rsidR="00171A80" w:rsidRPr="00171A80" w:rsidTr="005E5E5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cs="Times New Roman"/>
                <w:b w:val="0"/>
                <w:color w:val="808080"/>
                <w:sz w:val="20"/>
                <w:szCs w:val="20"/>
                <w:lang w:val="sr-Cyrl-RS"/>
              </w:rPr>
            </w:pPr>
            <w:r w:rsidRPr="00171A80">
              <w:rPr>
                <w:rFonts w:asciiTheme="majorHAnsi" w:hAnsiTheme="majorHAnsi" w:cs="Times New Roman"/>
                <w:b w:val="0"/>
                <w:color w:val="808080"/>
                <w:sz w:val="20"/>
                <w:szCs w:val="20"/>
                <w:lang w:val="sr-Cyrl-RS"/>
              </w:rPr>
              <w:t xml:space="preserve"> Основни сценарио</w:t>
            </w:r>
          </w:p>
        </w:tc>
        <w:tc>
          <w:tcPr>
            <w:tcW w:w="1036" w:type="dxa"/>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69,3</w:t>
            </w:r>
          </w:p>
        </w:tc>
        <w:tc>
          <w:tcPr>
            <w:tcW w:w="1036" w:type="dxa"/>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69,1</w:t>
            </w:r>
          </w:p>
        </w:tc>
        <w:tc>
          <w:tcPr>
            <w:tcW w:w="1036" w:type="dxa"/>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70,0</w:t>
            </w:r>
          </w:p>
        </w:tc>
        <w:tc>
          <w:tcPr>
            <w:tcW w:w="1036" w:type="dxa"/>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69,2</w:t>
            </w:r>
          </w:p>
        </w:tc>
      </w:tr>
      <w:tr w:rsidR="00171A80" w:rsidRPr="00171A80" w:rsidTr="005E5E59">
        <w:trPr>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nil"/>
              <w:left w:val="nil"/>
              <w:bottom w:val="nil"/>
              <w:right w:val="nil"/>
            </w:tcBorders>
            <w:noWrap/>
            <w:hideMark/>
          </w:tcPr>
          <w:p w:rsidR="00171A80" w:rsidRPr="00171A80" w:rsidRDefault="00171A80" w:rsidP="00171A80">
            <w:pPr>
              <w:spacing w:after="0"/>
              <w:ind w:firstLine="0"/>
              <w:jc w:val="left"/>
              <w:rPr>
                <w:rFonts w:asciiTheme="majorHAnsi" w:hAnsiTheme="majorHAnsi" w:cs="Times New Roman"/>
                <w:b w:val="0"/>
                <w:color w:val="808080"/>
                <w:sz w:val="20"/>
                <w:szCs w:val="20"/>
                <w:lang w:val="sr-Cyrl-RS"/>
              </w:rPr>
            </w:pPr>
            <w:r w:rsidRPr="00171A80">
              <w:rPr>
                <w:rFonts w:asciiTheme="majorHAnsi" w:hAnsiTheme="majorHAnsi" w:cs="Times New Roman"/>
                <w:b w:val="0"/>
                <w:color w:val="808080"/>
                <w:sz w:val="20"/>
                <w:szCs w:val="20"/>
                <w:lang w:val="sr-Cyrl-RS"/>
              </w:rPr>
              <w:t xml:space="preserve"> Шок девизног курса (25% све валуте) </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81,9</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82,2</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82,7</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79,9</w:t>
            </w:r>
          </w:p>
        </w:tc>
      </w:tr>
      <w:tr w:rsidR="00171A80" w:rsidRPr="00171A80" w:rsidTr="005E5E5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nil"/>
              <w:bottom w:val="nil"/>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cs="Times New Roman"/>
                <w:b w:val="0"/>
                <w:color w:val="808080"/>
                <w:sz w:val="20"/>
                <w:szCs w:val="20"/>
                <w:lang w:val="sr-Cyrl-RS"/>
              </w:rPr>
            </w:pPr>
            <w:r w:rsidRPr="00171A80">
              <w:rPr>
                <w:rFonts w:asciiTheme="majorHAnsi" w:hAnsiTheme="majorHAnsi" w:cs="Times New Roman"/>
                <w:b w:val="0"/>
                <w:color w:val="808080"/>
                <w:sz w:val="20"/>
                <w:szCs w:val="20"/>
                <w:lang w:val="sr-Cyrl-RS"/>
              </w:rPr>
              <w:t xml:space="preserve"> Каматни шок (сценарио 1) </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70,0</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69,8</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70,7</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70,0</w:t>
            </w:r>
          </w:p>
        </w:tc>
      </w:tr>
      <w:tr w:rsidR="00171A80" w:rsidRPr="00171A80" w:rsidTr="005E5E59">
        <w:trPr>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nil"/>
              <w:left w:val="nil"/>
              <w:bottom w:val="nil"/>
              <w:right w:val="nil"/>
            </w:tcBorders>
            <w:noWrap/>
            <w:hideMark/>
          </w:tcPr>
          <w:p w:rsidR="00171A80" w:rsidRPr="00171A80" w:rsidRDefault="00171A80" w:rsidP="00171A80">
            <w:pPr>
              <w:spacing w:after="0"/>
              <w:ind w:firstLine="0"/>
              <w:jc w:val="left"/>
              <w:rPr>
                <w:rFonts w:asciiTheme="majorHAnsi" w:hAnsiTheme="majorHAnsi" w:cs="Times New Roman"/>
                <w:b w:val="0"/>
                <w:color w:val="808080"/>
                <w:sz w:val="20"/>
                <w:szCs w:val="20"/>
                <w:lang w:val="sr-Cyrl-RS"/>
              </w:rPr>
            </w:pPr>
            <w:r w:rsidRPr="00171A80">
              <w:rPr>
                <w:rFonts w:asciiTheme="majorHAnsi" w:hAnsiTheme="majorHAnsi" w:cs="Times New Roman"/>
                <w:b w:val="0"/>
                <w:color w:val="808080"/>
                <w:sz w:val="20"/>
                <w:szCs w:val="20"/>
                <w:lang w:val="sr-Cyrl-RS"/>
              </w:rPr>
              <w:t xml:space="preserve"> Каматни шок (сценарио 2)</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70,3</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70,1</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71,0</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70,2</w:t>
            </w:r>
          </w:p>
        </w:tc>
      </w:tr>
      <w:tr w:rsidR="00171A80" w:rsidRPr="00171A80" w:rsidTr="005E5E5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nil"/>
              <w:bottom w:val="nil"/>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cs="Times New Roman"/>
                <w:b w:val="0"/>
                <w:color w:val="808080"/>
                <w:sz w:val="20"/>
                <w:szCs w:val="20"/>
                <w:lang w:val="sr-Cyrl-RS"/>
              </w:rPr>
            </w:pPr>
            <w:r w:rsidRPr="00171A80">
              <w:rPr>
                <w:rFonts w:asciiTheme="majorHAnsi" w:hAnsiTheme="majorHAnsi" w:cs="Times New Roman"/>
                <w:b w:val="0"/>
                <w:color w:val="808080"/>
                <w:sz w:val="20"/>
                <w:szCs w:val="20"/>
                <w:lang w:val="sr-Cyrl-RS"/>
              </w:rPr>
              <w:t xml:space="preserve"> Комбиновани шок (25% УСД и каматни шок1) </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75,3</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75,6</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77,2</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75,2</w:t>
            </w:r>
          </w:p>
        </w:tc>
      </w:tr>
      <w:tr w:rsidR="00171A80" w:rsidRPr="00171A80" w:rsidTr="005E5E59">
        <w:trPr>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nil"/>
              <w:left w:val="nil"/>
              <w:bottom w:val="single" w:sz="8" w:space="0" w:color="76923C" w:themeColor="accent3" w:themeShade="BF"/>
              <w:right w:val="nil"/>
            </w:tcBorders>
            <w:noWrap/>
            <w:hideMark/>
          </w:tcPr>
          <w:p w:rsidR="00171A80" w:rsidRPr="00171A80" w:rsidRDefault="00171A80" w:rsidP="00171A80">
            <w:pPr>
              <w:spacing w:after="0"/>
              <w:ind w:firstLine="0"/>
              <w:jc w:val="left"/>
              <w:rPr>
                <w:rFonts w:asciiTheme="majorHAnsi" w:hAnsiTheme="majorHAnsi" w:cs="Times New Roman"/>
                <w:b w:val="0"/>
                <w:color w:val="808080"/>
                <w:sz w:val="20"/>
                <w:szCs w:val="20"/>
                <w:lang w:val="sr-Cyrl-RS"/>
              </w:rPr>
            </w:pPr>
            <w:r w:rsidRPr="00171A80">
              <w:rPr>
                <w:rFonts w:asciiTheme="majorHAnsi" w:hAnsiTheme="majorHAnsi" w:cs="Times New Roman"/>
                <w:b w:val="0"/>
                <w:color w:val="808080"/>
                <w:sz w:val="20"/>
                <w:szCs w:val="20"/>
                <w:lang w:val="sr-Cyrl-RS"/>
              </w:rPr>
              <w:t xml:space="preserve"> Максимални ризик </w:t>
            </w:r>
          </w:p>
        </w:tc>
        <w:tc>
          <w:tcPr>
            <w:tcW w:w="1036" w:type="dxa"/>
            <w:tcBorders>
              <w:top w:val="nil"/>
              <w:left w:val="nil"/>
              <w:bottom w:val="single" w:sz="8" w:space="0" w:color="76923C" w:themeColor="accent3" w:themeShade="BF"/>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12,6</w:t>
            </w:r>
          </w:p>
        </w:tc>
        <w:tc>
          <w:tcPr>
            <w:tcW w:w="1036" w:type="dxa"/>
            <w:tcBorders>
              <w:top w:val="nil"/>
              <w:left w:val="nil"/>
              <w:bottom w:val="single" w:sz="8" w:space="0" w:color="76923C" w:themeColor="accent3" w:themeShade="BF"/>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13,1</w:t>
            </w:r>
          </w:p>
        </w:tc>
        <w:tc>
          <w:tcPr>
            <w:tcW w:w="1036" w:type="dxa"/>
            <w:tcBorders>
              <w:top w:val="nil"/>
              <w:left w:val="nil"/>
              <w:bottom w:val="single" w:sz="8" w:space="0" w:color="76923C" w:themeColor="accent3" w:themeShade="BF"/>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12,7</w:t>
            </w:r>
          </w:p>
        </w:tc>
        <w:tc>
          <w:tcPr>
            <w:tcW w:w="1036" w:type="dxa"/>
            <w:tcBorders>
              <w:top w:val="nil"/>
              <w:left w:val="nil"/>
              <w:bottom w:val="single" w:sz="8" w:space="0" w:color="76923C" w:themeColor="accent3" w:themeShade="BF"/>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10,6</w:t>
            </w:r>
          </w:p>
        </w:tc>
      </w:tr>
    </w:tbl>
    <w:p w:rsidR="00171A80" w:rsidRPr="00171A80" w:rsidRDefault="00171A80" w:rsidP="00171A80">
      <w:pPr>
        <w:ind w:firstLine="0"/>
        <w:rPr>
          <w:rFonts w:asciiTheme="majorHAnsi" w:hAnsiTheme="majorHAnsi"/>
          <w:bCs w:val="0"/>
          <w:color w:val="7F7F7F" w:themeColor="text1" w:themeTint="80"/>
          <w:kern w:val="20"/>
          <w:sz w:val="21"/>
          <w:szCs w:val="21"/>
          <w:lang w:val="sr-Cyrl-RS" w:eastAsia="ko-KR"/>
        </w:rPr>
      </w:pPr>
    </w:p>
    <w:p w:rsidR="00171A80" w:rsidRPr="00171A80" w:rsidRDefault="00171A80" w:rsidP="00171A80">
      <w:pPr>
        <w:ind w:firstLine="0"/>
        <w:rPr>
          <w:rFonts w:asciiTheme="majorHAnsi" w:hAnsiTheme="majorHAnsi"/>
          <w:b/>
          <w:bCs w:val="0"/>
          <w:color w:val="7F7F7F" w:themeColor="text1" w:themeTint="80"/>
          <w:kern w:val="20"/>
          <w:sz w:val="21"/>
          <w:szCs w:val="21"/>
          <w:lang w:val="sr-Cyrl-RS" w:eastAsia="ko-KR"/>
        </w:rPr>
      </w:pPr>
      <w:r w:rsidRPr="00171A80">
        <w:rPr>
          <w:rFonts w:asciiTheme="majorHAnsi" w:hAnsiTheme="majorHAnsi"/>
          <w:b/>
          <w:bCs w:val="0"/>
          <w:color w:val="7F7F7F" w:themeColor="text1" w:themeTint="80"/>
          <w:kern w:val="20"/>
          <w:sz w:val="21"/>
          <w:szCs w:val="21"/>
          <w:lang w:val="sr-Cyrl-RS" w:eastAsia="ko-KR"/>
        </w:rPr>
        <w:lastRenderedPageBreak/>
        <w:t xml:space="preserve">Табела </w:t>
      </w:r>
      <w:r w:rsidR="0038616A">
        <w:rPr>
          <w:rFonts w:asciiTheme="majorHAnsi" w:hAnsiTheme="majorHAnsi"/>
          <w:b/>
          <w:bCs w:val="0"/>
          <w:color w:val="7F7F7F" w:themeColor="text1" w:themeTint="80"/>
          <w:kern w:val="20"/>
          <w:sz w:val="21"/>
          <w:szCs w:val="21"/>
          <w:lang w:val="sr-Cyrl-RS" w:eastAsia="ko-KR"/>
        </w:rPr>
        <w:t>26</w:t>
      </w:r>
      <w:r w:rsidRPr="00171A80">
        <w:rPr>
          <w:rFonts w:asciiTheme="majorHAnsi" w:hAnsiTheme="majorHAnsi"/>
          <w:b/>
          <w:bCs w:val="0"/>
          <w:color w:val="7F7F7F" w:themeColor="text1" w:themeTint="80"/>
          <w:kern w:val="20"/>
          <w:sz w:val="21"/>
          <w:szCs w:val="21"/>
          <w:lang w:val="sr-Cyrl-RS" w:eastAsia="ko-KR"/>
        </w:rPr>
        <w:t>. Однос плаћања по основу камата и БДП на крају 2017. године</w:t>
      </w:r>
    </w:p>
    <w:tbl>
      <w:tblPr>
        <w:tblStyle w:val="LightShading-Accent6"/>
        <w:tblW w:w="8960" w:type="dxa"/>
        <w:tblLook w:val="04A0" w:firstRow="1" w:lastRow="0" w:firstColumn="1" w:lastColumn="0" w:noHBand="0" w:noVBand="1"/>
      </w:tblPr>
      <w:tblGrid>
        <w:gridCol w:w="4816"/>
        <w:gridCol w:w="1036"/>
        <w:gridCol w:w="1036"/>
        <w:gridCol w:w="1036"/>
        <w:gridCol w:w="1036"/>
      </w:tblGrid>
      <w:tr w:rsidR="00171A80" w:rsidRPr="00171A80" w:rsidTr="00171A8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left"/>
              <w:rPr>
                <w:rFonts w:asciiTheme="majorHAnsi" w:hAnsiTheme="majorHAnsi" w:cs="Times New Roman"/>
                <w:color w:val="7F7F7F"/>
                <w:sz w:val="20"/>
                <w:szCs w:val="20"/>
                <w:lang w:val="sr-Cyrl-RS"/>
              </w:rPr>
            </w:pPr>
            <w:r w:rsidRPr="00171A80">
              <w:rPr>
                <w:rFonts w:asciiTheme="majorHAnsi" w:hAnsiTheme="majorHAnsi" w:cs="Times New Roman"/>
                <w:color w:val="7F7F7F"/>
                <w:sz w:val="20"/>
                <w:szCs w:val="20"/>
                <w:lang w:val="sr-Cyrl-RS"/>
              </w:rPr>
              <w:t>Сценарији</w:t>
            </w:r>
          </w:p>
        </w:tc>
        <w:tc>
          <w:tcPr>
            <w:tcW w:w="1036" w:type="dxa"/>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7F7F7F"/>
                <w:sz w:val="20"/>
                <w:szCs w:val="20"/>
                <w:lang w:val="sr-Cyrl-RS"/>
              </w:rPr>
            </w:pPr>
            <w:r w:rsidRPr="00171A80">
              <w:rPr>
                <w:rFonts w:asciiTheme="majorHAnsi" w:hAnsiTheme="majorHAnsi" w:cs="Times New Roman"/>
                <w:color w:val="7F7F7F"/>
                <w:sz w:val="20"/>
                <w:szCs w:val="20"/>
                <w:lang w:val="sr-Cyrl-RS"/>
              </w:rPr>
              <w:t>C1</w:t>
            </w:r>
          </w:p>
        </w:tc>
        <w:tc>
          <w:tcPr>
            <w:tcW w:w="1036" w:type="dxa"/>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7F7F7F"/>
                <w:sz w:val="20"/>
                <w:szCs w:val="20"/>
                <w:lang w:val="sr-Cyrl-RS"/>
              </w:rPr>
            </w:pPr>
            <w:r w:rsidRPr="00171A80">
              <w:rPr>
                <w:rFonts w:asciiTheme="majorHAnsi" w:hAnsiTheme="majorHAnsi" w:cs="Times New Roman"/>
                <w:color w:val="7F7F7F"/>
                <w:sz w:val="20"/>
                <w:szCs w:val="20"/>
                <w:lang w:val="sr-Cyrl-RS"/>
              </w:rPr>
              <w:t>C2</w:t>
            </w:r>
          </w:p>
        </w:tc>
        <w:tc>
          <w:tcPr>
            <w:tcW w:w="1036" w:type="dxa"/>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7F7F7F"/>
                <w:sz w:val="20"/>
                <w:szCs w:val="20"/>
                <w:lang w:val="sr-Cyrl-RS"/>
              </w:rPr>
            </w:pPr>
            <w:r w:rsidRPr="00171A80">
              <w:rPr>
                <w:rFonts w:asciiTheme="majorHAnsi" w:hAnsiTheme="majorHAnsi" w:cs="Times New Roman"/>
                <w:color w:val="7F7F7F"/>
                <w:sz w:val="20"/>
                <w:szCs w:val="20"/>
                <w:lang w:val="sr-Cyrl-RS"/>
              </w:rPr>
              <w:t>C3</w:t>
            </w:r>
          </w:p>
        </w:tc>
        <w:tc>
          <w:tcPr>
            <w:tcW w:w="1036" w:type="dxa"/>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7F7F7F"/>
                <w:sz w:val="20"/>
                <w:szCs w:val="20"/>
                <w:lang w:val="sr-Cyrl-RS"/>
              </w:rPr>
            </w:pPr>
            <w:r w:rsidRPr="00171A80">
              <w:rPr>
                <w:rFonts w:asciiTheme="majorHAnsi" w:hAnsiTheme="majorHAnsi" w:cs="Times New Roman"/>
                <w:color w:val="7F7F7F"/>
                <w:sz w:val="20"/>
                <w:szCs w:val="20"/>
                <w:lang w:val="sr-Cyrl-RS"/>
              </w:rPr>
              <w:t>C4</w:t>
            </w:r>
          </w:p>
        </w:tc>
      </w:tr>
      <w:tr w:rsidR="00171A80" w:rsidRPr="00171A80" w:rsidTr="00171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cs="Times New Roman"/>
                <w:b w:val="0"/>
                <w:color w:val="808080"/>
                <w:sz w:val="20"/>
                <w:szCs w:val="20"/>
                <w:lang w:val="sr-Cyrl-RS"/>
              </w:rPr>
            </w:pPr>
            <w:r w:rsidRPr="00171A80">
              <w:rPr>
                <w:rFonts w:asciiTheme="majorHAnsi" w:hAnsiTheme="majorHAnsi" w:cs="Times New Roman"/>
                <w:b w:val="0"/>
                <w:color w:val="808080"/>
                <w:sz w:val="20"/>
                <w:szCs w:val="20"/>
                <w:lang w:val="sr-Cyrl-RS"/>
              </w:rPr>
              <w:t xml:space="preserve"> Основни сценарио</w:t>
            </w:r>
          </w:p>
        </w:tc>
        <w:tc>
          <w:tcPr>
            <w:tcW w:w="1036" w:type="dxa"/>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3,6</w:t>
            </w:r>
          </w:p>
        </w:tc>
        <w:tc>
          <w:tcPr>
            <w:tcW w:w="1036" w:type="dxa"/>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3,3</w:t>
            </w:r>
          </w:p>
        </w:tc>
        <w:tc>
          <w:tcPr>
            <w:tcW w:w="1036" w:type="dxa"/>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3,7</w:t>
            </w:r>
          </w:p>
        </w:tc>
        <w:tc>
          <w:tcPr>
            <w:tcW w:w="1036" w:type="dxa"/>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3,7</w:t>
            </w:r>
          </w:p>
        </w:tc>
      </w:tr>
      <w:tr w:rsidR="00171A80" w:rsidRPr="00171A80" w:rsidTr="00171A80">
        <w:trPr>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nil"/>
              <w:left w:val="nil"/>
              <w:bottom w:val="nil"/>
              <w:right w:val="nil"/>
            </w:tcBorders>
            <w:noWrap/>
            <w:hideMark/>
          </w:tcPr>
          <w:p w:rsidR="00171A80" w:rsidRPr="00171A80" w:rsidRDefault="00171A80" w:rsidP="00171A80">
            <w:pPr>
              <w:spacing w:after="0"/>
              <w:ind w:firstLine="0"/>
              <w:jc w:val="left"/>
              <w:rPr>
                <w:rFonts w:asciiTheme="majorHAnsi" w:hAnsiTheme="majorHAnsi" w:cs="Times New Roman"/>
                <w:b w:val="0"/>
                <w:color w:val="7F7F7F"/>
                <w:sz w:val="20"/>
                <w:szCs w:val="20"/>
                <w:lang w:val="sr-Cyrl-RS"/>
              </w:rPr>
            </w:pPr>
            <w:r w:rsidRPr="00171A80">
              <w:rPr>
                <w:rFonts w:asciiTheme="majorHAnsi" w:hAnsiTheme="majorHAnsi" w:cs="Times New Roman"/>
                <w:b w:val="0"/>
                <w:color w:val="7F7F7F"/>
                <w:sz w:val="20"/>
                <w:szCs w:val="20"/>
                <w:lang w:val="sr-Cyrl-RS"/>
              </w:rPr>
              <w:t xml:space="preserve"> Шок девизног курса (25% све валуте) </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4,2</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3,8</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4,3</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4,1</w:t>
            </w:r>
          </w:p>
        </w:tc>
      </w:tr>
      <w:tr w:rsidR="00171A80" w:rsidRPr="00171A80" w:rsidTr="00171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nil"/>
              <w:bottom w:val="nil"/>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cs="Times New Roman"/>
                <w:b w:val="0"/>
                <w:color w:val="808080"/>
                <w:sz w:val="20"/>
                <w:szCs w:val="20"/>
                <w:lang w:val="sr-Cyrl-RS"/>
              </w:rPr>
            </w:pPr>
            <w:r w:rsidRPr="00171A80">
              <w:rPr>
                <w:rFonts w:asciiTheme="majorHAnsi" w:hAnsiTheme="majorHAnsi" w:cs="Times New Roman"/>
                <w:b w:val="0"/>
                <w:color w:val="808080"/>
                <w:sz w:val="20"/>
                <w:szCs w:val="20"/>
                <w:lang w:val="sr-Cyrl-RS"/>
              </w:rPr>
              <w:t xml:space="preserve"> Каматни шок (сценарио 1) </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4,3</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3,9</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4,4</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4,4</w:t>
            </w:r>
          </w:p>
        </w:tc>
      </w:tr>
      <w:tr w:rsidR="00171A80" w:rsidRPr="00171A80" w:rsidTr="00171A80">
        <w:trPr>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nil"/>
              <w:left w:val="nil"/>
              <w:bottom w:val="nil"/>
              <w:right w:val="nil"/>
            </w:tcBorders>
            <w:noWrap/>
            <w:hideMark/>
          </w:tcPr>
          <w:p w:rsidR="00171A80" w:rsidRPr="00171A80" w:rsidRDefault="00171A80" w:rsidP="00171A80">
            <w:pPr>
              <w:spacing w:after="0"/>
              <w:ind w:firstLine="0"/>
              <w:jc w:val="left"/>
              <w:rPr>
                <w:rFonts w:asciiTheme="majorHAnsi" w:hAnsiTheme="majorHAnsi" w:cs="Times New Roman"/>
                <w:b w:val="0"/>
                <w:color w:val="7F7F7F"/>
                <w:sz w:val="20"/>
                <w:szCs w:val="20"/>
                <w:lang w:val="sr-Cyrl-RS"/>
              </w:rPr>
            </w:pPr>
            <w:r w:rsidRPr="00171A80">
              <w:rPr>
                <w:rFonts w:asciiTheme="majorHAnsi" w:hAnsiTheme="majorHAnsi" w:cs="Times New Roman"/>
                <w:b w:val="0"/>
                <w:color w:val="7F7F7F"/>
                <w:sz w:val="20"/>
                <w:szCs w:val="20"/>
                <w:lang w:val="sr-Cyrl-RS"/>
              </w:rPr>
              <w:t xml:space="preserve"> Каматни шок (сценарио 2)</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4,6</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4,2</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4,7</w:t>
            </w:r>
          </w:p>
        </w:tc>
        <w:tc>
          <w:tcPr>
            <w:tcW w:w="1036" w:type="dxa"/>
            <w:tcBorders>
              <w:top w:val="nil"/>
              <w:left w:val="nil"/>
              <w:bottom w:val="nil"/>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4,6</w:t>
            </w:r>
          </w:p>
        </w:tc>
      </w:tr>
      <w:tr w:rsidR="00171A80" w:rsidRPr="00171A80" w:rsidTr="00171A8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nil"/>
              <w:bottom w:val="nil"/>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cs="Times New Roman"/>
                <w:b w:val="0"/>
                <w:color w:val="808080"/>
                <w:sz w:val="20"/>
                <w:szCs w:val="20"/>
                <w:lang w:val="sr-Cyrl-RS"/>
              </w:rPr>
            </w:pPr>
            <w:r w:rsidRPr="00171A80">
              <w:rPr>
                <w:rFonts w:asciiTheme="majorHAnsi" w:hAnsiTheme="majorHAnsi" w:cs="Times New Roman"/>
                <w:b w:val="0"/>
                <w:color w:val="808080"/>
                <w:sz w:val="20"/>
                <w:szCs w:val="20"/>
                <w:lang w:val="sr-Cyrl-RS"/>
              </w:rPr>
              <w:t xml:space="preserve"> Комбиновани шок (25% УСД и каматни шок1) </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4,6</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4,2</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4,7</w:t>
            </w:r>
          </w:p>
        </w:tc>
        <w:tc>
          <w:tcPr>
            <w:tcW w:w="1036" w:type="dxa"/>
            <w:tcBorders>
              <w:top w:val="nil"/>
              <w:bottom w:val="nil"/>
            </w:tcBorders>
            <w:shd w:val="clear" w:color="auto" w:fill="EAF1DD" w:themeFill="accent3" w:themeFillTint="33"/>
            <w:noWrap/>
            <w:hideMark/>
          </w:tcPr>
          <w:p w:rsidR="00171A80" w:rsidRPr="00171A80" w:rsidRDefault="00171A80" w:rsidP="00171A80">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val="0"/>
                <w:color w:val="808080"/>
                <w:sz w:val="20"/>
                <w:szCs w:val="20"/>
                <w:lang w:val="sr-Cyrl-RS"/>
              </w:rPr>
            </w:pPr>
            <w:r w:rsidRPr="00171A80">
              <w:rPr>
                <w:rFonts w:asciiTheme="majorHAnsi" w:hAnsiTheme="majorHAnsi" w:cs="Times New Roman"/>
                <w:bCs w:val="0"/>
                <w:color w:val="808080"/>
                <w:sz w:val="20"/>
                <w:szCs w:val="20"/>
                <w:lang w:val="sr-Cyrl-RS"/>
              </w:rPr>
              <w:t>4,6</w:t>
            </w:r>
          </w:p>
        </w:tc>
      </w:tr>
      <w:tr w:rsidR="00171A80" w:rsidRPr="00171A80" w:rsidTr="00171A80">
        <w:trPr>
          <w:trHeight w:val="225"/>
        </w:trPr>
        <w:tc>
          <w:tcPr>
            <w:cnfStyle w:val="001000000000" w:firstRow="0" w:lastRow="0" w:firstColumn="1" w:lastColumn="0" w:oddVBand="0" w:evenVBand="0" w:oddHBand="0" w:evenHBand="0" w:firstRowFirstColumn="0" w:firstRowLastColumn="0" w:lastRowFirstColumn="0" w:lastRowLastColumn="0"/>
            <w:tcW w:w="4816" w:type="dxa"/>
            <w:tcBorders>
              <w:top w:val="nil"/>
              <w:left w:val="nil"/>
              <w:bottom w:val="single" w:sz="8" w:space="0" w:color="76923C" w:themeColor="accent3" w:themeShade="BF"/>
              <w:right w:val="nil"/>
            </w:tcBorders>
            <w:noWrap/>
            <w:hideMark/>
          </w:tcPr>
          <w:p w:rsidR="00171A80" w:rsidRPr="00171A80" w:rsidRDefault="00171A80" w:rsidP="00171A80">
            <w:pPr>
              <w:spacing w:after="0"/>
              <w:ind w:firstLine="0"/>
              <w:jc w:val="left"/>
              <w:rPr>
                <w:rFonts w:asciiTheme="majorHAnsi" w:hAnsiTheme="majorHAnsi" w:cs="Times New Roman"/>
                <w:b w:val="0"/>
                <w:color w:val="7F7F7F"/>
                <w:sz w:val="20"/>
                <w:szCs w:val="20"/>
                <w:lang w:val="sr-Cyrl-RS"/>
              </w:rPr>
            </w:pPr>
            <w:r w:rsidRPr="00171A80">
              <w:rPr>
                <w:rFonts w:asciiTheme="majorHAnsi" w:hAnsiTheme="majorHAnsi" w:cs="Times New Roman"/>
                <w:b w:val="0"/>
                <w:color w:val="7F7F7F"/>
                <w:sz w:val="20"/>
                <w:szCs w:val="20"/>
                <w:lang w:val="sr-Cyrl-RS"/>
              </w:rPr>
              <w:t xml:space="preserve"> Максимални ризик </w:t>
            </w:r>
          </w:p>
        </w:tc>
        <w:tc>
          <w:tcPr>
            <w:tcW w:w="1036" w:type="dxa"/>
            <w:tcBorders>
              <w:top w:val="nil"/>
              <w:left w:val="nil"/>
              <w:bottom w:val="single" w:sz="8" w:space="0" w:color="76923C" w:themeColor="accent3" w:themeShade="BF"/>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1,0</w:t>
            </w:r>
          </w:p>
        </w:tc>
        <w:tc>
          <w:tcPr>
            <w:tcW w:w="1036" w:type="dxa"/>
            <w:tcBorders>
              <w:top w:val="nil"/>
              <w:left w:val="nil"/>
              <w:bottom w:val="single" w:sz="8" w:space="0" w:color="76923C" w:themeColor="accent3" w:themeShade="BF"/>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0,9</w:t>
            </w:r>
          </w:p>
        </w:tc>
        <w:tc>
          <w:tcPr>
            <w:tcW w:w="1036" w:type="dxa"/>
            <w:tcBorders>
              <w:top w:val="nil"/>
              <w:left w:val="nil"/>
              <w:bottom w:val="single" w:sz="8" w:space="0" w:color="76923C" w:themeColor="accent3" w:themeShade="BF"/>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1,0</w:t>
            </w:r>
          </w:p>
        </w:tc>
        <w:tc>
          <w:tcPr>
            <w:tcW w:w="1036" w:type="dxa"/>
            <w:tcBorders>
              <w:top w:val="nil"/>
              <w:left w:val="nil"/>
              <w:bottom w:val="single" w:sz="8" w:space="0" w:color="76923C" w:themeColor="accent3" w:themeShade="BF"/>
              <w:right w:val="nil"/>
            </w:tcBorders>
            <w:noWrap/>
            <w:hideMark/>
          </w:tcPr>
          <w:p w:rsidR="00171A80" w:rsidRPr="00171A80" w:rsidRDefault="00171A80" w:rsidP="00171A80">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val="0"/>
                <w:color w:val="7F7F7F"/>
                <w:sz w:val="20"/>
                <w:szCs w:val="20"/>
                <w:lang w:val="sr-Cyrl-RS"/>
              </w:rPr>
            </w:pPr>
            <w:r w:rsidRPr="00171A80">
              <w:rPr>
                <w:rFonts w:asciiTheme="majorHAnsi" w:hAnsiTheme="majorHAnsi" w:cs="Times New Roman"/>
                <w:bCs w:val="0"/>
                <w:color w:val="7F7F7F"/>
                <w:sz w:val="20"/>
                <w:szCs w:val="20"/>
                <w:lang w:val="sr-Cyrl-RS"/>
              </w:rPr>
              <w:t>0,9</w:t>
            </w:r>
          </w:p>
        </w:tc>
      </w:tr>
    </w:tbl>
    <w:p w:rsidR="00171A80" w:rsidRPr="00171A80" w:rsidRDefault="00206D68" w:rsidP="008C2A49">
      <w:pPr>
        <w:spacing w:before="120"/>
        <w:rPr>
          <w:rFonts w:asciiTheme="majorHAnsi" w:hAnsiTheme="majorHAnsi"/>
          <w:bCs w:val="0"/>
          <w:color w:val="7F7F7F" w:themeColor="text1" w:themeTint="80"/>
          <w:sz w:val="21"/>
          <w:szCs w:val="21"/>
          <w:lang w:val="sr-Cyrl-RS"/>
        </w:rPr>
      </w:pPr>
      <w:r w:rsidRPr="00206D68">
        <w:rPr>
          <w:rFonts w:asciiTheme="majorHAnsi" w:hAnsiTheme="majorHAnsi"/>
          <w:bCs w:val="0"/>
          <w:color w:val="7F7F7F" w:themeColor="text1" w:themeTint="80"/>
          <w:sz w:val="21"/>
          <w:szCs w:val="21"/>
          <w:lang w:val="sr-Cyrl-RS"/>
        </w:rPr>
        <w:t>Наредна табела приказује кретања основних параметара јавног дуга по основу све четири разматране стратегије, што осликава горе поменуте карактеристике сваке стратегије</w:t>
      </w:r>
      <w:r w:rsidR="00171A80" w:rsidRPr="00171A80">
        <w:rPr>
          <w:rFonts w:asciiTheme="majorHAnsi" w:hAnsiTheme="majorHAnsi"/>
          <w:bCs w:val="0"/>
          <w:color w:val="7F7F7F" w:themeColor="text1" w:themeTint="80"/>
          <w:sz w:val="21"/>
          <w:szCs w:val="21"/>
          <w:lang w:val="sr-Cyrl-RS"/>
        </w:rPr>
        <w:t>:</w:t>
      </w:r>
    </w:p>
    <w:p w:rsidR="00171A80" w:rsidRPr="00171A80" w:rsidRDefault="00171A80" w:rsidP="00171A80">
      <w:pPr>
        <w:ind w:firstLine="0"/>
        <w:rPr>
          <w:rFonts w:asciiTheme="majorHAnsi" w:hAnsiTheme="majorHAnsi"/>
          <w:b/>
          <w:bCs w:val="0"/>
          <w:color w:val="7F7F7F" w:themeColor="text1" w:themeTint="80"/>
          <w:sz w:val="21"/>
          <w:szCs w:val="21"/>
          <w:lang w:val="sr-Cyrl-RS"/>
        </w:rPr>
      </w:pPr>
      <w:r w:rsidRPr="00171A80">
        <w:rPr>
          <w:rFonts w:asciiTheme="majorHAnsi" w:hAnsiTheme="majorHAnsi"/>
          <w:b/>
          <w:bCs w:val="0"/>
          <w:color w:val="7F7F7F" w:themeColor="text1" w:themeTint="80"/>
          <w:kern w:val="20"/>
          <w:sz w:val="21"/>
          <w:szCs w:val="21"/>
          <w:lang w:val="sr-Cyrl-RS" w:eastAsia="ko-KR"/>
        </w:rPr>
        <w:t xml:space="preserve">Табела </w:t>
      </w:r>
      <w:r w:rsidR="0038616A">
        <w:rPr>
          <w:rFonts w:asciiTheme="majorHAnsi" w:hAnsiTheme="majorHAnsi"/>
          <w:b/>
          <w:bCs w:val="0"/>
          <w:color w:val="7F7F7F" w:themeColor="text1" w:themeTint="80"/>
          <w:kern w:val="20"/>
          <w:sz w:val="21"/>
          <w:szCs w:val="21"/>
          <w:lang w:val="sr-Cyrl-RS" w:eastAsia="ko-KR"/>
        </w:rPr>
        <w:t>27</w:t>
      </w:r>
      <w:r w:rsidRPr="00171A80">
        <w:rPr>
          <w:rFonts w:asciiTheme="majorHAnsi" w:hAnsiTheme="majorHAnsi"/>
          <w:b/>
          <w:bCs w:val="0"/>
          <w:color w:val="7F7F7F" w:themeColor="text1" w:themeTint="80"/>
          <w:kern w:val="20"/>
          <w:sz w:val="21"/>
          <w:szCs w:val="21"/>
          <w:lang w:val="sr-Cyrl-RS" w:eastAsia="ko-KR"/>
        </w:rPr>
        <w:t>. Индикатори ризика за алтернативне стратегије</w:t>
      </w:r>
    </w:p>
    <w:tbl>
      <w:tblPr>
        <w:tblStyle w:val="LightShading-Accent6"/>
        <w:tblW w:w="5050" w:type="pct"/>
        <w:tblLook w:val="04A0" w:firstRow="1" w:lastRow="0" w:firstColumn="1" w:lastColumn="0" w:noHBand="0" w:noVBand="1"/>
      </w:tblPr>
      <w:tblGrid>
        <w:gridCol w:w="2567"/>
        <w:gridCol w:w="4140"/>
        <w:gridCol w:w="600"/>
        <w:gridCol w:w="600"/>
        <w:gridCol w:w="600"/>
        <w:gridCol w:w="609"/>
      </w:tblGrid>
      <w:tr w:rsidR="00171A80" w:rsidRPr="00171A80" w:rsidTr="00171A80">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679" w:type="pct"/>
            <w:gridSpan w:val="2"/>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rPr>
                <w:rFonts w:asciiTheme="majorHAnsi" w:hAnsiTheme="majorHAnsi"/>
                <w:b w:val="0"/>
                <w:color w:val="7F7F7F" w:themeColor="text1" w:themeTint="80"/>
                <w:sz w:val="20"/>
                <w:szCs w:val="20"/>
                <w:lang w:val="sr-Cyrl-RS" w:eastAsia="sr-Cyrl-CS"/>
              </w:rPr>
            </w:pPr>
            <w:r w:rsidRPr="00171A80">
              <w:rPr>
                <w:rFonts w:asciiTheme="majorHAnsi" w:hAnsiTheme="majorHAnsi"/>
                <w:color w:val="7F7F7F" w:themeColor="text1" w:themeTint="80"/>
                <w:sz w:val="20"/>
                <w:szCs w:val="20"/>
                <w:lang w:val="sr-Cyrl-RS" w:eastAsia="sr-Cyrl-CS"/>
              </w:rPr>
              <w:t>Индикатори ризика</w:t>
            </w:r>
          </w:p>
        </w:tc>
        <w:tc>
          <w:tcPr>
            <w:tcW w:w="1321" w:type="pct"/>
            <w:gridSpan w:val="4"/>
            <w:tcBorders>
              <w:top w:val="single" w:sz="8" w:space="0" w:color="76923C" w:themeColor="accent3" w:themeShade="BF"/>
              <w:bottom w:val="single" w:sz="8" w:space="0" w:color="76923C" w:themeColor="accent3" w:themeShade="BF"/>
            </w:tcBorders>
            <w:noWrap/>
            <w:hideMark/>
          </w:tcPr>
          <w:p w:rsidR="00171A80" w:rsidRPr="00171A80" w:rsidRDefault="00171A80" w:rsidP="00171A80">
            <w:pPr>
              <w:spacing w:after="0"/>
              <w:ind w:firstLine="0"/>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7F7F7F" w:themeColor="text1" w:themeTint="80"/>
                <w:sz w:val="20"/>
                <w:szCs w:val="20"/>
                <w:lang w:val="sr-Cyrl-RS" w:eastAsia="sr-Cyrl-CS"/>
              </w:rPr>
            </w:pPr>
            <w:r w:rsidRPr="00171A80">
              <w:rPr>
                <w:rFonts w:asciiTheme="majorHAnsi" w:hAnsiTheme="majorHAnsi"/>
                <w:color w:val="7F7F7F" w:themeColor="text1" w:themeTint="80"/>
                <w:sz w:val="20"/>
                <w:szCs w:val="20"/>
                <w:lang w:val="sr-Cyrl-RS" w:eastAsia="sr-Cyrl-CS"/>
              </w:rPr>
              <w:t xml:space="preserve"> На крају 2017. године </w:t>
            </w:r>
          </w:p>
        </w:tc>
      </w:tr>
      <w:tr w:rsidR="00171A80" w:rsidRPr="00171A80" w:rsidTr="00171A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8" w:type="pct"/>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eastAsia="sr-Cyrl-CS"/>
              </w:rPr>
            </w:pPr>
            <w:r w:rsidRPr="00171A80">
              <w:rPr>
                <w:rFonts w:asciiTheme="majorHAnsi" w:hAnsiTheme="majorHAnsi"/>
                <w:color w:val="7F7F7F" w:themeColor="text1" w:themeTint="80"/>
                <w:sz w:val="20"/>
                <w:szCs w:val="20"/>
                <w:lang w:val="sr-Cyrl-RS" w:eastAsia="sr-Cyrl-CS"/>
              </w:rPr>
              <w:t> </w:t>
            </w:r>
          </w:p>
        </w:tc>
        <w:tc>
          <w:tcPr>
            <w:tcW w:w="2271" w:type="pct"/>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w:t>
            </w:r>
          </w:p>
        </w:tc>
        <w:tc>
          <w:tcPr>
            <w:tcW w:w="329" w:type="pct"/>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xml:space="preserve"> С1 </w:t>
            </w:r>
          </w:p>
        </w:tc>
        <w:tc>
          <w:tcPr>
            <w:tcW w:w="329" w:type="pct"/>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xml:space="preserve"> С2 </w:t>
            </w:r>
          </w:p>
        </w:tc>
        <w:tc>
          <w:tcPr>
            <w:tcW w:w="329" w:type="pct"/>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xml:space="preserve"> С3 </w:t>
            </w:r>
          </w:p>
        </w:tc>
        <w:tc>
          <w:tcPr>
            <w:tcW w:w="334" w:type="pct"/>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xml:space="preserve"> С4 </w:t>
            </w:r>
          </w:p>
        </w:tc>
      </w:tr>
      <w:tr w:rsidR="00171A80" w:rsidRPr="00171A80" w:rsidTr="00171A80">
        <w:trPr>
          <w:trHeight w:val="20"/>
        </w:trPr>
        <w:tc>
          <w:tcPr>
            <w:cnfStyle w:val="001000000000" w:firstRow="0" w:lastRow="0" w:firstColumn="1" w:lastColumn="0" w:oddVBand="0" w:evenVBand="0" w:oddHBand="0" w:evenHBand="0" w:firstRowFirstColumn="0" w:firstRowLastColumn="0" w:lastRowFirstColumn="0" w:lastRowLastColumn="0"/>
            <w:tcW w:w="1408" w:type="pct"/>
            <w:tcBorders>
              <w:top w:val="nil"/>
              <w:left w:val="nil"/>
              <w:bottom w:val="nil"/>
              <w:right w:val="nil"/>
            </w:tcBorders>
            <w:noWrap/>
            <w:hideMark/>
          </w:tcPr>
          <w:p w:rsidR="00171A80" w:rsidRPr="00171A80" w:rsidRDefault="00171A80" w:rsidP="00171A80">
            <w:pPr>
              <w:spacing w:after="0"/>
              <w:ind w:firstLine="0"/>
              <w:rPr>
                <w:rFonts w:asciiTheme="majorHAnsi" w:hAnsiTheme="majorHAnsi"/>
                <w:b w:val="0"/>
                <w:color w:val="7F7F7F" w:themeColor="text1" w:themeTint="80"/>
                <w:sz w:val="20"/>
                <w:szCs w:val="20"/>
                <w:lang w:val="sr-Cyrl-RS" w:eastAsia="sr-Cyrl-CS"/>
              </w:rPr>
            </w:pPr>
            <w:r w:rsidRPr="00171A80">
              <w:rPr>
                <w:rFonts w:asciiTheme="majorHAnsi" w:hAnsiTheme="majorHAnsi"/>
                <w:b w:val="0"/>
                <w:color w:val="7F7F7F" w:themeColor="text1" w:themeTint="80"/>
                <w:sz w:val="20"/>
                <w:szCs w:val="20"/>
                <w:lang w:val="sr-Cyrl-RS" w:eastAsia="sr-Cyrl-CS"/>
              </w:rPr>
              <w:t>Номинални дуг (% БДП)</w:t>
            </w:r>
          </w:p>
        </w:tc>
        <w:tc>
          <w:tcPr>
            <w:tcW w:w="2271" w:type="pct"/>
            <w:tcBorders>
              <w:top w:val="nil"/>
              <w:left w:val="nil"/>
              <w:bottom w:val="nil"/>
              <w:right w:val="nil"/>
            </w:tcBorders>
            <w:noWrap/>
            <w:hideMark/>
          </w:tcPr>
          <w:p w:rsidR="00171A80" w:rsidRPr="00171A80" w:rsidRDefault="00171A80" w:rsidP="00171A80">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 </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69,3</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69,1</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70,0</w:t>
            </w:r>
          </w:p>
        </w:tc>
        <w:tc>
          <w:tcPr>
            <w:tcW w:w="334"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69,2</w:t>
            </w:r>
          </w:p>
        </w:tc>
      </w:tr>
      <w:tr w:rsidR="00171A80" w:rsidRPr="00171A80" w:rsidTr="00171A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79" w:type="pct"/>
            <w:gridSpan w:val="2"/>
            <w:tcBorders>
              <w:top w:val="nil"/>
              <w:bottom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b w:val="0"/>
                <w:color w:val="7F7F7F" w:themeColor="text1" w:themeTint="80"/>
                <w:sz w:val="20"/>
                <w:szCs w:val="20"/>
                <w:lang w:val="sr-Cyrl-RS" w:eastAsia="sr-Cyrl-CS"/>
              </w:rPr>
            </w:pPr>
            <w:r w:rsidRPr="00171A80">
              <w:rPr>
                <w:rFonts w:asciiTheme="majorHAnsi" w:hAnsiTheme="majorHAnsi"/>
                <w:b w:val="0"/>
                <w:color w:val="7F7F7F" w:themeColor="text1" w:themeTint="80"/>
                <w:sz w:val="20"/>
                <w:szCs w:val="20"/>
                <w:lang w:val="sr-Cyrl-RS" w:eastAsia="sr-Cyrl-CS"/>
              </w:rPr>
              <w:t>Нето садашња вредност (% БДП)</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61,4</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59,6</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67,6</w:t>
            </w:r>
          </w:p>
        </w:tc>
        <w:tc>
          <w:tcPr>
            <w:tcW w:w="334"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66,8</w:t>
            </w:r>
          </w:p>
        </w:tc>
      </w:tr>
      <w:tr w:rsidR="00171A80" w:rsidRPr="00171A80" w:rsidTr="00171A80">
        <w:trPr>
          <w:trHeight w:val="20"/>
        </w:trPr>
        <w:tc>
          <w:tcPr>
            <w:cnfStyle w:val="001000000000" w:firstRow="0" w:lastRow="0" w:firstColumn="1" w:lastColumn="0" w:oddVBand="0" w:evenVBand="0" w:oddHBand="0" w:evenHBand="0" w:firstRowFirstColumn="0" w:firstRowLastColumn="0" w:lastRowFirstColumn="0" w:lastRowLastColumn="0"/>
            <w:tcW w:w="3679" w:type="pct"/>
            <w:gridSpan w:val="2"/>
            <w:tcBorders>
              <w:top w:val="nil"/>
              <w:left w:val="nil"/>
              <w:bottom w:val="nil"/>
              <w:right w:val="nil"/>
            </w:tcBorders>
            <w:noWrap/>
            <w:hideMark/>
          </w:tcPr>
          <w:p w:rsidR="00171A80" w:rsidRPr="00171A80" w:rsidRDefault="00171A80" w:rsidP="00171A80">
            <w:pPr>
              <w:spacing w:after="0"/>
              <w:ind w:firstLine="0"/>
              <w:rPr>
                <w:rFonts w:asciiTheme="majorHAnsi" w:hAnsiTheme="majorHAnsi"/>
                <w:b w:val="0"/>
                <w:color w:val="7F7F7F" w:themeColor="text1" w:themeTint="80"/>
                <w:sz w:val="20"/>
                <w:szCs w:val="20"/>
                <w:lang w:val="sr-Cyrl-RS" w:eastAsia="sr-Cyrl-CS"/>
              </w:rPr>
            </w:pPr>
            <w:r w:rsidRPr="00171A80">
              <w:rPr>
                <w:rFonts w:asciiTheme="majorHAnsi" w:hAnsiTheme="majorHAnsi"/>
                <w:b w:val="0"/>
                <w:color w:val="7F7F7F" w:themeColor="text1" w:themeTint="80"/>
                <w:sz w:val="20"/>
                <w:szCs w:val="20"/>
                <w:lang w:val="sr-Cyrl-RS" w:eastAsia="sr-Cyrl-CS"/>
              </w:rPr>
              <w:t>Примењена каматна стопа (%)</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5,6</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5,0</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5,7</w:t>
            </w:r>
          </w:p>
        </w:tc>
        <w:tc>
          <w:tcPr>
            <w:tcW w:w="334"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5,6</w:t>
            </w:r>
          </w:p>
        </w:tc>
      </w:tr>
      <w:tr w:rsidR="00171A80" w:rsidRPr="00171A80" w:rsidTr="00171A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8" w:type="pct"/>
            <w:vMerge w:val="restart"/>
            <w:tcBorders>
              <w:top w:val="nil"/>
              <w:bottom w:val="nil"/>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b w:val="0"/>
                <w:color w:val="7F7F7F" w:themeColor="text1" w:themeTint="80"/>
                <w:sz w:val="20"/>
                <w:szCs w:val="20"/>
                <w:lang w:val="sr-Cyrl-RS" w:eastAsia="sr-Cyrl-CS"/>
              </w:rPr>
            </w:pPr>
            <w:r w:rsidRPr="00171A80">
              <w:rPr>
                <w:rFonts w:asciiTheme="majorHAnsi" w:hAnsiTheme="majorHAnsi"/>
                <w:b w:val="0"/>
                <w:color w:val="7F7F7F" w:themeColor="text1" w:themeTint="80"/>
                <w:sz w:val="20"/>
                <w:szCs w:val="20"/>
                <w:lang w:val="sr-Cyrl-RS" w:eastAsia="sr-Cyrl-CS"/>
              </w:rPr>
              <w:t>Ризик</w:t>
            </w:r>
          </w:p>
          <w:p w:rsidR="00171A80" w:rsidRPr="00171A80" w:rsidRDefault="00171A80" w:rsidP="00171A80">
            <w:pPr>
              <w:spacing w:after="0"/>
              <w:ind w:firstLine="0"/>
              <w:jc w:val="left"/>
              <w:rPr>
                <w:rFonts w:asciiTheme="majorHAnsi" w:hAnsiTheme="majorHAnsi"/>
                <w:b w:val="0"/>
                <w:color w:val="7F7F7F" w:themeColor="text1" w:themeTint="80"/>
                <w:sz w:val="20"/>
                <w:szCs w:val="20"/>
                <w:lang w:val="sr-Cyrl-RS" w:eastAsia="sr-Cyrl-CS"/>
              </w:rPr>
            </w:pPr>
            <w:r w:rsidRPr="00171A80">
              <w:rPr>
                <w:rFonts w:asciiTheme="majorHAnsi" w:hAnsiTheme="majorHAnsi"/>
                <w:b w:val="0"/>
                <w:color w:val="7F7F7F" w:themeColor="text1" w:themeTint="80"/>
                <w:sz w:val="20"/>
                <w:szCs w:val="20"/>
                <w:lang w:val="sr-Cyrl-RS" w:eastAsia="sr-Cyrl-CS"/>
              </w:rPr>
              <w:t>рефинансирања</w:t>
            </w:r>
          </w:p>
        </w:tc>
        <w:tc>
          <w:tcPr>
            <w:tcW w:w="2271" w:type="pct"/>
            <w:tcBorders>
              <w:top w:val="nil"/>
              <w:bottom w:val="nil"/>
            </w:tcBorders>
            <w:shd w:val="clear" w:color="auto" w:fill="EAF1DD" w:themeFill="accent3" w:themeFillTint="33"/>
            <w:noWrap/>
            <w:hideMark/>
          </w:tcPr>
          <w:p w:rsidR="00171A80" w:rsidRPr="00171A80" w:rsidRDefault="00171A80" w:rsidP="00171A80">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ATM</w:t>
            </w:r>
            <w:r w:rsidRPr="00171A80">
              <w:rPr>
                <w:rFonts w:asciiTheme="majorHAnsi" w:hAnsiTheme="majorHAnsi"/>
                <w:bCs w:val="0"/>
                <w:color w:val="7F7F7F" w:themeColor="text1" w:themeTint="80"/>
                <w:sz w:val="20"/>
                <w:szCs w:val="20"/>
                <w:vertAlign w:val="superscript"/>
                <w:lang w:val="sr-Cyrl-RS" w:eastAsia="sr-Cyrl-CS"/>
              </w:rPr>
              <w:footnoteReference w:id="7"/>
            </w:r>
            <w:r w:rsidRPr="00171A80">
              <w:rPr>
                <w:rFonts w:asciiTheme="majorHAnsi" w:hAnsiTheme="majorHAnsi"/>
                <w:bCs w:val="0"/>
                <w:color w:val="7F7F7F" w:themeColor="text1" w:themeTint="80"/>
                <w:sz w:val="20"/>
                <w:szCs w:val="20"/>
                <w:lang w:val="sr-Cyrl-RS" w:eastAsia="sr-Cyrl-CS"/>
              </w:rPr>
              <w:t xml:space="preserve"> спољни портфолио (у годинама)</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6,7</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7,2</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6,8</w:t>
            </w:r>
          </w:p>
        </w:tc>
        <w:tc>
          <w:tcPr>
            <w:tcW w:w="334"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7,2</w:t>
            </w:r>
          </w:p>
        </w:tc>
      </w:tr>
      <w:tr w:rsidR="00171A80" w:rsidRPr="00171A80" w:rsidTr="00171A80">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shd w:val="clear" w:color="auto" w:fill="EAF1DD" w:themeFill="accent3" w:themeFillTint="33"/>
            <w:vAlign w:val="center"/>
            <w:hideMark/>
          </w:tcPr>
          <w:p w:rsidR="00171A80" w:rsidRPr="00171A80" w:rsidRDefault="00171A80" w:rsidP="00171A80">
            <w:pPr>
              <w:spacing w:after="0"/>
              <w:ind w:firstLine="0"/>
              <w:jc w:val="left"/>
              <w:rPr>
                <w:rFonts w:asciiTheme="majorHAnsi" w:hAnsiTheme="majorHAnsi"/>
                <w:bCs/>
                <w:color w:val="7F7F7F" w:themeColor="text1" w:themeTint="80"/>
                <w:sz w:val="20"/>
                <w:szCs w:val="20"/>
                <w:lang w:val="sr-Cyrl-RS" w:eastAsia="sr-Cyrl-CS"/>
              </w:rPr>
            </w:pPr>
          </w:p>
        </w:tc>
        <w:tc>
          <w:tcPr>
            <w:tcW w:w="2271" w:type="pct"/>
            <w:tcBorders>
              <w:top w:val="nil"/>
              <w:left w:val="nil"/>
              <w:bottom w:val="nil"/>
              <w:right w:val="nil"/>
            </w:tcBorders>
            <w:noWrap/>
            <w:hideMark/>
          </w:tcPr>
          <w:p w:rsidR="00171A80" w:rsidRPr="00171A80" w:rsidRDefault="00171A80" w:rsidP="00171A80">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ATM домаћи портфолио (у годинама)</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3,4</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3,3</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3,4</w:t>
            </w:r>
          </w:p>
        </w:tc>
        <w:tc>
          <w:tcPr>
            <w:tcW w:w="334"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4,8</w:t>
            </w:r>
          </w:p>
        </w:tc>
      </w:tr>
      <w:tr w:rsidR="00171A80" w:rsidRPr="00171A80" w:rsidTr="00171A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EAF1DD" w:themeFill="accent3" w:themeFillTint="33"/>
            <w:vAlign w:val="center"/>
            <w:hideMark/>
          </w:tcPr>
          <w:p w:rsidR="00171A80" w:rsidRPr="00171A80" w:rsidRDefault="00171A80" w:rsidP="00171A80">
            <w:pPr>
              <w:spacing w:after="0"/>
              <w:ind w:firstLine="0"/>
              <w:jc w:val="left"/>
              <w:rPr>
                <w:rFonts w:asciiTheme="majorHAnsi" w:hAnsiTheme="majorHAnsi"/>
                <w:bCs/>
                <w:color w:val="7F7F7F" w:themeColor="text1" w:themeTint="80"/>
                <w:sz w:val="20"/>
                <w:szCs w:val="20"/>
                <w:lang w:val="sr-Cyrl-RS" w:eastAsia="sr-Cyrl-CS"/>
              </w:rPr>
            </w:pPr>
          </w:p>
        </w:tc>
        <w:tc>
          <w:tcPr>
            <w:tcW w:w="2271" w:type="pct"/>
            <w:tcBorders>
              <w:top w:val="nil"/>
              <w:bottom w:val="nil"/>
            </w:tcBorders>
            <w:shd w:val="clear" w:color="auto" w:fill="EAF1DD" w:themeFill="accent3" w:themeFillTint="33"/>
            <w:noWrap/>
            <w:hideMark/>
          </w:tcPr>
          <w:p w:rsidR="00171A80" w:rsidRPr="00171A80" w:rsidRDefault="00171A80" w:rsidP="00171A80">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ATM укупан портфолио (у годинама)</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5,4</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6,1</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5,5</w:t>
            </w:r>
          </w:p>
        </w:tc>
        <w:tc>
          <w:tcPr>
            <w:tcW w:w="334"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5,6</w:t>
            </w:r>
          </w:p>
        </w:tc>
      </w:tr>
      <w:tr w:rsidR="00171A80" w:rsidRPr="00171A80" w:rsidTr="00171A80">
        <w:trPr>
          <w:trHeight w:val="20"/>
        </w:trPr>
        <w:tc>
          <w:tcPr>
            <w:cnfStyle w:val="001000000000" w:firstRow="0" w:lastRow="0" w:firstColumn="1" w:lastColumn="0" w:oddVBand="0" w:evenVBand="0" w:oddHBand="0" w:evenHBand="0" w:firstRowFirstColumn="0" w:firstRowLastColumn="0" w:lastRowFirstColumn="0" w:lastRowLastColumn="0"/>
            <w:tcW w:w="1408" w:type="pct"/>
            <w:vMerge w:val="restart"/>
            <w:tcBorders>
              <w:top w:val="nil"/>
              <w:left w:val="nil"/>
              <w:bottom w:val="nil"/>
              <w:right w:val="nil"/>
            </w:tcBorders>
            <w:noWrap/>
            <w:hideMark/>
          </w:tcPr>
          <w:p w:rsidR="00171A80" w:rsidRPr="00171A80" w:rsidRDefault="00171A80" w:rsidP="00171A80">
            <w:pPr>
              <w:spacing w:after="0"/>
              <w:ind w:firstLine="0"/>
              <w:jc w:val="left"/>
              <w:rPr>
                <w:rFonts w:asciiTheme="majorHAnsi" w:hAnsiTheme="majorHAnsi"/>
                <w:b w:val="0"/>
                <w:color w:val="7F7F7F" w:themeColor="text1" w:themeTint="80"/>
                <w:sz w:val="20"/>
                <w:szCs w:val="20"/>
                <w:lang w:val="sr-Cyrl-RS" w:eastAsia="sr-Cyrl-CS"/>
              </w:rPr>
            </w:pPr>
            <w:r w:rsidRPr="00171A80">
              <w:rPr>
                <w:rFonts w:asciiTheme="majorHAnsi" w:hAnsiTheme="majorHAnsi"/>
                <w:b w:val="0"/>
                <w:color w:val="7F7F7F" w:themeColor="text1" w:themeTint="80"/>
                <w:sz w:val="20"/>
                <w:szCs w:val="20"/>
                <w:lang w:val="sr-Cyrl-RS" w:eastAsia="sr-Cyrl-CS"/>
              </w:rPr>
              <w:t>Ризик каматних стопа</w:t>
            </w:r>
          </w:p>
        </w:tc>
        <w:tc>
          <w:tcPr>
            <w:tcW w:w="2271" w:type="pct"/>
            <w:tcBorders>
              <w:top w:val="nil"/>
              <w:left w:val="nil"/>
              <w:bottom w:val="nil"/>
              <w:right w:val="nil"/>
            </w:tcBorders>
            <w:noWrap/>
            <w:hideMark/>
          </w:tcPr>
          <w:p w:rsidR="00171A80" w:rsidRPr="00171A80" w:rsidRDefault="00171A80" w:rsidP="00171A80">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АТR</w:t>
            </w:r>
            <w:r w:rsidRPr="00171A80">
              <w:rPr>
                <w:rFonts w:asciiTheme="majorHAnsi" w:hAnsiTheme="majorHAnsi"/>
                <w:bCs w:val="0"/>
                <w:color w:val="7F7F7F" w:themeColor="text1" w:themeTint="80"/>
                <w:sz w:val="20"/>
                <w:szCs w:val="20"/>
                <w:vertAlign w:val="superscript"/>
                <w:lang w:val="sr-Cyrl-RS" w:eastAsia="sr-Cyrl-CS"/>
              </w:rPr>
              <w:footnoteReference w:id="8"/>
            </w:r>
            <w:r w:rsidRPr="00171A80">
              <w:rPr>
                <w:rFonts w:asciiTheme="majorHAnsi" w:hAnsiTheme="majorHAnsi"/>
                <w:bCs w:val="0"/>
                <w:color w:val="7F7F7F" w:themeColor="text1" w:themeTint="80"/>
                <w:sz w:val="20"/>
                <w:szCs w:val="20"/>
                <w:lang w:val="sr-Cyrl-RS" w:eastAsia="sr-Cyrl-CS"/>
              </w:rPr>
              <w:t xml:space="preserve"> (у годинама)</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5,1</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5,8</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5,2</w:t>
            </w:r>
          </w:p>
        </w:tc>
        <w:tc>
          <w:tcPr>
            <w:tcW w:w="334"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5,2</w:t>
            </w:r>
          </w:p>
        </w:tc>
      </w:tr>
      <w:tr w:rsidR="00171A80" w:rsidRPr="00171A80" w:rsidTr="00171A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vAlign w:val="center"/>
            <w:hideMark/>
          </w:tcPr>
          <w:p w:rsidR="00171A80" w:rsidRPr="00171A80" w:rsidRDefault="00171A80" w:rsidP="00171A80">
            <w:pPr>
              <w:spacing w:after="0"/>
              <w:ind w:firstLine="0"/>
              <w:jc w:val="left"/>
              <w:rPr>
                <w:rFonts w:asciiTheme="majorHAnsi" w:hAnsiTheme="majorHAnsi"/>
                <w:bCs/>
                <w:color w:val="7F7F7F" w:themeColor="text1" w:themeTint="80"/>
                <w:sz w:val="20"/>
                <w:szCs w:val="20"/>
                <w:lang w:val="sr-Cyrl-RS" w:eastAsia="sr-Cyrl-CS"/>
              </w:rPr>
            </w:pPr>
          </w:p>
        </w:tc>
        <w:tc>
          <w:tcPr>
            <w:tcW w:w="2271" w:type="pct"/>
            <w:tcBorders>
              <w:top w:val="nil"/>
              <w:bottom w:val="nil"/>
            </w:tcBorders>
            <w:shd w:val="clear" w:color="auto" w:fill="EAF1DD" w:themeFill="accent3" w:themeFillTint="33"/>
            <w:noWrap/>
            <w:hideMark/>
          </w:tcPr>
          <w:p w:rsidR="00171A80" w:rsidRPr="00171A80" w:rsidRDefault="00171A80" w:rsidP="00171A80">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Рефиксирање (% укупног дуга)</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25,9</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23,3</w:t>
            </w:r>
          </w:p>
        </w:tc>
        <w:tc>
          <w:tcPr>
            <w:tcW w:w="329"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25,7</w:t>
            </w:r>
          </w:p>
        </w:tc>
        <w:tc>
          <w:tcPr>
            <w:tcW w:w="334" w:type="pct"/>
            <w:tcBorders>
              <w:top w:val="nil"/>
              <w:bottom w:val="nil"/>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26,9</w:t>
            </w:r>
          </w:p>
        </w:tc>
      </w:tr>
      <w:tr w:rsidR="00171A80" w:rsidRPr="00171A80" w:rsidTr="00171A80">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rsidR="00171A80" w:rsidRPr="00171A80" w:rsidRDefault="00171A80" w:rsidP="00171A80">
            <w:pPr>
              <w:spacing w:after="0"/>
              <w:ind w:firstLine="0"/>
              <w:jc w:val="left"/>
              <w:rPr>
                <w:rFonts w:asciiTheme="majorHAnsi" w:hAnsiTheme="majorHAnsi"/>
                <w:bCs/>
                <w:color w:val="7F7F7F" w:themeColor="text1" w:themeTint="80"/>
                <w:sz w:val="20"/>
                <w:szCs w:val="20"/>
                <w:lang w:val="sr-Cyrl-RS" w:eastAsia="sr-Cyrl-CS"/>
              </w:rPr>
            </w:pPr>
          </w:p>
        </w:tc>
        <w:tc>
          <w:tcPr>
            <w:tcW w:w="2271" w:type="pct"/>
            <w:tcBorders>
              <w:top w:val="nil"/>
              <w:left w:val="nil"/>
              <w:bottom w:val="nil"/>
              <w:right w:val="nil"/>
            </w:tcBorders>
            <w:noWrap/>
            <w:hideMark/>
          </w:tcPr>
          <w:p w:rsidR="00171A80" w:rsidRPr="00171A80" w:rsidRDefault="00171A80" w:rsidP="00171A80">
            <w:pPr>
              <w:spacing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Дуг по фиксним стопама (% укупног дуга)</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88,1</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89,0</w:t>
            </w:r>
          </w:p>
        </w:tc>
        <w:tc>
          <w:tcPr>
            <w:tcW w:w="329"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88,2</w:t>
            </w:r>
          </w:p>
        </w:tc>
        <w:tc>
          <w:tcPr>
            <w:tcW w:w="334" w:type="pct"/>
            <w:tcBorders>
              <w:top w:val="nil"/>
              <w:left w:val="nil"/>
              <w:bottom w:val="nil"/>
              <w:right w:val="nil"/>
            </w:tcBorders>
            <w:noWrap/>
            <w:hideMark/>
          </w:tcPr>
          <w:p w:rsidR="00171A80" w:rsidRPr="00171A80" w:rsidRDefault="00171A80" w:rsidP="00171A80">
            <w:pPr>
              <w:spacing w:after="0"/>
              <w:ind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86,2</w:t>
            </w:r>
          </w:p>
        </w:tc>
      </w:tr>
      <w:tr w:rsidR="00171A80" w:rsidRPr="00171A80" w:rsidTr="00171A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8" w:type="pct"/>
            <w:tcBorders>
              <w:top w:val="nil"/>
              <w:bottom w:val="single" w:sz="8" w:space="0" w:color="76923C" w:themeColor="accent3" w:themeShade="BF"/>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b w:val="0"/>
                <w:color w:val="7F7F7F" w:themeColor="text1" w:themeTint="80"/>
                <w:sz w:val="20"/>
                <w:szCs w:val="20"/>
                <w:lang w:val="sr-Cyrl-RS" w:eastAsia="sr-Cyrl-CS"/>
              </w:rPr>
            </w:pPr>
            <w:r w:rsidRPr="00171A80">
              <w:rPr>
                <w:rFonts w:asciiTheme="majorHAnsi" w:hAnsiTheme="majorHAnsi"/>
                <w:b w:val="0"/>
                <w:color w:val="7F7F7F" w:themeColor="text1" w:themeTint="80"/>
                <w:sz w:val="20"/>
                <w:szCs w:val="20"/>
                <w:lang w:val="sr-Cyrl-RS" w:eastAsia="sr-Cyrl-CS"/>
              </w:rPr>
              <w:t>Ризик девизног курса</w:t>
            </w:r>
          </w:p>
        </w:tc>
        <w:tc>
          <w:tcPr>
            <w:tcW w:w="2271" w:type="pct"/>
            <w:tcBorders>
              <w:top w:val="nil"/>
              <w:bottom w:val="single" w:sz="8" w:space="0" w:color="76923C" w:themeColor="accent3" w:themeShade="BF"/>
            </w:tcBorders>
            <w:shd w:val="clear" w:color="auto" w:fill="EAF1DD" w:themeFill="accent3" w:themeFillTint="33"/>
            <w:noWrap/>
            <w:hideMark/>
          </w:tcPr>
          <w:p w:rsidR="00171A80" w:rsidRPr="00171A80" w:rsidRDefault="00171A80" w:rsidP="00171A80">
            <w:pPr>
              <w:spacing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Ино-валутни дуг (% укупног дуга)</w:t>
            </w:r>
          </w:p>
        </w:tc>
        <w:tc>
          <w:tcPr>
            <w:tcW w:w="329" w:type="pct"/>
            <w:tcBorders>
              <w:top w:val="nil"/>
              <w:bottom w:val="single" w:sz="8" w:space="0" w:color="76923C" w:themeColor="accent3" w:themeShade="BF"/>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67,6</w:t>
            </w:r>
          </w:p>
        </w:tc>
        <w:tc>
          <w:tcPr>
            <w:tcW w:w="329" w:type="pct"/>
            <w:tcBorders>
              <w:top w:val="nil"/>
              <w:bottom w:val="single" w:sz="8" w:space="0" w:color="76923C" w:themeColor="accent3" w:themeShade="BF"/>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75,3</w:t>
            </w:r>
          </w:p>
        </w:tc>
        <w:tc>
          <w:tcPr>
            <w:tcW w:w="329" w:type="pct"/>
            <w:tcBorders>
              <w:top w:val="nil"/>
              <w:bottom w:val="single" w:sz="8" w:space="0" w:color="76923C" w:themeColor="accent3" w:themeShade="BF"/>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67,8</w:t>
            </w:r>
          </w:p>
        </w:tc>
        <w:tc>
          <w:tcPr>
            <w:tcW w:w="334" w:type="pct"/>
            <w:tcBorders>
              <w:top w:val="nil"/>
              <w:bottom w:val="single" w:sz="8" w:space="0" w:color="76923C" w:themeColor="accent3" w:themeShade="BF"/>
            </w:tcBorders>
            <w:shd w:val="clear" w:color="auto" w:fill="EAF1DD" w:themeFill="accent3" w:themeFillTint="33"/>
            <w:noWrap/>
            <w:hideMark/>
          </w:tcPr>
          <w:p w:rsidR="00171A80" w:rsidRPr="00171A80" w:rsidRDefault="00171A80" w:rsidP="00171A80">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val="0"/>
                <w:color w:val="7F7F7F" w:themeColor="text1" w:themeTint="80"/>
                <w:sz w:val="20"/>
                <w:szCs w:val="20"/>
                <w:lang w:val="sr-Cyrl-RS" w:eastAsia="sr-Cyrl-CS"/>
              </w:rPr>
            </w:pPr>
            <w:r w:rsidRPr="00171A80">
              <w:rPr>
                <w:rFonts w:asciiTheme="majorHAnsi" w:hAnsiTheme="majorHAnsi"/>
                <w:bCs w:val="0"/>
                <w:color w:val="7F7F7F" w:themeColor="text1" w:themeTint="80"/>
                <w:sz w:val="20"/>
                <w:szCs w:val="20"/>
                <w:lang w:val="sr-Cyrl-RS" w:eastAsia="sr-Cyrl-CS"/>
              </w:rPr>
              <w:t>44,0</w:t>
            </w:r>
          </w:p>
        </w:tc>
      </w:tr>
    </w:tbl>
    <w:p w:rsidR="00171A80" w:rsidRPr="00171A80" w:rsidRDefault="00171A80" w:rsidP="002A5649">
      <w:pPr>
        <w:spacing w:before="120"/>
        <w:ind w:firstLine="0"/>
        <w:jc w:val="left"/>
        <w:rPr>
          <w:rFonts w:asciiTheme="majorHAnsi" w:hAnsiTheme="majorHAnsi"/>
          <w:b/>
          <w:i/>
          <w:color w:val="51671F"/>
          <w:szCs w:val="22"/>
          <w:lang w:val="sr-Cyrl-RS" w:eastAsia="ko-KR"/>
        </w:rPr>
      </w:pPr>
      <w:r w:rsidRPr="00171A80">
        <w:rPr>
          <w:rFonts w:asciiTheme="majorHAnsi" w:hAnsiTheme="majorHAnsi"/>
          <w:b/>
          <w:i/>
          <w:color w:val="51671F"/>
          <w:szCs w:val="22"/>
          <w:lang w:val="sr-Cyrl-RS" w:eastAsia="ko-KR"/>
        </w:rPr>
        <w:t>Учешће јавног дуга у бруто домаћем производу у периоду 2014-2017. године</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 xml:space="preserve">Фискално правило, дефинисано Законом о буџетском систему, прописује обавезу да јавни дуг општег нивоа државе не може бити већи од 45% БДП. У случају да износ дуга пређе тај ниво, Влада је дужна да донесе програм за смањење јавног дуга у односу на БДП, тј. за враћање дуга у законски оквир. </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На крају 2013. године стање дуга централног нивоа власти достигло је 59,6% БДП, а опште државе 61,1% БДП. Рацио јавни дуг-БДП централног нивоа власти на крају октобра 2014. године износио је 68,1% БДП. Очекује се наставак раста до краја 2014. године и достизање удела од око 68,5% БДП на централном нивоу, односно 69,9% БДП на нивоу опште државе.</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Због високог учешћа дуга деноминованог у страној валути (око 78%), евидентно је да ће девизни ризик детерминисати понашање рација јавни дуг-БДП у наредном периоду и битно условљавати успех мера фискалне политике на консолидацији јавних финансија и смањењу учешћа јавног дуга у БДП.</w:t>
      </w:r>
    </w:p>
    <w:p w:rsidR="002F31FA" w:rsidRPr="002F31FA"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 xml:space="preserve">На основу планираног макроекономског оквира, а у случају изостанка утицаја могућих ризика (првенствено девизног ризика), јавни дуг, без негарантованог дуга локалне власти, би до 2017. године требало да буде на нивоу од 76,9% БДП. </w:t>
      </w:r>
    </w:p>
    <w:p w:rsidR="00171A80" w:rsidRPr="00171A80" w:rsidRDefault="002F31FA" w:rsidP="002F31FA">
      <w:pPr>
        <w:rPr>
          <w:rFonts w:asciiTheme="majorHAnsi" w:hAnsiTheme="majorHAnsi"/>
          <w:bCs w:val="0"/>
          <w:color w:val="7F7F7F" w:themeColor="text1" w:themeTint="80"/>
          <w:sz w:val="21"/>
          <w:szCs w:val="21"/>
          <w:lang w:val="sr-Cyrl-RS"/>
        </w:rPr>
      </w:pPr>
      <w:r w:rsidRPr="002F31FA">
        <w:rPr>
          <w:rFonts w:asciiTheme="majorHAnsi" w:hAnsiTheme="majorHAnsi"/>
          <w:bCs w:val="0"/>
          <w:color w:val="7F7F7F" w:themeColor="text1" w:themeTint="80"/>
          <w:sz w:val="21"/>
          <w:szCs w:val="21"/>
          <w:lang w:val="sr-Cyrl-RS"/>
        </w:rPr>
        <w:t>Основни фактори који утичу на стабилизацију рација јавни дуг-БДП су раст БДП, примарни дефицит, курс динара према ино-валутама и висина камата. Планираним мерама фискалне политике дефинисано је смањење примарног дефицита, па је тиме основни фактор раста дуга умањен</w:t>
      </w:r>
      <w:r w:rsidR="00206D68" w:rsidRPr="00206D68">
        <w:rPr>
          <w:rFonts w:asciiTheme="majorHAnsi" w:hAnsiTheme="majorHAnsi"/>
          <w:bCs w:val="0"/>
          <w:color w:val="7F7F7F" w:themeColor="text1" w:themeTint="80"/>
          <w:sz w:val="21"/>
          <w:szCs w:val="21"/>
          <w:lang w:val="sr-Cyrl-RS"/>
        </w:rPr>
        <w:t>.</w:t>
      </w:r>
      <w:r w:rsidR="00171A80" w:rsidRPr="00171A80">
        <w:rPr>
          <w:rFonts w:asciiTheme="majorHAnsi" w:hAnsiTheme="majorHAnsi"/>
          <w:bCs w:val="0"/>
          <w:color w:val="7F7F7F" w:themeColor="text1" w:themeTint="80"/>
          <w:sz w:val="21"/>
          <w:szCs w:val="21"/>
          <w:lang w:val="sr-Cyrl-RS"/>
        </w:rPr>
        <w:t xml:space="preserve"> </w:t>
      </w:r>
    </w:p>
    <w:p w:rsidR="00171A80" w:rsidRPr="008C590F" w:rsidRDefault="00171A80" w:rsidP="008C590F">
      <w:pPr>
        <w:ind w:firstLine="0"/>
        <w:rPr>
          <w:rFonts w:asciiTheme="majorHAnsi" w:hAnsiTheme="majorHAnsi"/>
          <w:b/>
          <w:bCs w:val="0"/>
          <w:color w:val="7F7F7F" w:themeColor="text1" w:themeTint="80"/>
          <w:sz w:val="21"/>
          <w:szCs w:val="21"/>
          <w:lang w:val="sr-Cyrl-RS"/>
        </w:rPr>
      </w:pPr>
      <w:r w:rsidRPr="00171A80">
        <w:rPr>
          <w:rFonts w:asciiTheme="majorHAnsi" w:hAnsiTheme="majorHAnsi"/>
          <w:b/>
          <w:color w:val="7F7F7F" w:themeColor="text1" w:themeTint="80"/>
          <w:kern w:val="20"/>
          <w:sz w:val="21"/>
          <w:szCs w:val="21"/>
          <w:lang w:val="sr-Cyrl-RS" w:eastAsia="ko-KR"/>
        </w:rPr>
        <w:lastRenderedPageBreak/>
        <w:t xml:space="preserve">Табела </w:t>
      </w:r>
      <w:r w:rsidR="0038616A">
        <w:rPr>
          <w:rFonts w:asciiTheme="majorHAnsi" w:hAnsiTheme="majorHAnsi"/>
          <w:b/>
          <w:color w:val="7F7F7F" w:themeColor="text1" w:themeTint="80"/>
          <w:kern w:val="20"/>
          <w:sz w:val="21"/>
          <w:szCs w:val="21"/>
          <w:lang w:val="sr-Cyrl-RS" w:eastAsia="ko-KR"/>
        </w:rPr>
        <w:t>28</w:t>
      </w:r>
      <w:r w:rsidRPr="00171A80">
        <w:rPr>
          <w:rFonts w:asciiTheme="majorHAnsi" w:hAnsiTheme="majorHAnsi"/>
          <w:b/>
          <w:color w:val="7F7F7F" w:themeColor="text1" w:themeTint="80"/>
          <w:kern w:val="20"/>
          <w:sz w:val="21"/>
          <w:szCs w:val="21"/>
          <w:lang w:val="sr-Cyrl-RS" w:eastAsia="ko-KR"/>
        </w:rPr>
        <w:t xml:space="preserve">. </w:t>
      </w:r>
      <w:r w:rsidRPr="00171A80">
        <w:rPr>
          <w:rFonts w:asciiTheme="majorHAnsi" w:hAnsiTheme="majorHAnsi"/>
          <w:b/>
          <w:bCs w:val="0"/>
          <w:color w:val="7F7F7F" w:themeColor="text1" w:themeTint="80"/>
          <w:sz w:val="21"/>
          <w:szCs w:val="21"/>
          <w:lang w:val="sr-Cyrl-RS"/>
        </w:rPr>
        <w:t>Доприноси основних макроекономских варијабли на промену рац</w:t>
      </w:r>
      <w:r w:rsidR="008C590F">
        <w:rPr>
          <w:rFonts w:asciiTheme="majorHAnsi" w:hAnsiTheme="majorHAnsi"/>
          <w:b/>
          <w:bCs w:val="0"/>
          <w:color w:val="7F7F7F" w:themeColor="text1" w:themeTint="80"/>
          <w:sz w:val="21"/>
          <w:szCs w:val="21"/>
          <w:lang w:val="sr-Cyrl-RS"/>
        </w:rPr>
        <w:t>ија дуга централне државе и БДП</w:t>
      </w:r>
    </w:p>
    <w:tbl>
      <w:tblPr>
        <w:tblW w:w="5000" w:type="pct"/>
        <w:tblBorders>
          <w:top w:val="single" w:sz="8" w:space="0" w:color="4F81BD"/>
          <w:bottom w:val="single" w:sz="8" w:space="0" w:color="4F81BD"/>
        </w:tblBorders>
        <w:tblLayout w:type="fixed"/>
        <w:tblLook w:val="0420" w:firstRow="1" w:lastRow="0" w:firstColumn="0" w:lastColumn="0" w:noHBand="0" w:noVBand="1"/>
      </w:tblPr>
      <w:tblGrid>
        <w:gridCol w:w="3686"/>
        <w:gridCol w:w="890"/>
        <w:gridCol w:w="890"/>
        <w:gridCol w:w="890"/>
        <w:gridCol w:w="890"/>
        <w:gridCol w:w="890"/>
        <w:gridCol w:w="890"/>
      </w:tblGrid>
      <w:tr w:rsidR="00171A80" w:rsidRPr="00171A80" w:rsidTr="008C590F">
        <w:trPr>
          <w:trHeight w:val="20"/>
        </w:trPr>
        <w:tc>
          <w:tcPr>
            <w:tcW w:w="2042" w:type="pct"/>
            <w:tcBorders>
              <w:top w:val="single" w:sz="8" w:space="0" w:color="76923C" w:themeColor="accent3" w:themeShade="BF"/>
              <w:bottom w:val="nil"/>
            </w:tcBorders>
            <w:shd w:val="clear" w:color="auto" w:fill="auto"/>
            <w:noWrap/>
            <w:hideMark/>
          </w:tcPr>
          <w:p w:rsidR="00171A80" w:rsidRPr="00171A80" w:rsidRDefault="00171A80" w:rsidP="00171A80">
            <w:pPr>
              <w:spacing w:after="0"/>
              <w:ind w:firstLine="0"/>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 </w:t>
            </w:r>
          </w:p>
        </w:tc>
        <w:tc>
          <w:tcPr>
            <w:tcW w:w="493" w:type="pct"/>
            <w:tcBorders>
              <w:top w:val="single" w:sz="8" w:space="0" w:color="76923C" w:themeColor="accent3" w:themeShade="BF"/>
              <w:bottom w:val="nil"/>
            </w:tcBorders>
            <w:shd w:val="clear" w:color="auto" w:fill="auto"/>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2012</w:t>
            </w:r>
          </w:p>
        </w:tc>
        <w:tc>
          <w:tcPr>
            <w:tcW w:w="493" w:type="pct"/>
            <w:tcBorders>
              <w:top w:val="single" w:sz="8" w:space="0" w:color="76923C" w:themeColor="accent3" w:themeShade="BF"/>
              <w:bottom w:val="nil"/>
            </w:tcBorders>
            <w:shd w:val="clear" w:color="auto" w:fill="auto"/>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2013</w:t>
            </w:r>
          </w:p>
        </w:tc>
        <w:tc>
          <w:tcPr>
            <w:tcW w:w="493" w:type="pct"/>
            <w:tcBorders>
              <w:top w:val="single" w:sz="8" w:space="0" w:color="76923C" w:themeColor="accent3" w:themeShade="BF"/>
              <w:bottom w:val="nil"/>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2014п</w:t>
            </w:r>
          </w:p>
        </w:tc>
        <w:tc>
          <w:tcPr>
            <w:tcW w:w="493" w:type="pct"/>
            <w:tcBorders>
              <w:top w:val="single" w:sz="8" w:space="0" w:color="76923C" w:themeColor="accent3" w:themeShade="BF"/>
              <w:bottom w:val="nil"/>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2015п</w:t>
            </w:r>
          </w:p>
        </w:tc>
        <w:tc>
          <w:tcPr>
            <w:tcW w:w="493" w:type="pct"/>
            <w:tcBorders>
              <w:top w:val="single" w:sz="8" w:space="0" w:color="76923C" w:themeColor="accent3" w:themeShade="BF"/>
              <w:bottom w:val="nil"/>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2016п</w:t>
            </w:r>
          </w:p>
        </w:tc>
        <w:tc>
          <w:tcPr>
            <w:tcW w:w="493" w:type="pct"/>
            <w:tcBorders>
              <w:top w:val="single" w:sz="8" w:space="0" w:color="76923C" w:themeColor="accent3" w:themeShade="BF"/>
              <w:bottom w:val="nil"/>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2017п</w:t>
            </w:r>
          </w:p>
        </w:tc>
      </w:tr>
      <w:tr w:rsidR="00171A80" w:rsidRPr="00171A80" w:rsidTr="008C590F">
        <w:trPr>
          <w:trHeight w:val="20"/>
        </w:trPr>
        <w:tc>
          <w:tcPr>
            <w:tcW w:w="2042" w:type="pct"/>
            <w:tcBorders>
              <w:top w:val="nil"/>
              <w:bottom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 </w:t>
            </w:r>
          </w:p>
        </w:tc>
        <w:tc>
          <w:tcPr>
            <w:tcW w:w="986" w:type="pct"/>
            <w:gridSpan w:val="2"/>
            <w:tcBorders>
              <w:top w:val="nil"/>
              <w:left w:val="nil"/>
              <w:bottom w:val="nil"/>
              <w:right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p>
        </w:tc>
        <w:tc>
          <w:tcPr>
            <w:tcW w:w="986" w:type="pct"/>
            <w:gridSpan w:val="2"/>
            <w:tcBorders>
              <w:top w:val="nil"/>
              <w:bottom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p>
        </w:tc>
        <w:tc>
          <w:tcPr>
            <w:tcW w:w="986" w:type="pct"/>
            <w:gridSpan w:val="2"/>
            <w:tcBorders>
              <w:top w:val="nil"/>
              <w:left w:val="nil"/>
              <w:bottom w:val="nil"/>
              <w:right w:val="nil"/>
            </w:tcBorders>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у процентима</w:t>
            </w:r>
          </w:p>
        </w:tc>
      </w:tr>
      <w:tr w:rsidR="00171A80" w:rsidRPr="00171A80" w:rsidTr="008C590F">
        <w:trPr>
          <w:trHeight w:val="284"/>
        </w:trPr>
        <w:tc>
          <w:tcPr>
            <w:tcW w:w="2042" w:type="pct"/>
            <w:tcBorders>
              <w:top w:val="nil"/>
              <w:bottom w:val="nil"/>
            </w:tcBorders>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Дуг централне државе/БДП</w:t>
            </w:r>
          </w:p>
        </w:tc>
        <w:tc>
          <w:tcPr>
            <w:tcW w:w="493"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56,2</w:t>
            </w:r>
          </w:p>
        </w:tc>
        <w:tc>
          <w:tcPr>
            <w:tcW w:w="493"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59,6</w:t>
            </w:r>
          </w:p>
        </w:tc>
        <w:tc>
          <w:tcPr>
            <w:tcW w:w="49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68,5</w:t>
            </w:r>
          </w:p>
        </w:tc>
        <w:tc>
          <w:tcPr>
            <w:tcW w:w="49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76,1</w:t>
            </w:r>
          </w:p>
        </w:tc>
        <w:tc>
          <w:tcPr>
            <w:tcW w:w="49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77,5</w:t>
            </w:r>
          </w:p>
        </w:tc>
        <w:tc>
          <w:tcPr>
            <w:tcW w:w="49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76,9</w:t>
            </w:r>
          </w:p>
        </w:tc>
      </w:tr>
      <w:tr w:rsidR="00171A80" w:rsidRPr="00171A80" w:rsidTr="008C590F">
        <w:trPr>
          <w:trHeight w:val="284"/>
        </w:trPr>
        <w:tc>
          <w:tcPr>
            <w:tcW w:w="2042" w:type="pct"/>
            <w:tcBorders>
              <w:top w:val="nil"/>
              <w:bottom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Промена у односу на претходну год.</w:t>
            </w:r>
          </w:p>
        </w:tc>
        <w:tc>
          <w:tcPr>
            <w:tcW w:w="493" w:type="pct"/>
            <w:tcBorders>
              <w:top w:val="nil"/>
              <w:left w:val="nil"/>
              <w:bottom w:val="nil"/>
              <w:right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10,8</w:t>
            </w:r>
          </w:p>
        </w:tc>
        <w:tc>
          <w:tcPr>
            <w:tcW w:w="493" w:type="pct"/>
            <w:tcBorders>
              <w:top w:val="nil"/>
              <w:bottom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3,4</w:t>
            </w:r>
          </w:p>
        </w:tc>
        <w:tc>
          <w:tcPr>
            <w:tcW w:w="493"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8,9</w:t>
            </w:r>
          </w:p>
        </w:tc>
        <w:tc>
          <w:tcPr>
            <w:tcW w:w="493"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7,6</w:t>
            </w:r>
          </w:p>
        </w:tc>
        <w:tc>
          <w:tcPr>
            <w:tcW w:w="493"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1,4</w:t>
            </w:r>
          </w:p>
        </w:tc>
        <w:tc>
          <w:tcPr>
            <w:tcW w:w="493"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-0,6</w:t>
            </w:r>
          </w:p>
        </w:tc>
      </w:tr>
      <w:tr w:rsidR="00171A80" w:rsidRPr="00171A80" w:rsidTr="008C590F">
        <w:trPr>
          <w:trHeight w:val="284"/>
        </w:trPr>
        <w:tc>
          <w:tcPr>
            <w:tcW w:w="2042" w:type="pct"/>
            <w:tcBorders>
              <w:top w:val="nil"/>
              <w:bottom w:val="nil"/>
            </w:tcBorders>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Утицај примарног дефицита</w:t>
            </w:r>
          </w:p>
        </w:tc>
        <w:tc>
          <w:tcPr>
            <w:tcW w:w="493"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3,6</w:t>
            </w:r>
          </w:p>
        </w:tc>
        <w:tc>
          <w:tcPr>
            <w:tcW w:w="493"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2,5</w:t>
            </w:r>
          </w:p>
        </w:tc>
        <w:tc>
          <w:tcPr>
            <w:tcW w:w="493" w:type="pct"/>
            <w:tcBorders>
              <w:top w:val="nil"/>
              <w:bottom w:val="nil"/>
            </w:tcBorders>
            <w:shd w:val="clear" w:color="auto" w:fill="auto"/>
            <w:noWrap/>
          </w:tcPr>
          <w:p w:rsidR="00171A80" w:rsidRPr="000C4436" w:rsidRDefault="000C4436" w:rsidP="00171A80">
            <w:pPr>
              <w:spacing w:after="0"/>
              <w:ind w:firstLine="0"/>
              <w:jc w:val="right"/>
              <w:rPr>
                <w:rFonts w:asciiTheme="majorHAnsi" w:hAnsiTheme="majorHAnsi"/>
                <w:bCs w:val="0"/>
                <w:color w:val="7F7F7F" w:themeColor="text1" w:themeTint="80"/>
                <w:sz w:val="20"/>
                <w:szCs w:val="20"/>
                <w:lang w:val="sr-Latn-RS"/>
              </w:rPr>
            </w:pPr>
            <w:r>
              <w:rPr>
                <w:rFonts w:asciiTheme="majorHAnsi" w:hAnsiTheme="majorHAnsi"/>
                <w:bCs w:val="0"/>
                <w:color w:val="7F7F7F" w:themeColor="text1" w:themeTint="80"/>
                <w:sz w:val="20"/>
                <w:szCs w:val="20"/>
                <w:lang w:val="sr-Latn-RS"/>
              </w:rPr>
              <w:t>5,0</w:t>
            </w:r>
          </w:p>
        </w:tc>
        <w:tc>
          <w:tcPr>
            <w:tcW w:w="493" w:type="pct"/>
            <w:tcBorders>
              <w:top w:val="nil"/>
              <w:bottom w:val="nil"/>
            </w:tcBorders>
            <w:shd w:val="clear" w:color="auto" w:fill="auto"/>
            <w:noWrap/>
          </w:tcPr>
          <w:p w:rsidR="00171A80" w:rsidRPr="000C4436" w:rsidRDefault="000C4436" w:rsidP="00171A80">
            <w:pPr>
              <w:spacing w:after="0"/>
              <w:ind w:firstLine="0"/>
              <w:jc w:val="right"/>
              <w:rPr>
                <w:rFonts w:asciiTheme="majorHAnsi" w:hAnsiTheme="majorHAnsi"/>
                <w:bCs w:val="0"/>
                <w:color w:val="7F7F7F" w:themeColor="text1" w:themeTint="80"/>
                <w:sz w:val="20"/>
                <w:szCs w:val="20"/>
                <w:lang w:val="sr-Latn-RS"/>
              </w:rPr>
            </w:pPr>
            <w:r>
              <w:rPr>
                <w:rFonts w:asciiTheme="majorHAnsi" w:hAnsiTheme="majorHAnsi"/>
                <w:bCs w:val="0"/>
                <w:color w:val="7F7F7F" w:themeColor="text1" w:themeTint="80"/>
                <w:sz w:val="20"/>
                <w:szCs w:val="20"/>
                <w:lang w:val="sr-Latn-RS"/>
              </w:rPr>
              <w:t>2,2</w:t>
            </w:r>
          </w:p>
        </w:tc>
        <w:tc>
          <w:tcPr>
            <w:tcW w:w="493" w:type="pct"/>
            <w:tcBorders>
              <w:top w:val="nil"/>
              <w:bottom w:val="nil"/>
            </w:tcBorders>
            <w:shd w:val="clear" w:color="auto" w:fill="auto"/>
            <w:noWrap/>
          </w:tcPr>
          <w:p w:rsidR="00171A80" w:rsidRPr="000C4436" w:rsidRDefault="000C4436" w:rsidP="00171A80">
            <w:pPr>
              <w:spacing w:after="0"/>
              <w:ind w:firstLine="0"/>
              <w:jc w:val="right"/>
              <w:rPr>
                <w:rFonts w:asciiTheme="majorHAnsi" w:hAnsiTheme="majorHAnsi"/>
                <w:bCs w:val="0"/>
                <w:color w:val="7F7F7F" w:themeColor="text1" w:themeTint="80"/>
                <w:sz w:val="20"/>
                <w:szCs w:val="20"/>
                <w:lang w:val="sr-Latn-RS"/>
              </w:rPr>
            </w:pPr>
            <w:r>
              <w:rPr>
                <w:rFonts w:asciiTheme="majorHAnsi" w:hAnsiTheme="majorHAnsi"/>
                <w:bCs w:val="0"/>
                <w:color w:val="7F7F7F" w:themeColor="text1" w:themeTint="80"/>
                <w:sz w:val="20"/>
                <w:szCs w:val="20"/>
                <w:lang w:val="sr-Latn-RS"/>
              </w:rPr>
              <w:t>0,8</w:t>
            </w:r>
          </w:p>
        </w:tc>
        <w:tc>
          <w:tcPr>
            <w:tcW w:w="493" w:type="pct"/>
            <w:tcBorders>
              <w:top w:val="nil"/>
              <w:bottom w:val="nil"/>
            </w:tcBorders>
            <w:shd w:val="clear" w:color="auto" w:fill="auto"/>
            <w:noWrap/>
          </w:tcPr>
          <w:p w:rsidR="00171A80" w:rsidRPr="000C4436" w:rsidRDefault="000C4436" w:rsidP="00171A80">
            <w:pPr>
              <w:spacing w:after="0"/>
              <w:ind w:firstLine="0"/>
              <w:jc w:val="right"/>
              <w:rPr>
                <w:rFonts w:asciiTheme="majorHAnsi" w:hAnsiTheme="majorHAnsi"/>
                <w:bCs w:val="0"/>
                <w:color w:val="7F7F7F" w:themeColor="text1" w:themeTint="80"/>
                <w:sz w:val="20"/>
                <w:szCs w:val="20"/>
                <w:lang w:val="sr-Latn-RS"/>
              </w:rPr>
            </w:pPr>
            <w:r>
              <w:rPr>
                <w:rFonts w:asciiTheme="majorHAnsi" w:hAnsiTheme="majorHAnsi"/>
                <w:bCs w:val="0"/>
                <w:color w:val="7F7F7F" w:themeColor="text1" w:themeTint="80"/>
                <w:sz w:val="20"/>
                <w:szCs w:val="20"/>
                <w:lang w:val="sr-Latn-RS"/>
              </w:rPr>
              <w:t>-0,2</w:t>
            </w:r>
          </w:p>
        </w:tc>
      </w:tr>
      <w:tr w:rsidR="00171A80" w:rsidRPr="00171A80" w:rsidTr="008C590F">
        <w:trPr>
          <w:trHeight w:val="284"/>
        </w:trPr>
        <w:tc>
          <w:tcPr>
            <w:tcW w:w="2042" w:type="pct"/>
            <w:tcBorders>
              <w:top w:val="nil"/>
              <w:bottom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Камата</w:t>
            </w:r>
          </w:p>
        </w:tc>
        <w:tc>
          <w:tcPr>
            <w:tcW w:w="493" w:type="pct"/>
            <w:tcBorders>
              <w:top w:val="nil"/>
              <w:left w:val="nil"/>
              <w:bottom w:val="nil"/>
              <w:right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1,8</w:t>
            </w:r>
          </w:p>
        </w:tc>
        <w:tc>
          <w:tcPr>
            <w:tcW w:w="493" w:type="pct"/>
            <w:tcBorders>
              <w:top w:val="nil"/>
              <w:bottom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2,4</w:t>
            </w:r>
          </w:p>
        </w:tc>
        <w:tc>
          <w:tcPr>
            <w:tcW w:w="493"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2,9</w:t>
            </w:r>
          </w:p>
        </w:tc>
        <w:tc>
          <w:tcPr>
            <w:tcW w:w="493"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3,3</w:t>
            </w:r>
          </w:p>
        </w:tc>
        <w:tc>
          <w:tcPr>
            <w:tcW w:w="493"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3,6</w:t>
            </w:r>
          </w:p>
        </w:tc>
        <w:tc>
          <w:tcPr>
            <w:tcW w:w="493"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3,8</w:t>
            </w:r>
          </w:p>
        </w:tc>
      </w:tr>
      <w:tr w:rsidR="00171A80" w:rsidRPr="00171A80" w:rsidTr="008C590F">
        <w:trPr>
          <w:trHeight w:val="284"/>
        </w:trPr>
        <w:tc>
          <w:tcPr>
            <w:tcW w:w="2042" w:type="pct"/>
            <w:tcBorders>
              <w:top w:val="nil"/>
              <w:bottom w:val="nil"/>
            </w:tcBorders>
            <w:shd w:val="clear" w:color="auto" w:fill="auto"/>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Раст номиналног БДП</w:t>
            </w:r>
          </w:p>
        </w:tc>
        <w:tc>
          <w:tcPr>
            <w:tcW w:w="493"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-2,2</w:t>
            </w:r>
          </w:p>
        </w:tc>
        <w:tc>
          <w:tcPr>
            <w:tcW w:w="493"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-4,2</w:t>
            </w:r>
          </w:p>
        </w:tc>
        <w:tc>
          <w:tcPr>
            <w:tcW w:w="49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-0,1</w:t>
            </w:r>
          </w:p>
        </w:tc>
        <w:tc>
          <w:tcPr>
            <w:tcW w:w="49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-1,5</w:t>
            </w:r>
          </w:p>
        </w:tc>
        <w:tc>
          <w:tcPr>
            <w:tcW w:w="49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-4,1</w:t>
            </w:r>
          </w:p>
        </w:tc>
        <w:tc>
          <w:tcPr>
            <w:tcW w:w="49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-4,5</w:t>
            </w:r>
          </w:p>
        </w:tc>
      </w:tr>
      <w:tr w:rsidR="00171A80" w:rsidRPr="00171A80" w:rsidTr="008C590F">
        <w:trPr>
          <w:trHeight w:val="284"/>
        </w:trPr>
        <w:tc>
          <w:tcPr>
            <w:tcW w:w="2042" w:type="pct"/>
            <w:tcBorders>
              <w:top w:val="nil"/>
              <w:bottom w:val="single" w:sz="8" w:space="0" w:color="76923C" w:themeColor="accent3" w:themeShade="BF"/>
            </w:tcBorders>
            <w:shd w:val="clear" w:color="auto" w:fill="EAF1DD" w:themeFill="accent3" w:themeFillTint="33"/>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Остали фактори који утичу на рацио</w:t>
            </w:r>
          </w:p>
        </w:tc>
        <w:tc>
          <w:tcPr>
            <w:tcW w:w="493" w:type="pct"/>
            <w:tcBorders>
              <w:top w:val="nil"/>
              <w:left w:val="nil"/>
              <w:bottom w:val="single" w:sz="8" w:space="0" w:color="76923C" w:themeColor="accent3" w:themeShade="BF"/>
              <w:right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7,7</w:t>
            </w:r>
          </w:p>
        </w:tc>
        <w:tc>
          <w:tcPr>
            <w:tcW w:w="493" w:type="pct"/>
            <w:tcBorders>
              <w:top w:val="nil"/>
              <w:bottom w:val="single" w:sz="8" w:space="0" w:color="76923C" w:themeColor="accent3" w:themeShade="BF"/>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2,8</w:t>
            </w:r>
          </w:p>
        </w:tc>
        <w:tc>
          <w:tcPr>
            <w:tcW w:w="493" w:type="pct"/>
            <w:tcBorders>
              <w:top w:val="nil"/>
              <w:left w:val="nil"/>
              <w:bottom w:val="single" w:sz="8" w:space="0" w:color="76923C" w:themeColor="accent3" w:themeShade="BF"/>
              <w:right w:val="nil"/>
            </w:tcBorders>
            <w:shd w:val="clear" w:color="auto" w:fill="EAF1DD" w:themeFill="accent3" w:themeFillTint="33"/>
            <w:noWrap/>
          </w:tcPr>
          <w:p w:rsidR="00171A80" w:rsidRPr="000C4436" w:rsidRDefault="000C4436" w:rsidP="00171A80">
            <w:pPr>
              <w:spacing w:after="0"/>
              <w:ind w:firstLine="0"/>
              <w:jc w:val="right"/>
              <w:rPr>
                <w:rFonts w:asciiTheme="majorHAnsi" w:hAnsiTheme="majorHAnsi"/>
                <w:bCs w:val="0"/>
                <w:color w:val="7F7F7F" w:themeColor="text1" w:themeTint="80"/>
                <w:sz w:val="20"/>
                <w:szCs w:val="20"/>
                <w:lang w:val="sr-Latn-RS"/>
              </w:rPr>
            </w:pPr>
            <w:r>
              <w:rPr>
                <w:rFonts w:asciiTheme="majorHAnsi" w:hAnsiTheme="majorHAnsi"/>
                <w:bCs w:val="0"/>
                <w:color w:val="7F7F7F" w:themeColor="text1" w:themeTint="80"/>
                <w:sz w:val="20"/>
                <w:szCs w:val="20"/>
                <w:lang w:val="sr-Latn-RS"/>
              </w:rPr>
              <w:t>1,1</w:t>
            </w:r>
          </w:p>
        </w:tc>
        <w:tc>
          <w:tcPr>
            <w:tcW w:w="493" w:type="pct"/>
            <w:tcBorders>
              <w:top w:val="nil"/>
              <w:bottom w:val="single" w:sz="8" w:space="0" w:color="76923C" w:themeColor="accent3" w:themeShade="BF"/>
            </w:tcBorders>
            <w:shd w:val="clear" w:color="auto" w:fill="EAF1DD" w:themeFill="accent3" w:themeFillTint="33"/>
            <w:noWrap/>
          </w:tcPr>
          <w:p w:rsidR="00171A80" w:rsidRPr="000C4436" w:rsidRDefault="000C4436" w:rsidP="00171A80">
            <w:pPr>
              <w:spacing w:after="0"/>
              <w:ind w:firstLine="0"/>
              <w:jc w:val="right"/>
              <w:rPr>
                <w:rFonts w:asciiTheme="majorHAnsi" w:hAnsiTheme="majorHAnsi"/>
                <w:bCs w:val="0"/>
                <w:color w:val="7F7F7F" w:themeColor="text1" w:themeTint="80"/>
                <w:sz w:val="20"/>
                <w:szCs w:val="20"/>
                <w:lang w:val="sr-Latn-RS"/>
              </w:rPr>
            </w:pPr>
            <w:r>
              <w:rPr>
                <w:rFonts w:asciiTheme="majorHAnsi" w:hAnsiTheme="majorHAnsi"/>
                <w:bCs w:val="0"/>
                <w:color w:val="7F7F7F" w:themeColor="text1" w:themeTint="80"/>
                <w:sz w:val="20"/>
                <w:szCs w:val="20"/>
                <w:lang w:val="sr-Latn-RS"/>
              </w:rPr>
              <w:t>3,5</w:t>
            </w:r>
          </w:p>
        </w:tc>
        <w:tc>
          <w:tcPr>
            <w:tcW w:w="493" w:type="pct"/>
            <w:tcBorders>
              <w:top w:val="nil"/>
              <w:left w:val="nil"/>
              <w:bottom w:val="single" w:sz="8" w:space="0" w:color="76923C" w:themeColor="accent3" w:themeShade="BF"/>
              <w:right w:val="nil"/>
            </w:tcBorders>
            <w:shd w:val="clear" w:color="auto" w:fill="EAF1DD" w:themeFill="accent3" w:themeFillTint="33"/>
            <w:noWrap/>
          </w:tcPr>
          <w:p w:rsidR="00171A80" w:rsidRPr="000C4436" w:rsidRDefault="000C4436" w:rsidP="00171A80">
            <w:pPr>
              <w:spacing w:after="0"/>
              <w:ind w:firstLine="0"/>
              <w:jc w:val="right"/>
              <w:rPr>
                <w:rFonts w:asciiTheme="majorHAnsi" w:hAnsiTheme="majorHAnsi"/>
                <w:bCs w:val="0"/>
                <w:color w:val="7F7F7F" w:themeColor="text1" w:themeTint="80"/>
                <w:sz w:val="20"/>
                <w:szCs w:val="20"/>
                <w:lang w:val="sr-Latn-RS"/>
              </w:rPr>
            </w:pPr>
            <w:r>
              <w:rPr>
                <w:rFonts w:asciiTheme="majorHAnsi" w:hAnsiTheme="majorHAnsi"/>
                <w:bCs w:val="0"/>
                <w:color w:val="7F7F7F" w:themeColor="text1" w:themeTint="80"/>
                <w:sz w:val="20"/>
                <w:szCs w:val="20"/>
                <w:lang w:val="sr-Latn-RS"/>
              </w:rPr>
              <w:t>1,1</w:t>
            </w:r>
          </w:p>
        </w:tc>
        <w:tc>
          <w:tcPr>
            <w:tcW w:w="493" w:type="pct"/>
            <w:tcBorders>
              <w:top w:val="nil"/>
              <w:bottom w:val="single" w:sz="8" w:space="0" w:color="76923C" w:themeColor="accent3" w:themeShade="BF"/>
            </w:tcBorders>
            <w:shd w:val="clear" w:color="auto" w:fill="EAF1DD" w:themeFill="accent3" w:themeFillTint="33"/>
            <w:noWrap/>
          </w:tcPr>
          <w:p w:rsidR="00171A80" w:rsidRPr="000C4436" w:rsidRDefault="000C4436" w:rsidP="00171A80">
            <w:pPr>
              <w:spacing w:after="0"/>
              <w:ind w:firstLine="0"/>
              <w:jc w:val="right"/>
              <w:rPr>
                <w:rFonts w:asciiTheme="majorHAnsi" w:hAnsiTheme="majorHAnsi"/>
                <w:bCs w:val="0"/>
                <w:color w:val="7F7F7F" w:themeColor="text1" w:themeTint="80"/>
                <w:sz w:val="20"/>
                <w:szCs w:val="20"/>
                <w:lang w:val="sr-Latn-RS"/>
              </w:rPr>
            </w:pPr>
            <w:r>
              <w:rPr>
                <w:rFonts w:asciiTheme="majorHAnsi" w:hAnsiTheme="majorHAnsi"/>
                <w:bCs w:val="0"/>
                <w:color w:val="7F7F7F" w:themeColor="text1" w:themeTint="80"/>
                <w:sz w:val="20"/>
                <w:szCs w:val="20"/>
                <w:lang w:val="sr-Latn-RS"/>
              </w:rPr>
              <w:t>0,4</w:t>
            </w:r>
          </w:p>
        </w:tc>
      </w:tr>
    </w:tbl>
    <w:p w:rsidR="00171A80" w:rsidRPr="00171A80" w:rsidRDefault="00171A80" w:rsidP="00171A80">
      <w:pPr>
        <w:ind w:firstLine="0"/>
        <w:contextualSpacing/>
        <w:rPr>
          <w:rFonts w:asciiTheme="majorHAnsi" w:hAnsiTheme="majorHAnsi"/>
          <w:bCs w:val="0"/>
          <w:sz w:val="21"/>
          <w:szCs w:val="21"/>
          <w:lang w:val="sr-Cyrl-RS"/>
        </w:rPr>
      </w:pPr>
    </w:p>
    <w:p w:rsidR="00171A80" w:rsidRPr="00171A80" w:rsidRDefault="00171A80" w:rsidP="00171A80">
      <w:pPr>
        <w:ind w:firstLine="0"/>
        <w:contextualSpacing/>
        <w:jc w:val="center"/>
        <w:rPr>
          <w:rFonts w:asciiTheme="majorHAnsi" w:hAnsiTheme="majorHAnsi"/>
          <w:b/>
          <w:color w:val="7F7F7F" w:themeColor="text1" w:themeTint="80"/>
          <w:kern w:val="20"/>
          <w:sz w:val="21"/>
          <w:szCs w:val="21"/>
          <w:lang w:val="sr-Cyrl-RS" w:eastAsia="ko-KR"/>
        </w:rPr>
      </w:pPr>
      <w:r w:rsidRPr="00171A80">
        <w:rPr>
          <w:rFonts w:asciiTheme="majorHAnsi" w:hAnsiTheme="majorHAnsi"/>
          <w:b/>
          <w:color w:val="7F7F7F" w:themeColor="text1" w:themeTint="80"/>
          <w:kern w:val="20"/>
          <w:sz w:val="21"/>
          <w:szCs w:val="21"/>
          <w:lang w:val="sr-Cyrl-RS" w:eastAsia="ko-KR"/>
        </w:rPr>
        <w:t xml:space="preserve">Графикон </w:t>
      </w:r>
      <w:r w:rsidR="0038616A">
        <w:rPr>
          <w:rFonts w:asciiTheme="majorHAnsi" w:hAnsiTheme="majorHAnsi"/>
          <w:b/>
          <w:color w:val="7F7F7F" w:themeColor="text1" w:themeTint="80"/>
          <w:kern w:val="20"/>
          <w:sz w:val="21"/>
          <w:szCs w:val="21"/>
          <w:lang w:val="sr-Cyrl-RS" w:eastAsia="ko-KR"/>
        </w:rPr>
        <w:t>3</w:t>
      </w:r>
      <w:r w:rsidR="00BC66CD">
        <w:rPr>
          <w:rFonts w:asciiTheme="majorHAnsi" w:hAnsiTheme="majorHAnsi"/>
          <w:b/>
          <w:color w:val="7F7F7F" w:themeColor="text1" w:themeTint="80"/>
          <w:kern w:val="20"/>
          <w:sz w:val="21"/>
          <w:szCs w:val="21"/>
          <w:lang w:val="sr-Latn-RS" w:eastAsia="ko-KR"/>
        </w:rPr>
        <w:t>1</w:t>
      </w:r>
      <w:r w:rsidRPr="00171A80">
        <w:rPr>
          <w:rFonts w:asciiTheme="majorHAnsi" w:hAnsiTheme="majorHAnsi"/>
          <w:b/>
          <w:color w:val="7F7F7F" w:themeColor="text1" w:themeTint="80"/>
          <w:kern w:val="20"/>
          <w:sz w:val="21"/>
          <w:szCs w:val="21"/>
          <w:lang w:val="sr-Cyrl-RS" w:eastAsia="ko-KR"/>
        </w:rPr>
        <w:t>. Утицај промена курса динара према корпи валута из портфолија јавног д</w:t>
      </w:r>
      <w:r w:rsidR="00BC66CD">
        <w:rPr>
          <w:rFonts w:asciiTheme="majorHAnsi" w:hAnsiTheme="majorHAnsi"/>
          <w:b/>
          <w:color w:val="7F7F7F" w:themeColor="text1" w:themeTint="80"/>
          <w:kern w:val="20"/>
          <w:sz w:val="21"/>
          <w:szCs w:val="21"/>
          <w:lang w:val="sr-Cyrl-RS" w:eastAsia="ko-KR"/>
        </w:rPr>
        <w:t>уга на промену рација</w:t>
      </w:r>
      <w:r w:rsidRPr="00171A80">
        <w:rPr>
          <w:rFonts w:asciiTheme="majorHAnsi" w:hAnsiTheme="majorHAnsi"/>
          <w:b/>
          <w:color w:val="7F7F7F" w:themeColor="text1" w:themeTint="80"/>
          <w:kern w:val="20"/>
          <w:sz w:val="21"/>
          <w:szCs w:val="21"/>
          <w:lang w:val="sr-Cyrl-RS" w:eastAsia="ko-KR"/>
        </w:rPr>
        <w:t xml:space="preserve"> јавног дуга и БДП</w:t>
      </w:r>
    </w:p>
    <w:p w:rsidR="00171A80" w:rsidRPr="00171A80" w:rsidRDefault="00171A80" w:rsidP="00171A80">
      <w:pPr>
        <w:ind w:firstLine="0"/>
        <w:contextualSpacing/>
        <w:rPr>
          <w:rFonts w:asciiTheme="majorHAnsi" w:hAnsiTheme="majorHAnsi"/>
          <w:color w:val="7F7F7F" w:themeColor="text1" w:themeTint="80"/>
          <w:kern w:val="20"/>
          <w:sz w:val="21"/>
          <w:szCs w:val="21"/>
          <w:lang w:val="sr-Cyrl-RS" w:eastAsia="ko-KR"/>
        </w:rPr>
      </w:pPr>
      <w:r w:rsidRPr="00171A80">
        <w:rPr>
          <w:noProof/>
          <w:lang w:val="en-US"/>
        </w:rPr>
        <w:drawing>
          <wp:inline distT="0" distB="0" distL="0" distR="0" wp14:anchorId="3DB6B411" wp14:editId="2526BE7A">
            <wp:extent cx="5777713" cy="3787073"/>
            <wp:effectExtent l="0" t="0" r="0" b="444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06D68" w:rsidRPr="00206D68" w:rsidRDefault="002F31FA" w:rsidP="002A5649">
      <w:pPr>
        <w:spacing w:before="120"/>
        <w:rPr>
          <w:rFonts w:asciiTheme="majorHAnsi" w:hAnsiTheme="majorHAnsi"/>
          <w:color w:val="7F7F7F" w:themeColor="text1" w:themeTint="80"/>
          <w:sz w:val="21"/>
          <w:szCs w:val="21"/>
          <w:lang w:val="sr-Cyrl-RS"/>
        </w:rPr>
      </w:pPr>
      <w:r w:rsidRPr="002F31FA">
        <w:rPr>
          <w:rFonts w:asciiTheme="majorHAnsi" w:hAnsiTheme="majorHAnsi"/>
          <w:color w:val="7F7F7F" w:themeColor="text1" w:themeTint="80"/>
          <w:sz w:val="21"/>
          <w:szCs w:val="21"/>
          <w:lang w:val="sr-Cyrl-RS"/>
        </w:rPr>
        <w:t>На графикону 31. је представљено кретање рација јавног дуга и БДП у зависности од промене курса динара према одређеној корпи валута. Приказана је основна пројекција са алтернативним сценаријима у зависности од апрецијације, односно депрецијације курса динара у распону од 10% апрецијације до 20% депрецијације динара у односу на корпу валута. Применом наведених сценарија може се видети да би се рацио за 2017. годину кретао у распону од 70,9% до 88,8%, док је за основни сценарио био на нивоу од 76,9%</w:t>
      </w:r>
      <w:r w:rsidR="00206D68" w:rsidRPr="00206D68">
        <w:rPr>
          <w:rFonts w:asciiTheme="majorHAnsi" w:hAnsiTheme="majorHAnsi"/>
          <w:color w:val="7F7F7F" w:themeColor="text1" w:themeTint="80"/>
          <w:sz w:val="21"/>
          <w:szCs w:val="21"/>
          <w:lang w:val="sr-Cyrl-RS"/>
        </w:rPr>
        <w:t>.</w:t>
      </w:r>
    </w:p>
    <w:p w:rsidR="00171A80" w:rsidRPr="00171A80" w:rsidRDefault="00206D68" w:rsidP="00206D68">
      <w:pPr>
        <w:rPr>
          <w:rFonts w:asciiTheme="majorHAnsi" w:hAnsiTheme="majorHAnsi"/>
          <w:bCs w:val="0"/>
          <w:color w:val="7F7F7F" w:themeColor="text1" w:themeTint="80"/>
          <w:sz w:val="21"/>
          <w:szCs w:val="21"/>
          <w:lang w:val="sr-Cyrl-RS"/>
        </w:rPr>
      </w:pPr>
      <w:r w:rsidRPr="00206D68">
        <w:rPr>
          <w:rFonts w:asciiTheme="majorHAnsi" w:hAnsiTheme="majorHAnsi"/>
          <w:color w:val="7F7F7F" w:themeColor="text1" w:themeTint="80"/>
          <w:sz w:val="21"/>
          <w:szCs w:val="21"/>
          <w:lang w:val="sr-Cyrl-RS"/>
        </w:rPr>
        <w:t>Главни ризици за остварење Стратегије поред горе наведених факт</w:t>
      </w:r>
      <w:r>
        <w:rPr>
          <w:rFonts w:asciiTheme="majorHAnsi" w:hAnsiTheme="majorHAnsi"/>
          <w:color w:val="7F7F7F" w:themeColor="text1" w:themeTint="80"/>
          <w:sz w:val="21"/>
          <w:szCs w:val="21"/>
          <w:lang w:val="sr-Cyrl-RS"/>
        </w:rPr>
        <w:t>ора који су квантификовани су и</w:t>
      </w:r>
      <w:r w:rsidR="00171A80" w:rsidRPr="00171A80">
        <w:rPr>
          <w:rFonts w:asciiTheme="majorHAnsi" w:hAnsiTheme="majorHAnsi"/>
          <w:bCs w:val="0"/>
          <w:color w:val="7F7F7F" w:themeColor="text1" w:themeTint="80"/>
          <w:sz w:val="21"/>
          <w:szCs w:val="21"/>
          <w:lang w:val="sr-Cyrl-RS"/>
        </w:rPr>
        <w:t>:</w:t>
      </w:r>
    </w:p>
    <w:p w:rsidR="00171A80" w:rsidRPr="00171A80" w:rsidRDefault="00C06D4E" w:rsidP="008C2A49">
      <w:pPr>
        <w:numPr>
          <w:ilvl w:val="0"/>
          <w:numId w:val="13"/>
        </w:numPr>
        <w:spacing w:before="120"/>
        <w:ind w:left="714" w:hanging="357"/>
        <w:rPr>
          <w:rFonts w:asciiTheme="majorHAnsi" w:hAnsiTheme="majorHAnsi"/>
          <w:color w:val="7F7F7F" w:themeColor="text1" w:themeTint="80"/>
          <w:sz w:val="21"/>
          <w:szCs w:val="21"/>
          <w:lang w:val="sr-Cyrl-RS"/>
        </w:rPr>
      </w:pPr>
      <w:r w:rsidRPr="00C06D4E">
        <w:rPr>
          <w:rFonts w:asciiTheme="majorHAnsi" w:hAnsiTheme="majorHAnsi"/>
          <w:color w:val="7F7F7F" w:themeColor="text1" w:themeTint="80"/>
          <w:sz w:val="21"/>
          <w:szCs w:val="21"/>
          <w:lang w:val="sr-Cyrl-RS"/>
        </w:rPr>
        <w:t>стабилност макроекономске ситуације у Републици Србији (реални раст БДП, наплата пореза, ниво незапослености, текући рачун платног биланса, каматне стопе на домаћем тржишту, инфлација итд.</w:t>
      </w:r>
      <w:r w:rsidR="00171A80" w:rsidRPr="00171A80">
        <w:rPr>
          <w:rFonts w:asciiTheme="majorHAnsi" w:hAnsiTheme="majorHAnsi"/>
          <w:color w:val="7F7F7F" w:themeColor="text1" w:themeTint="80"/>
          <w:sz w:val="21"/>
          <w:szCs w:val="21"/>
          <w:lang w:val="sr-Cyrl-RS"/>
        </w:rPr>
        <w:t>);</w:t>
      </w:r>
    </w:p>
    <w:p w:rsidR="00171A80" w:rsidRPr="00171A80" w:rsidRDefault="00C06D4E" w:rsidP="008C2A49">
      <w:pPr>
        <w:numPr>
          <w:ilvl w:val="0"/>
          <w:numId w:val="13"/>
        </w:numPr>
        <w:spacing w:before="120"/>
        <w:ind w:left="714" w:hanging="357"/>
        <w:rPr>
          <w:rFonts w:asciiTheme="majorHAnsi" w:hAnsiTheme="majorHAnsi"/>
          <w:color w:val="7F7F7F" w:themeColor="text1" w:themeTint="80"/>
          <w:sz w:val="21"/>
          <w:szCs w:val="21"/>
          <w:lang w:val="sr-Cyrl-RS"/>
        </w:rPr>
      </w:pPr>
      <w:r w:rsidRPr="00C06D4E">
        <w:rPr>
          <w:rFonts w:asciiTheme="majorHAnsi" w:hAnsiTheme="majorHAnsi"/>
          <w:color w:val="7F7F7F" w:themeColor="text1" w:themeTint="80"/>
          <w:sz w:val="21"/>
          <w:szCs w:val="21"/>
          <w:lang w:val="sr-Cyrl-RS"/>
        </w:rPr>
        <w:t>развој светске економије и главних спољнотрговинских партнера Републике Србије</w:t>
      </w:r>
      <w:r w:rsidR="00171A80" w:rsidRPr="00171A80">
        <w:rPr>
          <w:rFonts w:asciiTheme="majorHAnsi" w:hAnsiTheme="majorHAnsi"/>
          <w:color w:val="7F7F7F" w:themeColor="text1" w:themeTint="80"/>
          <w:sz w:val="21"/>
          <w:szCs w:val="21"/>
          <w:lang w:val="sr-Cyrl-RS"/>
        </w:rPr>
        <w:t>;</w:t>
      </w:r>
    </w:p>
    <w:p w:rsidR="00171A80" w:rsidRPr="00171A80" w:rsidRDefault="00C06D4E" w:rsidP="008C2A49">
      <w:pPr>
        <w:numPr>
          <w:ilvl w:val="0"/>
          <w:numId w:val="13"/>
        </w:numPr>
        <w:spacing w:before="120"/>
        <w:ind w:left="714" w:hanging="357"/>
        <w:rPr>
          <w:rFonts w:asciiTheme="majorHAnsi" w:hAnsiTheme="majorHAnsi"/>
          <w:color w:val="7F7F7F" w:themeColor="text1" w:themeTint="80"/>
          <w:sz w:val="21"/>
          <w:szCs w:val="21"/>
          <w:lang w:val="sr-Cyrl-RS"/>
        </w:rPr>
      </w:pPr>
      <w:r w:rsidRPr="00C06D4E">
        <w:rPr>
          <w:rFonts w:asciiTheme="majorHAnsi" w:hAnsiTheme="majorHAnsi"/>
          <w:color w:val="7F7F7F" w:themeColor="text1" w:themeTint="80"/>
          <w:sz w:val="21"/>
          <w:szCs w:val="21"/>
          <w:lang w:val="sr-Cyrl-RS"/>
        </w:rPr>
        <w:t>потребе за додатним задуживањем како би се регулисали дугови на другим нивоима власти, јавном сектору и финансијском систему Републике Србије</w:t>
      </w:r>
      <w:r w:rsidR="0014244D">
        <w:rPr>
          <w:rFonts w:asciiTheme="majorHAnsi" w:hAnsiTheme="majorHAnsi"/>
          <w:color w:val="7F7F7F" w:themeColor="text1" w:themeTint="80"/>
          <w:sz w:val="21"/>
          <w:szCs w:val="21"/>
          <w:lang w:val="sr-Latn-RS"/>
        </w:rPr>
        <w:t>;</w:t>
      </w:r>
    </w:p>
    <w:p w:rsidR="00171A80" w:rsidRPr="00171A80" w:rsidRDefault="00C06D4E" w:rsidP="008C2A49">
      <w:pPr>
        <w:numPr>
          <w:ilvl w:val="0"/>
          <w:numId w:val="13"/>
        </w:numPr>
        <w:spacing w:before="120"/>
        <w:ind w:left="714" w:hanging="357"/>
        <w:rPr>
          <w:rFonts w:asciiTheme="majorHAnsi" w:hAnsiTheme="majorHAnsi"/>
          <w:color w:val="7F7F7F" w:themeColor="text1" w:themeTint="80"/>
          <w:sz w:val="21"/>
          <w:szCs w:val="21"/>
          <w:lang w:val="sr-Cyrl-RS"/>
        </w:rPr>
      </w:pPr>
      <w:r w:rsidRPr="00C06D4E">
        <w:rPr>
          <w:rFonts w:asciiTheme="majorHAnsi" w:hAnsiTheme="majorHAnsi"/>
          <w:color w:val="7F7F7F" w:themeColor="text1" w:themeTint="80"/>
          <w:sz w:val="21"/>
          <w:szCs w:val="21"/>
          <w:lang w:val="sr-Cyrl-RS"/>
        </w:rPr>
        <w:lastRenderedPageBreak/>
        <w:t>нижи порески и непорески приходи од планираних и већи расходи од планираних током буџетске године</w:t>
      </w:r>
      <w:r w:rsidR="00171A80" w:rsidRPr="00171A80">
        <w:rPr>
          <w:rFonts w:asciiTheme="majorHAnsi" w:hAnsiTheme="majorHAnsi"/>
          <w:color w:val="7F7F7F" w:themeColor="text1" w:themeTint="80"/>
          <w:sz w:val="21"/>
          <w:szCs w:val="21"/>
          <w:lang w:val="sr-Cyrl-RS"/>
        </w:rPr>
        <w:t>;</w:t>
      </w:r>
    </w:p>
    <w:p w:rsidR="00171A80" w:rsidRPr="00171A80" w:rsidRDefault="0014244D" w:rsidP="008C2A49">
      <w:pPr>
        <w:numPr>
          <w:ilvl w:val="0"/>
          <w:numId w:val="13"/>
        </w:numPr>
        <w:spacing w:before="120"/>
        <w:ind w:left="714" w:hanging="357"/>
        <w:rPr>
          <w:rFonts w:asciiTheme="majorHAnsi" w:hAnsiTheme="majorHAnsi"/>
          <w:color w:val="7F7F7F" w:themeColor="text1" w:themeTint="80"/>
          <w:sz w:val="21"/>
          <w:szCs w:val="21"/>
          <w:lang w:val="sr-Cyrl-RS"/>
        </w:rPr>
      </w:pPr>
      <w:r w:rsidRPr="0014244D">
        <w:rPr>
          <w:rFonts w:asciiTheme="majorHAnsi" w:hAnsiTheme="majorHAnsi"/>
          <w:color w:val="7F7F7F" w:themeColor="text1" w:themeTint="80"/>
          <w:sz w:val="21"/>
          <w:szCs w:val="21"/>
          <w:lang w:val="sr-Cyrl-RS"/>
        </w:rPr>
        <w:t>значајан пад вредности динара у односу на евро</w:t>
      </w:r>
      <w:r w:rsidR="00171A80" w:rsidRPr="00171A80">
        <w:rPr>
          <w:rFonts w:asciiTheme="majorHAnsi" w:hAnsiTheme="majorHAnsi"/>
          <w:color w:val="7F7F7F" w:themeColor="text1" w:themeTint="80"/>
          <w:sz w:val="21"/>
          <w:szCs w:val="21"/>
          <w:lang w:val="sr-Cyrl-RS"/>
        </w:rPr>
        <w:t>;</w:t>
      </w:r>
    </w:p>
    <w:p w:rsidR="00171A80" w:rsidRPr="00171A80" w:rsidRDefault="0014244D" w:rsidP="008C2A49">
      <w:pPr>
        <w:numPr>
          <w:ilvl w:val="0"/>
          <w:numId w:val="13"/>
        </w:numPr>
        <w:spacing w:before="120"/>
        <w:ind w:left="714" w:hanging="357"/>
        <w:rPr>
          <w:rFonts w:asciiTheme="majorHAnsi" w:hAnsiTheme="majorHAnsi"/>
          <w:color w:val="7F7F7F" w:themeColor="text1" w:themeTint="80"/>
          <w:sz w:val="21"/>
          <w:szCs w:val="21"/>
          <w:lang w:val="sr-Cyrl-RS"/>
        </w:rPr>
      </w:pPr>
      <w:r w:rsidRPr="0014244D">
        <w:rPr>
          <w:rFonts w:asciiTheme="majorHAnsi" w:hAnsiTheme="majorHAnsi"/>
          <w:color w:val="7F7F7F" w:themeColor="text1" w:themeTint="80"/>
          <w:sz w:val="21"/>
          <w:szCs w:val="21"/>
          <w:lang w:val="sr-Cyrl-RS"/>
        </w:rPr>
        <w:t>већи степен задуживања локалних власти од планираног у средњорочном макроекономском (фискалном) оквиру</w:t>
      </w:r>
      <w:r w:rsidR="00171A80" w:rsidRPr="00171A80">
        <w:rPr>
          <w:rFonts w:asciiTheme="majorHAnsi" w:hAnsiTheme="majorHAnsi"/>
          <w:color w:val="7F7F7F" w:themeColor="text1" w:themeTint="80"/>
          <w:sz w:val="21"/>
          <w:szCs w:val="21"/>
          <w:lang w:val="sr-Cyrl-RS"/>
        </w:rPr>
        <w:t>;</w:t>
      </w:r>
    </w:p>
    <w:p w:rsidR="00171A80" w:rsidRPr="00171A80" w:rsidRDefault="0014244D" w:rsidP="008C2A49">
      <w:pPr>
        <w:numPr>
          <w:ilvl w:val="0"/>
          <w:numId w:val="13"/>
        </w:numPr>
        <w:spacing w:before="120"/>
        <w:ind w:left="714" w:hanging="357"/>
        <w:rPr>
          <w:rFonts w:asciiTheme="majorHAnsi" w:hAnsiTheme="majorHAnsi"/>
          <w:color w:val="7F7F7F" w:themeColor="text1" w:themeTint="80"/>
          <w:sz w:val="21"/>
          <w:szCs w:val="21"/>
          <w:lang w:val="sr-Cyrl-RS"/>
        </w:rPr>
      </w:pPr>
      <w:r w:rsidRPr="0014244D">
        <w:rPr>
          <w:rFonts w:asciiTheme="majorHAnsi" w:hAnsiTheme="majorHAnsi"/>
          <w:color w:val="7F7F7F" w:themeColor="text1" w:themeTint="80"/>
          <w:sz w:val="21"/>
          <w:szCs w:val="21"/>
          <w:lang w:val="sr-Cyrl-RS"/>
        </w:rPr>
        <w:t>активирање датих гаранција</w:t>
      </w:r>
      <w:r w:rsidR="00171A80" w:rsidRPr="00171A80">
        <w:rPr>
          <w:rFonts w:asciiTheme="majorHAnsi" w:hAnsiTheme="majorHAnsi"/>
          <w:color w:val="7F7F7F" w:themeColor="text1" w:themeTint="80"/>
          <w:sz w:val="21"/>
          <w:szCs w:val="21"/>
          <w:lang w:val="sr-Cyrl-RS"/>
        </w:rPr>
        <w:t>.</w:t>
      </w:r>
    </w:p>
    <w:p w:rsidR="00171A80" w:rsidRPr="00171A80" w:rsidRDefault="00C06D4E" w:rsidP="00171A80">
      <w:pPr>
        <w:rPr>
          <w:rFonts w:asciiTheme="majorHAnsi" w:hAnsiTheme="majorHAnsi"/>
          <w:color w:val="7F7F7F" w:themeColor="text1" w:themeTint="80"/>
          <w:sz w:val="21"/>
          <w:szCs w:val="21"/>
          <w:lang w:val="sr-Cyrl-RS"/>
        </w:rPr>
      </w:pPr>
      <w:r w:rsidRPr="00C06D4E">
        <w:rPr>
          <w:rFonts w:asciiTheme="majorHAnsi" w:hAnsiTheme="majorHAnsi"/>
          <w:bCs w:val="0"/>
          <w:color w:val="7F7F7F" w:themeColor="text1" w:themeTint="80"/>
          <w:sz w:val="21"/>
          <w:szCs w:val="21"/>
          <w:lang w:val="sr-Cyrl-RS"/>
        </w:rPr>
        <w:t>Важно је напоменути да ће смањењу јавног дуга у односу на БДП допринети и адекватнија контрола издавања гаранција и унапређење процеса приоритизације инвестиционих пројеката, који ће се финансирати из кредитних линија мултилатералних и билатералних кредитора. Влада је у склопу настојања Министарства финансија да повећа ефикасност пројектног инвестирања, које се финансира из пројектних зајмова мултилатералних и билатералних институција донела јуна 2013. године закључак. Тим закључком прихваћен је извештај о реализацији пројектних зајмова одобрених Републици Србији од стране међународних финансијских организација и других страних кредитора и наложено је министру финансија да на бази процене ефеката коришћења одобрених пројектних зајмова, по секторима и корисницима, у складу са процентом повучених средстава и индикатором успешности, ограничи одобравање нових пројектних зајмова и издавање гаранција Републике Србије оним корисницима код којих је стопа повлачења средстава по одобреним пројектним зајмовима нижа од 70%. Почев од 2015. године, гаранције ће бити издаване само за пројектне зајмове, односно прекинуће се са издавањем гаранција за зајмове за текућу ликвидност јавним предузећима. У циљу адекватног статистичког извештавања о дугу државе извршиће се редефинисање и усаглашавање основних дефиниција дуга у Закону о буџетском систему и Закону о јавном дугу</w:t>
      </w:r>
      <w:r w:rsidR="00171A80" w:rsidRPr="00171A80">
        <w:rPr>
          <w:rFonts w:asciiTheme="majorHAnsi" w:hAnsiTheme="majorHAnsi"/>
          <w:bCs w:val="0"/>
          <w:color w:val="7F7F7F" w:themeColor="text1" w:themeTint="80"/>
          <w:sz w:val="21"/>
          <w:szCs w:val="21"/>
          <w:lang w:val="sr-Cyrl-RS"/>
        </w:rPr>
        <w:t>.</w:t>
      </w:r>
    </w:p>
    <w:p w:rsidR="00171A80" w:rsidRPr="001067B8" w:rsidRDefault="00171A80" w:rsidP="00171A80">
      <w:pPr>
        <w:ind w:firstLine="0"/>
        <w:rPr>
          <w:rFonts w:asciiTheme="majorHAnsi" w:hAnsiTheme="majorHAnsi"/>
          <w:b/>
          <w:i/>
          <w:color w:val="51671F"/>
          <w:szCs w:val="22"/>
          <w:lang w:val="sr-Cyrl-RS" w:eastAsia="ko-KR"/>
        </w:rPr>
      </w:pPr>
      <w:r w:rsidRPr="001067B8">
        <w:rPr>
          <w:rFonts w:asciiTheme="majorHAnsi" w:hAnsiTheme="majorHAnsi"/>
          <w:b/>
          <w:i/>
          <w:color w:val="51671F"/>
          <w:szCs w:val="22"/>
          <w:lang w:val="sr-Cyrl-RS" w:eastAsia="ko-KR"/>
        </w:rPr>
        <w:t>Принципи управљања јавним дугом</w:t>
      </w:r>
      <w:bookmarkEnd w:id="61"/>
    </w:p>
    <w:p w:rsidR="0014244D" w:rsidRPr="0014244D" w:rsidRDefault="00C06D4E" w:rsidP="0014244D">
      <w:pPr>
        <w:rPr>
          <w:rFonts w:asciiTheme="majorHAnsi" w:hAnsiTheme="majorHAnsi"/>
          <w:bCs w:val="0"/>
          <w:color w:val="7F7F7F" w:themeColor="text1" w:themeTint="80"/>
          <w:sz w:val="21"/>
          <w:szCs w:val="21"/>
          <w:lang w:val="sr-Cyrl-RS"/>
        </w:rPr>
      </w:pPr>
      <w:r w:rsidRPr="00C06D4E">
        <w:rPr>
          <w:rFonts w:asciiTheme="majorHAnsi" w:hAnsiTheme="majorHAnsi"/>
          <w:bCs w:val="0"/>
          <w:color w:val="7F7F7F" w:themeColor="text1" w:themeTint="80"/>
          <w:sz w:val="21"/>
          <w:szCs w:val="21"/>
          <w:lang w:val="sr-Cyrl-RS"/>
        </w:rPr>
        <w:t>Према Закону о јавном дугу, примарни циљ задуживања Републике Србије и управљања јавним дугом је да се осигурају средства потребна за финансирање буџетских издатака, са минималним трошковима финансирања на средњи и дуги рок и прихватљивим нивоом ризика. Минимизација дугорочних трошкова сервисирања јавног дуга је ограничена структуром дуга и остваривање смањења трошкова ће бити условљено низом фактора и ризика. На основу тога, Стратегија управљања јавним дугом Републике Србије дефинише следеће опште циљеве и принципе</w:t>
      </w:r>
      <w:r w:rsidR="0014244D" w:rsidRPr="0014244D">
        <w:rPr>
          <w:rFonts w:asciiTheme="majorHAnsi" w:hAnsiTheme="majorHAnsi"/>
          <w:bCs w:val="0"/>
          <w:color w:val="7F7F7F" w:themeColor="text1" w:themeTint="80"/>
          <w:sz w:val="21"/>
          <w:szCs w:val="21"/>
          <w:lang w:val="sr-Cyrl-RS"/>
        </w:rPr>
        <w:t>:</w:t>
      </w:r>
    </w:p>
    <w:p w:rsidR="0014244D" w:rsidRPr="0014244D" w:rsidRDefault="0014244D" w:rsidP="0014244D">
      <w:pPr>
        <w:rPr>
          <w:rFonts w:asciiTheme="majorHAnsi" w:hAnsiTheme="majorHAnsi"/>
          <w:bCs w:val="0"/>
          <w:color w:val="7F7F7F" w:themeColor="text1" w:themeTint="80"/>
          <w:sz w:val="21"/>
          <w:szCs w:val="21"/>
          <w:lang w:val="sr-Cyrl-RS"/>
        </w:rPr>
      </w:pPr>
      <w:r w:rsidRPr="0014244D">
        <w:rPr>
          <w:rFonts w:asciiTheme="majorHAnsi" w:hAnsiTheme="majorHAnsi"/>
          <w:bCs w:val="0"/>
          <w:color w:val="7F7F7F" w:themeColor="text1" w:themeTint="80"/>
          <w:sz w:val="21"/>
          <w:szCs w:val="21"/>
          <w:lang w:val="sr-Cyrl-RS"/>
        </w:rPr>
        <w:t xml:space="preserve">1) </w:t>
      </w:r>
      <w:r w:rsidR="0074731D" w:rsidRPr="0074731D">
        <w:rPr>
          <w:rFonts w:asciiTheme="majorHAnsi" w:hAnsiTheme="majorHAnsi"/>
          <w:bCs w:val="0"/>
          <w:color w:val="7F7F7F" w:themeColor="text1" w:themeTint="80"/>
          <w:sz w:val="21"/>
          <w:szCs w:val="21"/>
          <w:lang w:val="sr-Cyrl-RS"/>
        </w:rPr>
        <w:t>Потребно је осигурати финансирање фискалног дефицита Републике Србије, у смислу краткорочног дефицита (ликвидности) и дугорочног дефицита, као део политике одржавања стабилности система јавних финансија</w:t>
      </w:r>
      <w:r w:rsidRPr="0014244D">
        <w:rPr>
          <w:rFonts w:asciiTheme="majorHAnsi" w:hAnsiTheme="majorHAnsi"/>
          <w:bCs w:val="0"/>
          <w:color w:val="7F7F7F" w:themeColor="text1" w:themeTint="80"/>
          <w:sz w:val="21"/>
          <w:szCs w:val="21"/>
          <w:lang w:val="sr-Cyrl-RS"/>
        </w:rPr>
        <w:t>;</w:t>
      </w:r>
    </w:p>
    <w:p w:rsidR="0014244D" w:rsidRPr="0014244D" w:rsidRDefault="0014244D" w:rsidP="0014244D">
      <w:pPr>
        <w:rPr>
          <w:rFonts w:asciiTheme="majorHAnsi" w:hAnsiTheme="majorHAnsi"/>
          <w:bCs w:val="0"/>
          <w:color w:val="7F7F7F" w:themeColor="text1" w:themeTint="80"/>
          <w:sz w:val="21"/>
          <w:szCs w:val="21"/>
          <w:lang w:val="sr-Cyrl-RS"/>
        </w:rPr>
      </w:pPr>
      <w:r w:rsidRPr="0014244D">
        <w:rPr>
          <w:rFonts w:asciiTheme="majorHAnsi" w:hAnsiTheme="majorHAnsi"/>
          <w:bCs w:val="0"/>
          <w:color w:val="7F7F7F" w:themeColor="text1" w:themeTint="80"/>
          <w:sz w:val="21"/>
          <w:szCs w:val="21"/>
          <w:lang w:val="sr-Cyrl-RS"/>
        </w:rPr>
        <w:t xml:space="preserve">2) </w:t>
      </w:r>
      <w:r w:rsidR="0074731D" w:rsidRPr="0074731D">
        <w:rPr>
          <w:rFonts w:asciiTheme="majorHAnsi" w:hAnsiTheme="majorHAnsi"/>
          <w:bCs w:val="0"/>
          <w:color w:val="7F7F7F" w:themeColor="text1" w:themeTint="80"/>
          <w:sz w:val="21"/>
          <w:szCs w:val="21"/>
          <w:lang w:val="sr-Cyrl-RS"/>
        </w:rPr>
        <w:t>Потребно је дефинисати прихватљив ниво ризика који треба да буде одређен у условима циљане структуре портфолија дуга у смислу валутне структуре дуга, структуре каматних стопа, структуре рочности и структуре дуга према инструментима</w:t>
      </w:r>
      <w:r w:rsidRPr="0014244D">
        <w:rPr>
          <w:rFonts w:asciiTheme="majorHAnsi" w:hAnsiTheme="majorHAnsi"/>
          <w:bCs w:val="0"/>
          <w:color w:val="7F7F7F" w:themeColor="text1" w:themeTint="80"/>
          <w:sz w:val="21"/>
          <w:szCs w:val="21"/>
          <w:lang w:val="sr-Cyrl-RS"/>
        </w:rPr>
        <w:t>;</w:t>
      </w:r>
    </w:p>
    <w:p w:rsidR="0014244D" w:rsidRPr="0014244D" w:rsidRDefault="0014244D" w:rsidP="0014244D">
      <w:pPr>
        <w:rPr>
          <w:rFonts w:asciiTheme="majorHAnsi" w:hAnsiTheme="majorHAnsi"/>
          <w:bCs w:val="0"/>
          <w:color w:val="7F7F7F" w:themeColor="text1" w:themeTint="80"/>
          <w:sz w:val="21"/>
          <w:szCs w:val="21"/>
          <w:lang w:val="sr-Cyrl-RS"/>
        </w:rPr>
      </w:pPr>
      <w:r w:rsidRPr="0014244D">
        <w:rPr>
          <w:rFonts w:asciiTheme="majorHAnsi" w:hAnsiTheme="majorHAnsi"/>
          <w:bCs w:val="0"/>
          <w:color w:val="7F7F7F" w:themeColor="text1" w:themeTint="80"/>
          <w:sz w:val="21"/>
          <w:szCs w:val="21"/>
          <w:lang w:val="sr-Cyrl-RS"/>
        </w:rPr>
        <w:t xml:space="preserve">3) </w:t>
      </w:r>
      <w:r w:rsidR="0074731D" w:rsidRPr="0074731D">
        <w:rPr>
          <w:rFonts w:asciiTheme="majorHAnsi" w:hAnsiTheme="majorHAnsi"/>
          <w:bCs w:val="0"/>
          <w:color w:val="7F7F7F" w:themeColor="text1" w:themeTint="80"/>
          <w:sz w:val="21"/>
          <w:szCs w:val="21"/>
          <w:lang w:val="sr-Cyrl-RS"/>
        </w:rPr>
        <w:t>Потребно је да се подржи развој тржишта државних хартија од вредности које се емитују на домаћем и међународном тржишту, како би развијено тржиште помогло у смањењу трошкова задуживања у средњем и дугом року, у складу са висококвалитетном диверсификацијом портфолија дуга</w:t>
      </w:r>
      <w:r w:rsidRPr="0014244D">
        <w:rPr>
          <w:rFonts w:asciiTheme="majorHAnsi" w:hAnsiTheme="majorHAnsi"/>
          <w:bCs w:val="0"/>
          <w:color w:val="7F7F7F" w:themeColor="text1" w:themeTint="80"/>
          <w:sz w:val="21"/>
          <w:szCs w:val="21"/>
          <w:lang w:val="sr-Cyrl-RS"/>
        </w:rPr>
        <w:t>;</w:t>
      </w:r>
    </w:p>
    <w:p w:rsidR="00171A80" w:rsidRPr="00171A80" w:rsidRDefault="0014244D" w:rsidP="0014244D">
      <w:pPr>
        <w:rPr>
          <w:rFonts w:asciiTheme="majorHAnsi" w:hAnsiTheme="majorHAnsi"/>
          <w:bCs w:val="0"/>
          <w:color w:val="7F7F7F" w:themeColor="text1" w:themeTint="80"/>
          <w:sz w:val="21"/>
          <w:szCs w:val="21"/>
          <w:lang w:val="sr-Cyrl-RS"/>
        </w:rPr>
      </w:pPr>
      <w:r w:rsidRPr="0014244D">
        <w:rPr>
          <w:rFonts w:asciiTheme="majorHAnsi" w:hAnsiTheme="majorHAnsi"/>
          <w:bCs w:val="0"/>
          <w:color w:val="7F7F7F" w:themeColor="text1" w:themeTint="80"/>
          <w:sz w:val="21"/>
          <w:szCs w:val="21"/>
          <w:lang w:val="sr-Cyrl-RS"/>
        </w:rPr>
        <w:t xml:space="preserve">4) </w:t>
      </w:r>
      <w:r w:rsidR="0074731D" w:rsidRPr="0074731D">
        <w:rPr>
          <w:rFonts w:asciiTheme="majorHAnsi" w:hAnsiTheme="majorHAnsi"/>
          <w:bCs w:val="0"/>
          <w:color w:val="7F7F7F" w:themeColor="text1" w:themeTint="80"/>
          <w:sz w:val="21"/>
          <w:szCs w:val="21"/>
          <w:lang w:val="sr-Cyrl-RS"/>
        </w:rPr>
        <w:t>Потребно је омогућити транспарентност и предвидивост процеса задуживања</w:t>
      </w:r>
      <w:r w:rsidRPr="0014244D">
        <w:rPr>
          <w:rFonts w:asciiTheme="majorHAnsi" w:hAnsiTheme="majorHAnsi"/>
          <w:bCs w:val="0"/>
          <w:color w:val="7F7F7F" w:themeColor="text1" w:themeTint="80"/>
          <w:sz w:val="21"/>
          <w:szCs w:val="21"/>
          <w:lang w:val="sr-Cyrl-RS"/>
        </w:rPr>
        <w:t>.</w:t>
      </w:r>
    </w:p>
    <w:p w:rsidR="0074731D" w:rsidRPr="0074731D" w:rsidRDefault="0074731D" w:rsidP="00E54AD1">
      <w:pPr>
        <w:rPr>
          <w:rFonts w:asciiTheme="majorHAnsi" w:hAnsiTheme="majorHAnsi"/>
          <w:bCs w:val="0"/>
          <w:color w:val="7F7F7F" w:themeColor="text1" w:themeTint="80"/>
          <w:sz w:val="21"/>
          <w:szCs w:val="21"/>
          <w:lang w:val="sr-Cyrl-RS"/>
        </w:rPr>
      </w:pPr>
      <w:r w:rsidRPr="0074731D">
        <w:rPr>
          <w:rFonts w:asciiTheme="majorHAnsi" w:hAnsiTheme="majorHAnsi"/>
          <w:bCs w:val="0"/>
          <w:color w:val="7F7F7F" w:themeColor="text1" w:themeTint="80"/>
          <w:sz w:val="21"/>
          <w:szCs w:val="21"/>
          <w:lang w:val="sr-Cyrl-RS"/>
        </w:rPr>
        <w:t>Стратегија управљања јавним дугом треба да буде подржана, и конзистентна са, општим Владиним средњорочним макроекономским и фискалним оквиром.</w:t>
      </w:r>
    </w:p>
    <w:p w:rsidR="0074731D" w:rsidRPr="0074731D" w:rsidRDefault="0074731D" w:rsidP="00E54AD1">
      <w:pPr>
        <w:rPr>
          <w:rFonts w:asciiTheme="majorHAnsi" w:hAnsiTheme="majorHAnsi"/>
          <w:bCs w:val="0"/>
          <w:color w:val="7F7F7F" w:themeColor="text1" w:themeTint="80"/>
          <w:sz w:val="21"/>
          <w:szCs w:val="21"/>
          <w:lang w:val="sr-Cyrl-RS"/>
        </w:rPr>
      </w:pPr>
      <w:r w:rsidRPr="0074731D">
        <w:rPr>
          <w:rFonts w:asciiTheme="majorHAnsi" w:hAnsiTheme="majorHAnsi"/>
          <w:bCs w:val="0"/>
          <w:color w:val="7F7F7F" w:themeColor="text1" w:themeTint="80"/>
          <w:sz w:val="21"/>
          <w:szCs w:val="21"/>
          <w:lang w:val="sr-Cyrl-RS"/>
        </w:rPr>
        <w:t xml:space="preserve">Република Србија треба да узме у обзир бројна ограничења када разматра своју стратегију финансирања. Будући да је </w:t>
      </w:r>
      <w:r w:rsidRPr="0074731D">
        <w:rPr>
          <w:rFonts w:asciiTheme="majorHAnsi" w:hAnsiTheme="majorHAnsi"/>
          <w:color w:val="7F7F7F" w:themeColor="text1" w:themeTint="80"/>
          <w:sz w:val="21"/>
          <w:szCs w:val="21"/>
          <w:lang w:val="sr-Cyrl-RS"/>
        </w:rPr>
        <w:t>Република</w:t>
      </w:r>
      <w:r w:rsidRPr="0074731D">
        <w:rPr>
          <w:rFonts w:asciiTheme="majorHAnsi" w:hAnsiTheme="majorHAnsi"/>
          <w:bCs w:val="0"/>
          <w:color w:val="7F7F7F" w:themeColor="text1" w:themeTint="80"/>
          <w:sz w:val="21"/>
          <w:szCs w:val="21"/>
          <w:lang w:val="sr-Cyrl-RS"/>
        </w:rPr>
        <w:t xml:space="preserve"> Србија земља са средњим нивоом дохотка, суочава се са ограниченим изворима финансирања на домаћем и међународном финансијском тржишту, поготово у моменту када развијеније државе чланице ЕУ имају проблеме да обезбеде финансирање својих фискалних дефицита и рефинансирање доспелог дуга. Такође, постоје и </w:t>
      </w:r>
      <w:r w:rsidRPr="0074731D">
        <w:rPr>
          <w:rFonts w:asciiTheme="majorHAnsi" w:hAnsiTheme="majorHAnsi"/>
          <w:bCs w:val="0"/>
          <w:color w:val="7F7F7F" w:themeColor="text1" w:themeTint="80"/>
          <w:sz w:val="21"/>
          <w:szCs w:val="21"/>
          <w:lang w:val="sr-Cyrl-RS"/>
        </w:rPr>
        <w:lastRenderedPageBreak/>
        <w:t xml:space="preserve">стриктни услови по којима се држава може задуживати путем билатералних и мултилатералних кредитних аранжмана. </w:t>
      </w:r>
    </w:p>
    <w:p w:rsidR="0074731D" w:rsidRPr="0074731D" w:rsidRDefault="0074731D" w:rsidP="00E54AD1">
      <w:pPr>
        <w:rPr>
          <w:rFonts w:asciiTheme="majorHAnsi" w:hAnsiTheme="majorHAnsi"/>
          <w:bCs w:val="0"/>
          <w:color w:val="7F7F7F" w:themeColor="text1" w:themeTint="80"/>
          <w:sz w:val="21"/>
          <w:szCs w:val="21"/>
          <w:lang w:val="sr-Cyrl-RS"/>
        </w:rPr>
      </w:pPr>
      <w:r w:rsidRPr="0074731D">
        <w:rPr>
          <w:rFonts w:asciiTheme="majorHAnsi" w:hAnsiTheme="majorHAnsi"/>
          <w:bCs w:val="0"/>
          <w:color w:val="7F7F7F" w:themeColor="text1" w:themeTint="80"/>
          <w:sz w:val="21"/>
          <w:szCs w:val="21"/>
          <w:lang w:val="sr-Cyrl-RS"/>
        </w:rPr>
        <w:t>Имајући у виду напред наведена ограничења и могуће ризике, ипак је одлучено да се стратегија управљања јавним дугом у наредном средњорочном периоду усредсреди на финансирање издатака буџета Републике Србије углавном путем емисије државних хартија од вредности на међународном и домаћем тржишту капитала. Тренутна структура дуга је прилично хетерогена, имајући у виду наслеђе дуга из периода СФРЈ, ограниченост тржишних инструмената у прошлом периоду и специфичан статус у домену пројектног финансирања од развојних међународних финансијских институција. Тржиште државних хартија од вредности је још увек у развоју и један од принципа управљања јавним дугом је нужност постојања флексибилности, како би финансирање издатака буџета Републике Србије било обезбеђено. Флексибилност ће се огледати у домену избора тржишта на коме ће се вршити задуживање, валуте задуживања и инструмента финансирања. Избор структуре финансирања узимаће у обзир тренутно стање и тренд развоја домаћег и међународног финансијског тржишта (ниво каматних стопа, премије ризика, криву приноса, девизне курсеве референтних валута) и прихватљив ниво изложености финансијским ризицима.</w:t>
      </w:r>
    </w:p>
    <w:p w:rsidR="0074731D" w:rsidRPr="0074731D" w:rsidRDefault="0074731D" w:rsidP="00E54AD1">
      <w:pPr>
        <w:rPr>
          <w:rFonts w:asciiTheme="majorHAnsi" w:hAnsiTheme="majorHAnsi"/>
          <w:bCs w:val="0"/>
          <w:color w:val="7F7F7F" w:themeColor="text1" w:themeTint="80"/>
          <w:sz w:val="21"/>
          <w:szCs w:val="21"/>
          <w:lang w:val="sr-Cyrl-RS"/>
        </w:rPr>
      </w:pPr>
      <w:r w:rsidRPr="0074731D">
        <w:rPr>
          <w:rFonts w:asciiTheme="majorHAnsi" w:hAnsiTheme="majorHAnsi"/>
          <w:bCs w:val="0"/>
          <w:color w:val="7F7F7F" w:themeColor="text1" w:themeTint="80"/>
          <w:sz w:val="21"/>
          <w:szCs w:val="21"/>
          <w:lang w:val="sr-Cyrl-RS"/>
        </w:rPr>
        <w:t>Циљ је да се у наредном дугорочном периоду финансирање обавља кроз емитовање углавном динарских хартија од вредности на домаћем тржишту, међутим тренутна ситуација упућује да упркос чврстој одлучности ка развоју домаћег тржишта државних хартија од вредности, један део финансирања мора бити обезбеђен у наредном средњорочном периоду на међународном финансијском тржишту. Смернице за финансирање на међународном тржишту у ино-валути биће да се обезбеди приступ великом броју инвеститора на различитим деловима међународног финансијског тржишта, да се задуживање у ино-валути по могућности дефинише у складу са отплатама дуга деноминованог у страној валути укључујући и камате на ове дугове и да се задуживање на овом тржишту може спроводити и у ситуацијама када су финансијски услови повољнији него на домаћем тржишту, и у циљу стабилизације јавних финансија приликом реализације фискалних ризика.</w:t>
      </w:r>
    </w:p>
    <w:p w:rsidR="0074731D" w:rsidRPr="0074731D" w:rsidRDefault="0074731D" w:rsidP="00E54AD1">
      <w:pPr>
        <w:rPr>
          <w:rFonts w:asciiTheme="majorHAnsi" w:hAnsiTheme="majorHAnsi"/>
          <w:bCs w:val="0"/>
          <w:color w:val="7F7F7F" w:themeColor="text1" w:themeTint="80"/>
          <w:sz w:val="21"/>
          <w:szCs w:val="21"/>
          <w:lang w:val="sr-Cyrl-RS"/>
        </w:rPr>
      </w:pPr>
      <w:r w:rsidRPr="0074731D">
        <w:rPr>
          <w:rFonts w:asciiTheme="majorHAnsi" w:hAnsiTheme="majorHAnsi"/>
          <w:bCs w:val="0"/>
          <w:color w:val="7F7F7F" w:themeColor="text1" w:themeTint="80"/>
          <w:sz w:val="21"/>
          <w:szCs w:val="21"/>
          <w:lang w:val="sr-Cyrl-RS"/>
        </w:rPr>
        <w:t xml:space="preserve">Позајмљивање у страној валути за собом повлачи и девизни ризик услед промене курсева динар - евро и евро - амерички долар, што пред управљање јавним дугом ставља задатак да се активно разматра и користи могућност хеџинга уколико се позајмљивање не врши у динарима или еврима. </w:t>
      </w:r>
    </w:p>
    <w:p w:rsidR="00171A80" w:rsidRDefault="0074731D" w:rsidP="0074731D">
      <w:pPr>
        <w:spacing w:after="0"/>
        <w:rPr>
          <w:rFonts w:asciiTheme="majorHAnsi" w:hAnsiTheme="majorHAnsi"/>
          <w:bCs w:val="0"/>
          <w:color w:val="7F7F7F" w:themeColor="text1" w:themeTint="80"/>
          <w:sz w:val="21"/>
          <w:szCs w:val="21"/>
          <w:lang w:val="sr-Cyrl-RS"/>
        </w:rPr>
      </w:pPr>
      <w:r w:rsidRPr="0074731D">
        <w:rPr>
          <w:rFonts w:asciiTheme="majorHAnsi" w:hAnsiTheme="majorHAnsi"/>
          <w:bCs w:val="0"/>
          <w:color w:val="7F7F7F" w:themeColor="text1" w:themeTint="80"/>
          <w:sz w:val="21"/>
          <w:szCs w:val="21"/>
          <w:lang w:val="sr-Cyrl-RS"/>
        </w:rPr>
        <w:t>Политика управљања јавним дугом мора да узме у обзир дугорочну перспективу, али се одлука о финансирању буџетских издатака мора доносити годишње. Одлука о годишњем задуживању се доноси у оквиру закона о буџету за одређену фискалну годину у зависности од промене основних фискалних агрегата могућа је корекција плана задуживања током фискалне године</w:t>
      </w:r>
      <w:r w:rsidR="0014244D" w:rsidRPr="0014244D">
        <w:rPr>
          <w:rFonts w:asciiTheme="majorHAnsi" w:hAnsiTheme="majorHAnsi"/>
          <w:bCs w:val="0"/>
          <w:color w:val="7F7F7F" w:themeColor="text1" w:themeTint="80"/>
          <w:sz w:val="21"/>
          <w:szCs w:val="21"/>
          <w:lang w:val="sr-Cyrl-RS"/>
        </w:rPr>
        <w:t>.</w:t>
      </w:r>
    </w:p>
    <w:p w:rsidR="003274D9" w:rsidRPr="00171A80" w:rsidRDefault="003274D9" w:rsidP="003274D9">
      <w:pPr>
        <w:spacing w:after="0"/>
        <w:rPr>
          <w:rFonts w:asciiTheme="majorHAnsi" w:hAnsiTheme="majorHAnsi"/>
          <w:bCs w:val="0"/>
          <w:color w:val="7F7F7F" w:themeColor="text1" w:themeTint="80"/>
          <w:sz w:val="21"/>
          <w:szCs w:val="21"/>
          <w:lang w:val="sr-Cyrl-RS"/>
        </w:rPr>
      </w:pPr>
    </w:p>
    <w:p w:rsidR="00171A80" w:rsidRDefault="00171A80" w:rsidP="003274D9">
      <w:pPr>
        <w:pStyle w:val="IFS2012Naslov2"/>
        <w:rPr>
          <w:lang w:val="sr-Cyrl-RS" w:eastAsia="ko-KR"/>
        </w:rPr>
      </w:pPr>
      <w:bookmarkStart w:id="63" w:name="_Toc337117133"/>
      <w:bookmarkStart w:id="64" w:name="_Toc407617172"/>
      <w:r w:rsidRPr="00171A80">
        <w:rPr>
          <w:lang w:val="sr-Cyrl-RS" w:eastAsia="ko-KR"/>
        </w:rPr>
        <w:t>Финансијски ризици и јавни дуг</w:t>
      </w:r>
      <w:bookmarkEnd w:id="63"/>
      <w:bookmarkEnd w:id="64"/>
    </w:p>
    <w:p w:rsidR="003274D9" w:rsidRPr="00171A80" w:rsidRDefault="003274D9" w:rsidP="003274D9">
      <w:pPr>
        <w:pStyle w:val="IFS2012Naslov2"/>
        <w:numPr>
          <w:ilvl w:val="0"/>
          <w:numId w:val="0"/>
        </w:numPr>
        <w:ind w:left="714"/>
        <w:rPr>
          <w:lang w:val="sr-Cyrl-RS" w:eastAsia="ko-KR"/>
        </w:rPr>
      </w:pPr>
    </w:p>
    <w:p w:rsidR="00171A80" w:rsidRPr="00171A80" w:rsidRDefault="000E5A59" w:rsidP="00171A80">
      <w:pPr>
        <w:rPr>
          <w:rFonts w:asciiTheme="majorHAnsi" w:hAnsiTheme="majorHAnsi"/>
          <w:bCs w:val="0"/>
          <w:color w:val="7F7F7F" w:themeColor="text1" w:themeTint="80"/>
          <w:sz w:val="21"/>
          <w:szCs w:val="21"/>
          <w:lang w:val="sr-Cyrl-RS"/>
        </w:rPr>
      </w:pPr>
      <w:r w:rsidRPr="000E5A59">
        <w:rPr>
          <w:rFonts w:asciiTheme="majorHAnsi" w:hAnsiTheme="majorHAnsi"/>
          <w:bCs w:val="0"/>
          <w:color w:val="7F7F7F" w:themeColor="text1" w:themeTint="80"/>
          <w:sz w:val="21"/>
          <w:szCs w:val="21"/>
          <w:lang w:val="sr-Cyrl-RS"/>
        </w:rPr>
        <w:t>Финансијски и фискални ризици могу довести до раста јавног дуга већег него што га предвиђа основни сценарио. Ризици који су присутни и који могу да доведу до раста задужености и трошкова сервисирања јавног дуга су</w:t>
      </w:r>
      <w:r w:rsidR="00171A80" w:rsidRPr="00171A80">
        <w:rPr>
          <w:rFonts w:asciiTheme="majorHAnsi" w:hAnsiTheme="majorHAnsi"/>
          <w:bCs w:val="0"/>
          <w:color w:val="7F7F7F" w:themeColor="text1" w:themeTint="80"/>
          <w:sz w:val="21"/>
          <w:szCs w:val="21"/>
          <w:lang w:val="sr-Cyrl-RS"/>
        </w:rPr>
        <w:t>:</w:t>
      </w:r>
    </w:p>
    <w:p w:rsidR="00171A80" w:rsidRPr="00171A80" w:rsidRDefault="00171A80" w:rsidP="00171A80">
      <w:pPr>
        <w:numPr>
          <w:ilvl w:val="0"/>
          <w:numId w:val="9"/>
        </w:numPr>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ризици рефинансирања;</w:t>
      </w:r>
    </w:p>
    <w:p w:rsidR="00171A80" w:rsidRPr="00171A80" w:rsidRDefault="00171A80" w:rsidP="00171A80">
      <w:pPr>
        <w:numPr>
          <w:ilvl w:val="0"/>
          <w:numId w:val="9"/>
        </w:numPr>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девизни ризик;</w:t>
      </w:r>
    </w:p>
    <w:p w:rsidR="00171A80" w:rsidRPr="00171A80" w:rsidRDefault="00171A80" w:rsidP="00171A80">
      <w:pPr>
        <w:numPr>
          <w:ilvl w:val="0"/>
          <w:numId w:val="9"/>
        </w:numPr>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тржишни ризик (ризик каматних стопа, ризик инфлације);</w:t>
      </w:r>
    </w:p>
    <w:p w:rsidR="00171A80" w:rsidRPr="00171A80" w:rsidRDefault="00171A80" w:rsidP="00171A80">
      <w:pPr>
        <w:numPr>
          <w:ilvl w:val="0"/>
          <w:numId w:val="9"/>
        </w:numPr>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ризик ликвидности;</w:t>
      </w:r>
    </w:p>
    <w:p w:rsidR="00171A80" w:rsidRPr="00116FE1" w:rsidRDefault="00171A80" w:rsidP="002A2FE2">
      <w:pPr>
        <w:numPr>
          <w:ilvl w:val="0"/>
          <w:numId w:val="9"/>
        </w:numPr>
        <w:ind w:left="454" w:hanging="227"/>
        <w:rPr>
          <w:rFonts w:asciiTheme="majorHAnsi" w:hAnsiTheme="majorHAnsi"/>
          <w:color w:val="7F7F7F" w:themeColor="text1" w:themeTint="80"/>
          <w:sz w:val="21"/>
          <w:szCs w:val="21"/>
          <w:lang w:val="sr-Cyrl-RS"/>
        </w:rPr>
      </w:pPr>
      <w:r w:rsidRPr="00116FE1">
        <w:rPr>
          <w:rFonts w:asciiTheme="majorHAnsi" w:hAnsiTheme="majorHAnsi"/>
          <w:color w:val="7F7F7F" w:themeColor="text1" w:themeTint="80"/>
          <w:sz w:val="21"/>
          <w:szCs w:val="21"/>
          <w:lang w:val="sr-Cyrl-RS"/>
        </w:rPr>
        <w:t>кредитни</w:t>
      </w:r>
      <w:r w:rsidR="00116FE1" w:rsidRPr="00116FE1">
        <w:rPr>
          <w:rFonts w:asciiTheme="majorHAnsi" w:hAnsiTheme="majorHAnsi"/>
          <w:color w:val="7F7F7F" w:themeColor="text1" w:themeTint="80"/>
          <w:sz w:val="21"/>
          <w:szCs w:val="21"/>
          <w:lang w:val="sr-Cyrl-RS"/>
        </w:rPr>
        <w:t xml:space="preserve"> и </w:t>
      </w:r>
      <w:r w:rsidRPr="00116FE1">
        <w:rPr>
          <w:rFonts w:asciiTheme="majorHAnsi" w:hAnsiTheme="majorHAnsi"/>
          <w:color w:val="7F7F7F" w:themeColor="text1" w:themeTint="80"/>
          <w:sz w:val="21"/>
          <w:szCs w:val="21"/>
          <w:lang w:val="sr-Cyrl-RS"/>
        </w:rPr>
        <w:t>оперативни ризици;</w:t>
      </w:r>
    </w:p>
    <w:p w:rsidR="00171A80" w:rsidRPr="00171A80" w:rsidRDefault="00171A80" w:rsidP="00171A80">
      <w:pPr>
        <w:numPr>
          <w:ilvl w:val="0"/>
          <w:numId w:val="9"/>
        </w:numPr>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 xml:space="preserve">ризици везани за дистрибуцију трошкова сервисирања (структуру дуга, концентрација обавеза). </w:t>
      </w:r>
    </w:p>
    <w:p w:rsidR="00171A80" w:rsidRPr="00171A80" w:rsidRDefault="00171A80" w:rsidP="00171A80">
      <w:pPr>
        <w:rPr>
          <w:rFonts w:asciiTheme="majorHAnsi" w:hAnsiTheme="majorHAnsi"/>
          <w:bCs w:val="0"/>
          <w:color w:val="7F7F7F" w:themeColor="text1" w:themeTint="80"/>
          <w:sz w:val="21"/>
          <w:szCs w:val="21"/>
          <w:lang w:val="sr-Cyrl-RS"/>
        </w:rPr>
      </w:pPr>
      <w:r w:rsidRPr="00171A80">
        <w:rPr>
          <w:rFonts w:asciiTheme="majorHAnsi" w:hAnsiTheme="majorHAnsi"/>
          <w:bCs w:val="0"/>
          <w:color w:val="7F7F7F" w:themeColor="text1" w:themeTint="80"/>
          <w:sz w:val="21"/>
          <w:szCs w:val="21"/>
          <w:lang w:val="sr-Cyrl-RS"/>
        </w:rPr>
        <w:lastRenderedPageBreak/>
        <w:t xml:space="preserve">У циљу смањења изложености финансијским ризицима потребно је спроводити следеће мере: </w:t>
      </w:r>
    </w:p>
    <w:p w:rsidR="00171A80" w:rsidRPr="00171A80" w:rsidRDefault="00171A80" w:rsidP="00171A80">
      <w:pPr>
        <w:numPr>
          <w:ilvl w:val="0"/>
          <w:numId w:val="10"/>
        </w:numPr>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ризик рефинансирања</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 xml:space="preserve">повећање учешћа средњорочних и дугорочних финансијских инструмената деноминованих у динарима </w:t>
      </w:r>
      <w:r>
        <w:rPr>
          <w:rFonts w:asciiTheme="majorHAnsi" w:hAnsiTheme="majorHAnsi"/>
          <w:color w:val="7F7F7F" w:themeColor="text1" w:themeTint="80"/>
          <w:sz w:val="21"/>
          <w:szCs w:val="21"/>
          <w:lang w:val="sr-Cyrl-RS"/>
        </w:rPr>
        <w:t>на домаћем финансијском тржишту</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равномерна расподела обавеза по основу јавног дуга на годишњем нивоу и током фискалне године у наредном дугорочном периоду</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продужавање просечне рочности дуга који се емитује у хартијама од вредности</w:t>
      </w:r>
      <w:r w:rsidR="00171A80" w:rsidRPr="00171A80">
        <w:rPr>
          <w:rFonts w:asciiTheme="majorHAnsi" w:hAnsiTheme="majorHAnsi"/>
          <w:color w:val="7F7F7F" w:themeColor="text1" w:themeTint="80"/>
          <w:sz w:val="21"/>
          <w:szCs w:val="21"/>
          <w:lang w:val="sr-Cyrl-RS"/>
        </w:rPr>
        <w:t>;</w:t>
      </w:r>
    </w:p>
    <w:p w:rsidR="00171A80" w:rsidRPr="00171A80" w:rsidRDefault="00171A80" w:rsidP="00171A80">
      <w:pPr>
        <w:numPr>
          <w:ilvl w:val="0"/>
          <w:numId w:val="10"/>
        </w:numPr>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 xml:space="preserve">девизни ризик </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настојање да се смањи учешће дуга деноминованог у ино-валути уз уважавање трошкова новог дуга (трошкови динаризације дуга</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коришћење финансијских деривата у циљу лимитирања ефеката промене курсева референтних валута</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настојање да спољни дуг буде углавном у еврима и да се доларски дуг користи само ако је финансирање на међународном тржишту у доларима јефтиније уз коришћење за лимитирање ризика финансијских деривата</w:t>
      </w:r>
      <w:r w:rsidR="00171A80" w:rsidRPr="00171A80">
        <w:rPr>
          <w:rFonts w:asciiTheme="majorHAnsi" w:hAnsiTheme="majorHAnsi"/>
          <w:color w:val="7F7F7F" w:themeColor="text1" w:themeTint="80"/>
          <w:sz w:val="21"/>
          <w:szCs w:val="21"/>
          <w:lang w:val="sr-Cyrl-RS"/>
        </w:rPr>
        <w:t>;</w:t>
      </w:r>
    </w:p>
    <w:p w:rsidR="00171A80" w:rsidRPr="00171A80" w:rsidRDefault="00171A80" w:rsidP="00171A80">
      <w:pPr>
        <w:numPr>
          <w:ilvl w:val="0"/>
          <w:numId w:val="10"/>
        </w:numPr>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тржишни ризик (ризик каматних стопа, ризик инфлације)</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настојање да се продужи дурација домаћег дуга у динарима</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емитовање индексираних обвезница (индексација каматних стопа)</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ризик по основу каматне стопе на спољни дуг не угрожава дугорочни циљ минимизације трошкова јавног дуга</w:t>
      </w:r>
      <w:r w:rsidR="00171A80" w:rsidRPr="00171A80">
        <w:rPr>
          <w:rFonts w:asciiTheme="majorHAnsi" w:hAnsiTheme="majorHAnsi"/>
          <w:color w:val="7F7F7F" w:themeColor="text1" w:themeTint="80"/>
          <w:sz w:val="21"/>
          <w:szCs w:val="21"/>
          <w:lang w:val="sr-Cyrl-RS"/>
        </w:rPr>
        <w:t xml:space="preserve">; </w:t>
      </w:r>
    </w:p>
    <w:p w:rsidR="00171A80" w:rsidRPr="00171A80" w:rsidRDefault="00171A80" w:rsidP="00171A80">
      <w:pPr>
        <w:numPr>
          <w:ilvl w:val="0"/>
          <w:numId w:val="10"/>
        </w:numPr>
        <w:spacing w:before="120"/>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ризик ликвидности</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перманентно одржавање нивоа готовине на рачунима Републике Србије на нивоу који омогућава несметано финансирање обавеза у минимуму од четири месеца и на нивоу који омогућава амортизацију евентуалних мањих прилива по основу задуживања у односу на план</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адекватно управљање слободним готовинским средствима на рачунима Републике Србије у складу са принципима asset-liability management</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редефинисање уговора са НБС за пласирање динарских и девизних средстава и евентуалне измене закона о девизном пословању. Давање могућности држави да врши откуп релативно скупљег дуга вишковима ликвидности</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аутоматско извршавање налога у систему Трезора Републике како се не би стварале доцње (краткорочне обавезе - дугови) у систему и поштовање Правилника о систему извршења буџета</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8"/>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консолидација поред динарских и девизних средстава у оквиру консолидованог система трезора који се води код НБС и коришћење девизних средстава за активно управљање са ликвидношћу на динарском рачуну извршења буџета</w:t>
      </w:r>
      <w:r w:rsidR="00171A80" w:rsidRPr="00171A80">
        <w:rPr>
          <w:rFonts w:asciiTheme="majorHAnsi" w:hAnsiTheme="majorHAnsi"/>
          <w:color w:val="7F7F7F" w:themeColor="text1" w:themeTint="80"/>
          <w:sz w:val="21"/>
          <w:szCs w:val="21"/>
          <w:lang w:val="sr-Cyrl-RS"/>
        </w:rPr>
        <w:t>;</w:t>
      </w:r>
    </w:p>
    <w:p w:rsidR="00171A80" w:rsidRPr="00171A80" w:rsidRDefault="00171A80" w:rsidP="00171A80">
      <w:pPr>
        <w:numPr>
          <w:ilvl w:val="0"/>
          <w:numId w:val="10"/>
        </w:numPr>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кредитни и оперативни ризици</w:t>
      </w:r>
    </w:p>
    <w:p w:rsidR="00171A80" w:rsidRPr="00171A80" w:rsidRDefault="000E5A59" w:rsidP="00171A80">
      <w:pPr>
        <w:numPr>
          <w:ilvl w:val="0"/>
          <w:numId w:val="11"/>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трансакције са финансијским дериватима могу бити само спровођене са финансијским институцијама које имају висок кредитни рејтинг</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11"/>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коришћење финансијских инструмената који лимитирају кредитни ризик</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11"/>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давање гаранција и одобравање новог дуга локалним властима само ако постоји адекватна анализа о релативно ниском степену вероватноће да се реализује гаранција у средњорочном периоду, што треба регулисати законским одредбама</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11"/>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lastRenderedPageBreak/>
        <w:t>увођење адекватне контроле у свим пословним активностима у Управи за јавни дуг и унапређење знања запослених за шта је потребно повећати лимит броја запослених и одобрити адекватна буџетска средства</w:t>
      </w:r>
      <w:r w:rsidR="00171A80" w:rsidRPr="00171A80">
        <w:rPr>
          <w:rFonts w:asciiTheme="majorHAnsi" w:hAnsiTheme="majorHAnsi"/>
          <w:color w:val="7F7F7F" w:themeColor="text1" w:themeTint="80"/>
          <w:sz w:val="21"/>
          <w:szCs w:val="21"/>
          <w:lang w:val="sr-Cyrl-RS"/>
        </w:rPr>
        <w:t>;</w:t>
      </w:r>
    </w:p>
    <w:p w:rsidR="00171A80" w:rsidRPr="00171A80" w:rsidRDefault="000E5A59" w:rsidP="00171A80">
      <w:pPr>
        <w:numPr>
          <w:ilvl w:val="0"/>
          <w:numId w:val="11"/>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доградња и унапређење постојећег информационог система за праћење јавног дуга и операција са њим</w:t>
      </w:r>
      <w:r w:rsidR="00171A80" w:rsidRPr="00171A80">
        <w:rPr>
          <w:rFonts w:asciiTheme="majorHAnsi" w:hAnsiTheme="majorHAnsi"/>
          <w:color w:val="7F7F7F" w:themeColor="text1" w:themeTint="80"/>
          <w:sz w:val="21"/>
          <w:szCs w:val="21"/>
          <w:lang w:val="sr-Cyrl-RS"/>
        </w:rPr>
        <w:t>;</w:t>
      </w:r>
    </w:p>
    <w:p w:rsidR="00171A80" w:rsidRPr="00171A80" w:rsidRDefault="00171A80" w:rsidP="00171A80">
      <w:pPr>
        <w:numPr>
          <w:ilvl w:val="0"/>
          <w:numId w:val="10"/>
        </w:numPr>
        <w:ind w:left="454" w:hanging="227"/>
        <w:rPr>
          <w:rFonts w:asciiTheme="majorHAnsi" w:hAnsiTheme="majorHAnsi"/>
          <w:color w:val="7F7F7F" w:themeColor="text1" w:themeTint="80"/>
          <w:sz w:val="21"/>
          <w:szCs w:val="21"/>
          <w:lang w:val="sr-Cyrl-RS"/>
        </w:rPr>
      </w:pPr>
      <w:r w:rsidRPr="00171A80">
        <w:rPr>
          <w:rFonts w:asciiTheme="majorHAnsi" w:hAnsiTheme="majorHAnsi"/>
          <w:color w:val="7F7F7F" w:themeColor="text1" w:themeTint="80"/>
          <w:sz w:val="21"/>
          <w:szCs w:val="21"/>
          <w:lang w:val="sr-Cyrl-RS"/>
        </w:rPr>
        <w:t>ризици везани за дистрибуцију трошкова сервисирања</w:t>
      </w:r>
    </w:p>
    <w:p w:rsidR="00171A80" w:rsidRPr="00171A80" w:rsidRDefault="000E5A59" w:rsidP="00171A80">
      <w:pPr>
        <w:numPr>
          <w:ilvl w:val="0"/>
          <w:numId w:val="12"/>
        </w:numPr>
        <w:spacing w:before="120"/>
        <w:rPr>
          <w:rFonts w:asciiTheme="majorHAnsi" w:hAnsiTheme="majorHAnsi"/>
          <w:color w:val="7F7F7F" w:themeColor="text1" w:themeTint="80"/>
          <w:sz w:val="21"/>
          <w:szCs w:val="21"/>
          <w:lang w:val="sr-Cyrl-RS"/>
        </w:rPr>
      </w:pPr>
      <w:r w:rsidRPr="000E5A59">
        <w:rPr>
          <w:rFonts w:asciiTheme="majorHAnsi" w:hAnsiTheme="majorHAnsi"/>
          <w:color w:val="7F7F7F" w:themeColor="text1" w:themeTint="80"/>
          <w:sz w:val="21"/>
          <w:szCs w:val="21"/>
          <w:lang w:val="sr-Cyrl-RS"/>
        </w:rPr>
        <w:t>адекватно планирање задуживања на годишњем нивоу и равномерна расподела у наредним годинама и током фискалне године како би се избегао ризик велике концентрације обавеза за рефинансирање</w:t>
      </w:r>
      <w:r w:rsidR="00171A80" w:rsidRPr="00171A80">
        <w:rPr>
          <w:rFonts w:asciiTheme="majorHAnsi" w:hAnsiTheme="majorHAnsi"/>
          <w:color w:val="7F7F7F" w:themeColor="text1" w:themeTint="80"/>
          <w:sz w:val="21"/>
          <w:szCs w:val="21"/>
          <w:lang w:val="sr-Cyrl-RS"/>
        </w:rPr>
        <w:t>;</w:t>
      </w:r>
    </w:p>
    <w:p w:rsidR="00116FE1" w:rsidRPr="00E54AD1" w:rsidRDefault="000E5A59" w:rsidP="00E54AD1">
      <w:pPr>
        <w:numPr>
          <w:ilvl w:val="0"/>
          <w:numId w:val="13"/>
        </w:numPr>
        <w:spacing w:before="120" w:line="276" w:lineRule="auto"/>
        <w:rPr>
          <w:rFonts w:asciiTheme="majorHAnsi" w:eastAsia="Calibri" w:hAnsiTheme="majorHAnsi" w:cs="Times New Roman"/>
          <w:bCs w:val="0"/>
          <w:color w:val="7F7F7F" w:themeColor="text1" w:themeTint="80"/>
          <w:sz w:val="21"/>
          <w:szCs w:val="21"/>
          <w:lang w:val="sr-Cyrl-RS"/>
        </w:rPr>
      </w:pPr>
      <w:r w:rsidRPr="000E5A59">
        <w:rPr>
          <w:rFonts w:asciiTheme="majorHAnsi" w:eastAsia="Calibri" w:hAnsiTheme="majorHAnsi" w:cs="Times New Roman"/>
          <w:bCs w:val="0"/>
          <w:color w:val="7F7F7F" w:themeColor="text1" w:themeTint="80"/>
          <w:sz w:val="21"/>
          <w:szCs w:val="21"/>
          <w:lang w:val="sr-Cyrl-RS"/>
        </w:rPr>
        <w:t>избегавање концентрације обавеза по основу јавног дуга на месечном нивоу, који не би могао бити амортизован слободним новчаним средствима на рачунима Републике Србије</w:t>
      </w:r>
      <w:r w:rsidR="00171A80" w:rsidRPr="00171A80">
        <w:rPr>
          <w:rFonts w:asciiTheme="majorHAnsi" w:eastAsia="Calibri" w:hAnsiTheme="majorHAnsi" w:cs="Times New Roman"/>
          <w:bCs w:val="0"/>
          <w:color w:val="7F7F7F" w:themeColor="text1" w:themeTint="80"/>
          <w:sz w:val="21"/>
          <w:szCs w:val="21"/>
          <w:lang w:val="sr-Cyrl-RS"/>
        </w:rPr>
        <w:t>.</w:t>
      </w:r>
    </w:p>
    <w:p w:rsidR="00171A80" w:rsidRPr="00171A80" w:rsidRDefault="00171A80" w:rsidP="001067B8">
      <w:pPr>
        <w:ind w:firstLine="0"/>
        <w:rPr>
          <w:rFonts w:asciiTheme="majorHAnsi" w:hAnsiTheme="majorHAnsi"/>
          <w:b/>
          <w:bCs w:val="0"/>
          <w:i/>
          <w:color w:val="51671F"/>
          <w:szCs w:val="22"/>
          <w:lang w:val="sr-Cyrl-RS"/>
        </w:rPr>
      </w:pPr>
      <w:r w:rsidRPr="00171A80">
        <w:rPr>
          <w:rFonts w:asciiTheme="majorHAnsi" w:hAnsiTheme="majorHAnsi"/>
          <w:b/>
          <w:bCs w:val="0"/>
          <w:i/>
          <w:color w:val="51671F"/>
          <w:szCs w:val="22"/>
          <w:lang w:val="sr-Cyrl-RS"/>
        </w:rPr>
        <w:t>Kвантификацијa ризика заснована на Cost-at-Risk (CaR) моделу</w:t>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 xml:space="preserve">Управа за јавни дуг примењује квантификацију ризика засновану на Cost-at-Risk (CaR) моделу, који је развијен у сарадњи са тимом експерата пројекта ЕУ „Подршка Министарству финансија Управи за трезор и Управи за јавни дуг у изградњи капацитета”, ИПА 2010. Методолошки алат Трошак при ризику (Cost-at-risk) се ослања на концепт Вредности при ризику (Value-at-risk) и служи за оцену степена изложености тржишним ризицима. Употребна вредност овог алата се огледа у пружању могућности финансијским институцијама да одреде ниво финансијских средстава (резерви) које ће им омогућити успешну апсорпцију шокова изазваних екстремно неповољним кретањима у факторима ових ризика. </w:t>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Вредност Трошка при ризику (Cost-at-risk) представља максимални губитак, односно увећање очекиваних трошкова, у изабраном временском периоду уз одређену вероватноћу - најчешће у распону од 90% до 99%. Моделом су обухваћена два најважнија фактора ризика која утичу на износ средстава потребних за сервисирање јавног дуга у наредном периоду - каматни и валутни ризик. Модел оцењује укупни и појединачни допринос обе врсте ризика укупном ризику израженом у динарима.</w:t>
      </w:r>
    </w:p>
    <w:p w:rsidR="00171A80"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Користећи Монте Карло симулацију, уз изабрани број симулираних путања (пројекција), одређује се заједничка дистрибуција ова два фактора ризика и перцентил те расподеле који одговара изабраном нивоу поверења. Другим речима, модел ће на основу великог броја различитих сценарија кретања валутних курсева и каматних стопа одредити ниво промене, односно увећања средстава потребних за сервисирање јавног дуга у односу на пројектоване износе, који неће бити надмашен са процентом вероватноће који ће одговарати изабраном нивоу поверења</w:t>
      </w:r>
      <w:r>
        <w:rPr>
          <w:rFonts w:asciiTheme="majorHAnsi" w:hAnsiTheme="majorHAnsi"/>
          <w:bCs w:val="0"/>
          <w:color w:val="7F7F7F" w:themeColor="text1" w:themeTint="80"/>
          <w:sz w:val="21"/>
          <w:szCs w:val="21"/>
          <w:lang w:val="sr-Cyrl-RS"/>
        </w:rPr>
        <w:t>.</w:t>
      </w:r>
    </w:p>
    <w:p w:rsidR="00171A80" w:rsidRPr="00171A80" w:rsidRDefault="0038616A" w:rsidP="002A5649">
      <w:pPr>
        <w:ind w:firstLine="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t>Графикон 3</w:t>
      </w:r>
      <w:r w:rsidR="00BC66CD">
        <w:rPr>
          <w:rFonts w:asciiTheme="majorHAnsi" w:hAnsiTheme="majorHAnsi"/>
          <w:b/>
          <w:bCs w:val="0"/>
          <w:color w:val="7F7F7F" w:themeColor="text1" w:themeTint="80"/>
          <w:sz w:val="21"/>
          <w:szCs w:val="21"/>
          <w:lang w:val="sr-Cyrl-RS"/>
        </w:rPr>
        <w:t>2</w:t>
      </w:r>
      <w:r w:rsidR="00171A80" w:rsidRPr="00171A80">
        <w:rPr>
          <w:rFonts w:asciiTheme="majorHAnsi" w:hAnsiTheme="majorHAnsi"/>
          <w:b/>
          <w:bCs w:val="0"/>
          <w:color w:val="7F7F7F" w:themeColor="text1" w:themeTint="80"/>
          <w:sz w:val="21"/>
          <w:szCs w:val="21"/>
          <w:lang w:val="sr-Cyrl-RS"/>
        </w:rPr>
        <w:t>. Cost-at-Risk (CaR)</w:t>
      </w:r>
    </w:p>
    <w:p w:rsidR="00171A80" w:rsidRPr="00171A80" w:rsidRDefault="00171A80" w:rsidP="00171A80">
      <w:pPr>
        <w:jc w:val="center"/>
        <w:rPr>
          <w:rFonts w:asciiTheme="majorHAnsi" w:hAnsiTheme="majorHAnsi"/>
          <w:bCs w:val="0"/>
          <w:sz w:val="21"/>
          <w:szCs w:val="21"/>
          <w:lang w:val="sr-Cyrl-RS"/>
        </w:rPr>
      </w:pPr>
      <w:r w:rsidRPr="00171A80">
        <w:rPr>
          <w:noProof/>
          <w:lang w:val="en-US"/>
        </w:rPr>
        <w:drawing>
          <wp:inline distT="0" distB="0" distL="0" distR="0" wp14:anchorId="5A66210A" wp14:editId="1B0E6ADB">
            <wp:extent cx="4699221" cy="2385391"/>
            <wp:effectExtent l="0" t="0" r="635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lastRenderedPageBreak/>
        <w:t>Симулације се базирају на структури портфолија хартија од вредности јавног дуга у посматраним периодима, односно комбинацији структуре портфолија хартија од вредности у садашњем тренутку, њених промена кроз време које су последица повезаних отплата главнице и камате (купона) и карактеристика нових задужења које уважавају основне принципе и циљеве постављене овом стратегијом.</w:t>
      </w:r>
    </w:p>
    <w:p w:rsidR="00171A80" w:rsidRPr="00171A80"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Модел показује да се у периоду од 31. октобра 2014. године до краја 2015. године, у најригорознијим условима - са нивоом поверења од 99%, износ потребан за сервисирање јавног дуга који припада портфолију хартија од вредности неће увећати изнад 30,6 милијарди динара у односу на износ потребан за сервисирање овог дела портфолија у условима непромењених курсева и камата. Хартије од вредности у портфолију јавног дуга су динарске хартије од вредности (државни записи и обвезнице) и хартије од вредности са фиксним купоном (еврообвезнице и обвезнице деноминоване у еврима емитоване на домаћем тржишту), па је каматни ризик у свим резултатима модела једнак нули. Валутни ризик је приказан у односу на курс динара према две валуте које су заступљене у портфолију - еврима и доларима. Курс РСД:ЕУР доприноси са 20,5 милијарди динара укупној вредности CaR-а, док је ризик од неповољног кретања курса РСД:УСД оцењен на нивоу од 10,1 милијарди динара. Модел указује на то да се са вероватноћом од 95%, односно 90% може рачунати на увећање трошкова сервисирања које ће бити мање од 22,9 односно 18,8 милијарде динара до краја 2015. године. Допринос курсева износи 15,7 и 7,2 милијарди динара за ниво поверења од 95%, односно 12,9 и 5,9 милијарди динара за ниво поверења од 90%. Коначно, вредност CaR-а на дну табеле од 4,2 милијарде динара за 2015. годину, приказује износ увећања сервисирања трошкова јавног дуга у односу на износ одређен тренутним вредностима фактора ризика (у овом случају курса динара према евру и долару) са 50% вероватноће</w:t>
      </w:r>
      <w:r w:rsidR="00171A80" w:rsidRPr="00171A80">
        <w:rPr>
          <w:rFonts w:asciiTheme="majorHAnsi" w:hAnsiTheme="majorHAnsi"/>
          <w:bCs w:val="0"/>
          <w:color w:val="7F7F7F" w:themeColor="text1" w:themeTint="80"/>
          <w:sz w:val="21"/>
          <w:szCs w:val="21"/>
          <w:lang w:val="sr-Cyrl-RS"/>
        </w:rPr>
        <w:t>.</w:t>
      </w:r>
    </w:p>
    <w:p w:rsidR="00171A80" w:rsidRPr="00171A80" w:rsidRDefault="00171A80" w:rsidP="00171A80">
      <w:pPr>
        <w:ind w:firstLine="0"/>
        <w:rPr>
          <w:rFonts w:asciiTheme="majorHAnsi" w:hAnsiTheme="majorHAnsi"/>
          <w:b/>
          <w:bCs w:val="0"/>
          <w:color w:val="7F7F7F" w:themeColor="text1" w:themeTint="80"/>
          <w:sz w:val="21"/>
          <w:szCs w:val="21"/>
          <w:lang w:val="sr-Cyrl-RS"/>
        </w:rPr>
      </w:pPr>
      <w:r w:rsidRPr="00171A80">
        <w:rPr>
          <w:rFonts w:asciiTheme="majorHAnsi" w:hAnsiTheme="majorHAnsi"/>
          <w:b/>
          <w:bCs w:val="0"/>
          <w:color w:val="7F7F7F" w:themeColor="text1" w:themeTint="80"/>
          <w:sz w:val="21"/>
          <w:szCs w:val="21"/>
          <w:lang w:val="sr-Cyrl-RS"/>
        </w:rPr>
        <w:t xml:space="preserve">Табела </w:t>
      </w:r>
      <w:r w:rsidR="0038616A">
        <w:rPr>
          <w:rFonts w:asciiTheme="majorHAnsi" w:hAnsiTheme="majorHAnsi"/>
          <w:b/>
          <w:bCs w:val="0"/>
          <w:color w:val="7F7F7F" w:themeColor="text1" w:themeTint="80"/>
          <w:sz w:val="21"/>
          <w:szCs w:val="21"/>
          <w:lang w:val="sr-Cyrl-RS"/>
        </w:rPr>
        <w:t>29</w:t>
      </w:r>
      <w:r w:rsidRPr="00171A80">
        <w:rPr>
          <w:rFonts w:asciiTheme="majorHAnsi" w:hAnsiTheme="majorHAnsi"/>
          <w:b/>
          <w:bCs w:val="0"/>
          <w:color w:val="7F7F7F" w:themeColor="text1" w:themeTint="80"/>
          <w:sz w:val="21"/>
          <w:szCs w:val="21"/>
          <w:lang w:val="sr-Cyrl-RS"/>
        </w:rPr>
        <w:t>. Резултати CaR модела</w:t>
      </w:r>
    </w:p>
    <w:tbl>
      <w:tblPr>
        <w:tblW w:w="8888" w:type="dxa"/>
        <w:jc w:val="center"/>
        <w:tblBorders>
          <w:top w:val="single" w:sz="8" w:space="0" w:color="76923C" w:themeColor="accent3" w:themeShade="BF"/>
          <w:bottom w:val="single" w:sz="8" w:space="0" w:color="76923C" w:themeColor="accent3" w:themeShade="BF"/>
        </w:tblBorders>
        <w:tblLook w:val="04A0" w:firstRow="1" w:lastRow="0" w:firstColumn="1" w:lastColumn="0" w:noHBand="0" w:noVBand="1"/>
      </w:tblPr>
      <w:tblGrid>
        <w:gridCol w:w="1057"/>
        <w:gridCol w:w="1031"/>
        <w:gridCol w:w="1820"/>
        <w:gridCol w:w="1603"/>
        <w:gridCol w:w="1602"/>
        <w:gridCol w:w="1775"/>
      </w:tblGrid>
      <w:tr w:rsidR="00171A80" w:rsidRPr="00171A80" w:rsidTr="009A027A">
        <w:trPr>
          <w:trHeight w:val="189"/>
          <w:jc w:val="center"/>
        </w:trPr>
        <w:tc>
          <w:tcPr>
            <w:tcW w:w="1057"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1031"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1820"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4980" w:type="dxa"/>
            <w:gridSpan w:val="3"/>
            <w:shd w:val="clear" w:color="auto" w:fill="auto"/>
            <w:noWrap/>
            <w:hideMark/>
          </w:tcPr>
          <w:p w:rsidR="00171A80" w:rsidRPr="00171A80" w:rsidRDefault="00171A80" w:rsidP="001044A0">
            <w:pPr>
              <w:spacing w:after="0"/>
              <w:ind w:firstLine="0"/>
              <w:jc w:val="center"/>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Период</w:t>
            </w:r>
            <w:r w:rsidR="001044A0">
              <w:rPr>
                <w:rFonts w:asciiTheme="majorHAnsi" w:hAnsiTheme="majorHAnsi"/>
                <w:b/>
                <w:bCs w:val="0"/>
                <w:color w:val="7F7F7F" w:themeColor="text1" w:themeTint="80"/>
                <w:sz w:val="20"/>
                <w:szCs w:val="20"/>
                <w:vertAlign w:val="superscript"/>
                <w:lang w:val="sr-Cyrl-RS"/>
              </w:rPr>
              <w:t>***</w:t>
            </w:r>
          </w:p>
        </w:tc>
      </w:tr>
      <w:tr w:rsidR="00171A80" w:rsidRPr="00171A80" w:rsidTr="009A027A">
        <w:trPr>
          <w:trHeight w:val="251"/>
          <w:jc w:val="center"/>
        </w:trPr>
        <w:tc>
          <w:tcPr>
            <w:tcW w:w="3908" w:type="dxa"/>
            <w:gridSpan w:val="3"/>
            <w:shd w:val="clear" w:color="auto" w:fill="EAF1DD" w:themeFill="accent3" w:themeFillTint="33"/>
            <w:noWrap/>
            <w:hideMark/>
          </w:tcPr>
          <w:p w:rsidR="00171A80" w:rsidRPr="00171A80" w:rsidRDefault="00171A80" w:rsidP="001044A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Вредности CaR</w:t>
            </w:r>
            <w:r w:rsidR="001044A0">
              <w:rPr>
                <w:rFonts w:asciiTheme="majorHAnsi" w:hAnsiTheme="majorHAnsi"/>
                <w:bCs w:val="0"/>
                <w:color w:val="7F7F7F" w:themeColor="text1" w:themeTint="80"/>
                <w:sz w:val="20"/>
                <w:szCs w:val="20"/>
                <w:vertAlign w:val="superscript"/>
                <w:lang w:val="sr-Cyrl-RS"/>
              </w:rPr>
              <w:t>*/**</w:t>
            </w:r>
          </w:p>
        </w:tc>
        <w:tc>
          <w:tcPr>
            <w:tcW w:w="1603" w:type="dxa"/>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2015</w:t>
            </w:r>
          </w:p>
        </w:tc>
        <w:tc>
          <w:tcPr>
            <w:tcW w:w="1602" w:type="dxa"/>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2016</w:t>
            </w:r>
          </w:p>
        </w:tc>
        <w:tc>
          <w:tcPr>
            <w:tcW w:w="1775" w:type="dxa"/>
            <w:shd w:val="clear" w:color="auto" w:fill="EAF1DD" w:themeFill="accent3" w:themeFillTint="33"/>
            <w:noWrap/>
            <w:hideMark/>
          </w:tcPr>
          <w:p w:rsidR="00171A80" w:rsidRPr="00171A80" w:rsidRDefault="00171A80" w:rsidP="00171A80">
            <w:pPr>
              <w:spacing w:after="0"/>
              <w:ind w:firstLine="0"/>
              <w:jc w:val="center"/>
              <w:rPr>
                <w:rFonts w:asciiTheme="majorHAnsi" w:hAnsiTheme="majorHAnsi"/>
                <w:b/>
                <w:bCs w:val="0"/>
                <w:color w:val="7F7F7F" w:themeColor="text1" w:themeTint="80"/>
                <w:sz w:val="20"/>
                <w:szCs w:val="20"/>
                <w:lang w:val="sr-Cyrl-RS"/>
              </w:rPr>
            </w:pPr>
            <w:r w:rsidRPr="00171A80">
              <w:rPr>
                <w:rFonts w:asciiTheme="majorHAnsi" w:hAnsiTheme="majorHAnsi"/>
                <w:b/>
                <w:bCs w:val="0"/>
                <w:color w:val="7F7F7F" w:themeColor="text1" w:themeTint="80"/>
                <w:sz w:val="20"/>
                <w:szCs w:val="20"/>
                <w:lang w:val="sr-Cyrl-RS"/>
              </w:rPr>
              <w:t>2017</w:t>
            </w:r>
          </w:p>
        </w:tc>
      </w:tr>
      <w:tr w:rsidR="00171A80" w:rsidRPr="00171A80" w:rsidTr="009A027A">
        <w:trPr>
          <w:trHeight w:val="147"/>
          <w:jc w:val="center"/>
        </w:trPr>
        <w:tc>
          <w:tcPr>
            <w:tcW w:w="3908" w:type="dxa"/>
            <w:gridSpan w:val="3"/>
            <w:shd w:val="clear" w:color="auto" w:fill="auto"/>
            <w:noWrap/>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1603" w:type="dxa"/>
            <w:shd w:val="clear" w:color="auto" w:fill="auto"/>
            <w:noWrap/>
          </w:tcPr>
          <w:p w:rsidR="00171A80" w:rsidRPr="00171A80" w:rsidRDefault="00171A80" w:rsidP="00171A80">
            <w:pPr>
              <w:spacing w:after="0"/>
              <w:ind w:firstLine="0"/>
              <w:jc w:val="center"/>
              <w:rPr>
                <w:rFonts w:asciiTheme="majorHAnsi" w:hAnsiTheme="majorHAnsi"/>
                <w:bCs w:val="0"/>
                <w:color w:val="7F7F7F" w:themeColor="text1" w:themeTint="80"/>
                <w:sz w:val="20"/>
                <w:szCs w:val="20"/>
                <w:lang w:val="sr-Cyrl-RS"/>
              </w:rPr>
            </w:pPr>
          </w:p>
        </w:tc>
        <w:tc>
          <w:tcPr>
            <w:tcW w:w="1602" w:type="dxa"/>
            <w:shd w:val="clear" w:color="auto" w:fill="auto"/>
            <w:noWrap/>
          </w:tcPr>
          <w:p w:rsidR="00171A80" w:rsidRPr="00171A80" w:rsidRDefault="00171A80" w:rsidP="00171A80">
            <w:pPr>
              <w:spacing w:after="0"/>
              <w:ind w:firstLine="0"/>
              <w:jc w:val="center"/>
              <w:rPr>
                <w:rFonts w:asciiTheme="majorHAnsi" w:hAnsiTheme="majorHAnsi"/>
                <w:bCs w:val="0"/>
                <w:color w:val="7F7F7F" w:themeColor="text1" w:themeTint="80"/>
                <w:sz w:val="20"/>
                <w:szCs w:val="20"/>
                <w:lang w:val="sr-Cyrl-RS"/>
              </w:rPr>
            </w:pPr>
          </w:p>
        </w:tc>
        <w:tc>
          <w:tcPr>
            <w:tcW w:w="1775" w:type="dxa"/>
            <w:shd w:val="clear" w:color="auto" w:fill="auto"/>
            <w:noWrap/>
          </w:tcPr>
          <w:p w:rsidR="00171A80" w:rsidRPr="00171A80" w:rsidRDefault="00171A80" w:rsidP="00171A80">
            <w:pPr>
              <w:spacing w:after="0"/>
              <w:ind w:firstLine="0"/>
              <w:jc w:val="center"/>
              <w:rPr>
                <w:rFonts w:asciiTheme="majorHAnsi" w:hAnsiTheme="majorHAnsi"/>
                <w:bCs w:val="0"/>
                <w:color w:val="7F7F7F" w:themeColor="text1" w:themeTint="80"/>
                <w:sz w:val="20"/>
                <w:szCs w:val="20"/>
                <w:lang w:val="sr-Cyrl-RS"/>
              </w:rPr>
            </w:pPr>
          </w:p>
        </w:tc>
      </w:tr>
      <w:tr w:rsidR="00171A80" w:rsidRPr="00171A80" w:rsidTr="009A027A">
        <w:trPr>
          <w:trHeight w:val="282"/>
          <w:jc w:val="center"/>
        </w:trPr>
        <w:tc>
          <w:tcPr>
            <w:tcW w:w="3908" w:type="dxa"/>
            <w:gridSpan w:val="3"/>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 xml:space="preserve">Апсолутни CaR (99-ти перцентил) </w:t>
            </w:r>
          </w:p>
        </w:tc>
        <w:tc>
          <w:tcPr>
            <w:tcW w:w="1603"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30.605.249</w:t>
            </w:r>
          </w:p>
        </w:tc>
        <w:tc>
          <w:tcPr>
            <w:tcW w:w="1602"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97.635.151</w:t>
            </w:r>
          </w:p>
        </w:tc>
        <w:tc>
          <w:tcPr>
            <w:tcW w:w="1775"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486.174.563</w:t>
            </w:r>
          </w:p>
        </w:tc>
      </w:tr>
      <w:tr w:rsidR="00171A80" w:rsidRPr="00171A80" w:rsidTr="009A027A">
        <w:trPr>
          <w:trHeight w:val="167"/>
          <w:jc w:val="center"/>
        </w:trPr>
        <w:tc>
          <w:tcPr>
            <w:tcW w:w="1057"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од тога</w:t>
            </w:r>
          </w:p>
        </w:tc>
        <w:tc>
          <w:tcPr>
            <w:tcW w:w="1031"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валутни</w:t>
            </w:r>
          </w:p>
        </w:tc>
        <w:tc>
          <w:tcPr>
            <w:tcW w:w="1820"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РСД:ЕУР</w:t>
            </w:r>
          </w:p>
        </w:tc>
        <w:tc>
          <w:tcPr>
            <w:tcW w:w="1603"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20.458.878</w:t>
            </w:r>
          </w:p>
        </w:tc>
        <w:tc>
          <w:tcPr>
            <w:tcW w:w="1602"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55.096.457</w:t>
            </w:r>
          </w:p>
        </w:tc>
        <w:tc>
          <w:tcPr>
            <w:tcW w:w="1775"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83.942.780</w:t>
            </w:r>
          </w:p>
        </w:tc>
      </w:tr>
      <w:tr w:rsidR="00171A80" w:rsidRPr="00171A80" w:rsidTr="009A027A">
        <w:trPr>
          <w:trHeight w:val="282"/>
          <w:jc w:val="center"/>
        </w:trPr>
        <w:tc>
          <w:tcPr>
            <w:tcW w:w="1057" w:type="dxa"/>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1031" w:type="dxa"/>
            <w:shd w:val="clear" w:color="auto" w:fill="EAF1DD" w:themeFill="accent3" w:themeFillTint="33"/>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p>
        </w:tc>
        <w:tc>
          <w:tcPr>
            <w:tcW w:w="1820" w:type="dxa"/>
            <w:shd w:val="clear" w:color="auto" w:fill="EAF1DD" w:themeFill="accent3" w:themeFillTint="33"/>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РСД:УСД</w:t>
            </w:r>
          </w:p>
        </w:tc>
        <w:tc>
          <w:tcPr>
            <w:tcW w:w="1603"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10.146.371</w:t>
            </w:r>
          </w:p>
        </w:tc>
        <w:tc>
          <w:tcPr>
            <w:tcW w:w="1602"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42.538.694</w:t>
            </w:r>
          </w:p>
        </w:tc>
        <w:tc>
          <w:tcPr>
            <w:tcW w:w="1775"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402.231.783</w:t>
            </w:r>
          </w:p>
        </w:tc>
      </w:tr>
      <w:tr w:rsidR="00171A80" w:rsidRPr="00171A80" w:rsidTr="009A027A">
        <w:trPr>
          <w:trHeight w:val="203"/>
          <w:jc w:val="center"/>
        </w:trPr>
        <w:tc>
          <w:tcPr>
            <w:tcW w:w="1057"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1031"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каматни</w:t>
            </w:r>
          </w:p>
        </w:tc>
        <w:tc>
          <w:tcPr>
            <w:tcW w:w="1820"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p>
        </w:tc>
        <w:tc>
          <w:tcPr>
            <w:tcW w:w="1603"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c>
          <w:tcPr>
            <w:tcW w:w="1602"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c>
          <w:tcPr>
            <w:tcW w:w="1775"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r>
      <w:tr w:rsidR="00171A80" w:rsidRPr="00171A80" w:rsidTr="009A027A">
        <w:trPr>
          <w:trHeight w:val="282"/>
          <w:jc w:val="center"/>
        </w:trPr>
        <w:tc>
          <w:tcPr>
            <w:tcW w:w="3908" w:type="dxa"/>
            <w:gridSpan w:val="3"/>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Апсолутни CaR (95-ти перцентил)</w:t>
            </w:r>
          </w:p>
        </w:tc>
        <w:tc>
          <w:tcPr>
            <w:tcW w:w="1603"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22.962.973</w:t>
            </w:r>
          </w:p>
        </w:tc>
        <w:tc>
          <w:tcPr>
            <w:tcW w:w="1602"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70.339.936</w:t>
            </w:r>
          </w:p>
        </w:tc>
        <w:tc>
          <w:tcPr>
            <w:tcW w:w="1775"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283.422.437</w:t>
            </w:r>
          </w:p>
        </w:tc>
      </w:tr>
      <w:tr w:rsidR="00171A80" w:rsidRPr="00171A80" w:rsidTr="009A027A">
        <w:trPr>
          <w:trHeight w:val="282"/>
          <w:jc w:val="center"/>
        </w:trPr>
        <w:tc>
          <w:tcPr>
            <w:tcW w:w="1057"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од тога</w:t>
            </w:r>
          </w:p>
        </w:tc>
        <w:tc>
          <w:tcPr>
            <w:tcW w:w="1031"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валутни</w:t>
            </w:r>
          </w:p>
        </w:tc>
        <w:tc>
          <w:tcPr>
            <w:tcW w:w="1820"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РСД:ЕУР</w:t>
            </w:r>
          </w:p>
        </w:tc>
        <w:tc>
          <w:tcPr>
            <w:tcW w:w="1603"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15.748.179</w:t>
            </w:r>
          </w:p>
        </w:tc>
        <w:tc>
          <w:tcPr>
            <w:tcW w:w="1602"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40.002.151</w:t>
            </w:r>
          </w:p>
        </w:tc>
        <w:tc>
          <w:tcPr>
            <w:tcW w:w="1775"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61.836.856</w:t>
            </w:r>
          </w:p>
        </w:tc>
      </w:tr>
      <w:tr w:rsidR="00171A80" w:rsidRPr="00171A80" w:rsidTr="009A027A">
        <w:trPr>
          <w:trHeight w:val="115"/>
          <w:jc w:val="center"/>
        </w:trPr>
        <w:tc>
          <w:tcPr>
            <w:tcW w:w="1057" w:type="dxa"/>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1031" w:type="dxa"/>
            <w:shd w:val="clear" w:color="auto" w:fill="EAF1DD" w:themeFill="accent3" w:themeFillTint="33"/>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p>
        </w:tc>
        <w:tc>
          <w:tcPr>
            <w:tcW w:w="1820" w:type="dxa"/>
            <w:shd w:val="clear" w:color="auto" w:fill="EAF1DD" w:themeFill="accent3" w:themeFillTint="33"/>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РСД:УСД</w:t>
            </w:r>
          </w:p>
        </w:tc>
        <w:tc>
          <w:tcPr>
            <w:tcW w:w="1603"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7.214.794</w:t>
            </w:r>
          </w:p>
        </w:tc>
        <w:tc>
          <w:tcPr>
            <w:tcW w:w="1602"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30.337.785</w:t>
            </w:r>
          </w:p>
        </w:tc>
        <w:tc>
          <w:tcPr>
            <w:tcW w:w="1775"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221.585.581</w:t>
            </w:r>
          </w:p>
        </w:tc>
      </w:tr>
      <w:tr w:rsidR="00171A80" w:rsidRPr="00171A80" w:rsidTr="009A027A">
        <w:trPr>
          <w:trHeight w:val="282"/>
          <w:jc w:val="center"/>
        </w:trPr>
        <w:tc>
          <w:tcPr>
            <w:tcW w:w="1057"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1031"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каматни</w:t>
            </w:r>
          </w:p>
        </w:tc>
        <w:tc>
          <w:tcPr>
            <w:tcW w:w="1820"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p>
        </w:tc>
        <w:tc>
          <w:tcPr>
            <w:tcW w:w="1603"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c>
          <w:tcPr>
            <w:tcW w:w="1602"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c>
          <w:tcPr>
            <w:tcW w:w="1775"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r>
      <w:tr w:rsidR="00171A80" w:rsidRPr="00171A80" w:rsidTr="009A027A">
        <w:trPr>
          <w:trHeight w:val="282"/>
          <w:jc w:val="center"/>
        </w:trPr>
        <w:tc>
          <w:tcPr>
            <w:tcW w:w="3908" w:type="dxa"/>
            <w:gridSpan w:val="3"/>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Апсолутни CaR (90-ти перцентил)</w:t>
            </w:r>
          </w:p>
        </w:tc>
        <w:tc>
          <w:tcPr>
            <w:tcW w:w="1603"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18.809.221</w:t>
            </w:r>
          </w:p>
        </w:tc>
        <w:tc>
          <w:tcPr>
            <w:tcW w:w="1602"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54.912.622</w:t>
            </w:r>
          </w:p>
        </w:tc>
        <w:tc>
          <w:tcPr>
            <w:tcW w:w="1775"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220.246.006</w:t>
            </w:r>
          </w:p>
        </w:tc>
      </w:tr>
      <w:tr w:rsidR="00171A80" w:rsidRPr="00171A80" w:rsidTr="009A027A">
        <w:trPr>
          <w:trHeight w:val="282"/>
          <w:jc w:val="center"/>
        </w:trPr>
        <w:tc>
          <w:tcPr>
            <w:tcW w:w="1057"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од тога</w:t>
            </w:r>
          </w:p>
        </w:tc>
        <w:tc>
          <w:tcPr>
            <w:tcW w:w="1031"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валутни</w:t>
            </w:r>
          </w:p>
        </w:tc>
        <w:tc>
          <w:tcPr>
            <w:tcW w:w="1820"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РСД:ЕУР</w:t>
            </w:r>
          </w:p>
        </w:tc>
        <w:tc>
          <w:tcPr>
            <w:tcW w:w="1603"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12.904.611</w:t>
            </w:r>
          </w:p>
        </w:tc>
        <w:tc>
          <w:tcPr>
            <w:tcW w:w="1602"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32.062.756</w:t>
            </w:r>
          </w:p>
        </w:tc>
        <w:tc>
          <w:tcPr>
            <w:tcW w:w="1775"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50.653.058</w:t>
            </w:r>
          </w:p>
        </w:tc>
      </w:tr>
      <w:tr w:rsidR="00171A80" w:rsidRPr="00171A80" w:rsidTr="009A027A">
        <w:trPr>
          <w:trHeight w:val="282"/>
          <w:jc w:val="center"/>
        </w:trPr>
        <w:tc>
          <w:tcPr>
            <w:tcW w:w="1057" w:type="dxa"/>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1031" w:type="dxa"/>
            <w:shd w:val="clear" w:color="auto" w:fill="EAF1DD" w:themeFill="accent3" w:themeFillTint="33"/>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p>
        </w:tc>
        <w:tc>
          <w:tcPr>
            <w:tcW w:w="1820" w:type="dxa"/>
            <w:shd w:val="clear" w:color="auto" w:fill="EAF1DD" w:themeFill="accent3" w:themeFillTint="33"/>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РСД:УСД</w:t>
            </w:r>
          </w:p>
        </w:tc>
        <w:tc>
          <w:tcPr>
            <w:tcW w:w="1603"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5.904.610</w:t>
            </w:r>
          </w:p>
        </w:tc>
        <w:tc>
          <w:tcPr>
            <w:tcW w:w="1602"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22.849.866</w:t>
            </w:r>
          </w:p>
        </w:tc>
        <w:tc>
          <w:tcPr>
            <w:tcW w:w="1775"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169.592.948</w:t>
            </w:r>
          </w:p>
        </w:tc>
      </w:tr>
      <w:tr w:rsidR="00171A80" w:rsidRPr="00171A80" w:rsidTr="009A027A">
        <w:trPr>
          <w:trHeight w:val="282"/>
          <w:jc w:val="center"/>
        </w:trPr>
        <w:tc>
          <w:tcPr>
            <w:tcW w:w="1057"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1031"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каматни</w:t>
            </w:r>
          </w:p>
        </w:tc>
        <w:tc>
          <w:tcPr>
            <w:tcW w:w="1820"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p>
        </w:tc>
        <w:tc>
          <w:tcPr>
            <w:tcW w:w="1603"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c>
          <w:tcPr>
            <w:tcW w:w="1602"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c>
          <w:tcPr>
            <w:tcW w:w="1775"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r>
      <w:tr w:rsidR="00171A80" w:rsidRPr="00171A80" w:rsidTr="009A027A">
        <w:trPr>
          <w:trHeight w:val="282"/>
          <w:jc w:val="center"/>
        </w:trPr>
        <w:tc>
          <w:tcPr>
            <w:tcW w:w="3908" w:type="dxa"/>
            <w:gridSpan w:val="3"/>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Просечни CaR (50-ти перцентил)</w:t>
            </w:r>
          </w:p>
        </w:tc>
        <w:tc>
          <w:tcPr>
            <w:tcW w:w="1603"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4.230.403</w:t>
            </w:r>
          </w:p>
        </w:tc>
        <w:tc>
          <w:tcPr>
            <w:tcW w:w="1602"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12.804.016</w:t>
            </w:r>
          </w:p>
        </w:tc>
        <w:tc>
          <w:tcPr>
            <w:tcW w:w="1775"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57.029.144</w:t>
            </w:r>
          </w:p>
        </w:tc>
      </w:tr>
      <w:tr w:rsidR="00171A80" w:rsidRPr="00171A80" w:rsidTr="009A027A">
        <w:trPr>
          <w:trHeight w:val="282"/>
          <w:jc w:val="center"/>
        </w:trPr>
        <w:tc>
          <w:tcPr>
            <w:tcW w:w="1057"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од тога</w:t>
            </w:r>
          </w:p>
        </w:tc>
        <w:tc>
          <w:tcPr>
            <w:tcW w:w="1031"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валутни</w:t>
            </w:r>
          </w:p>
        </w:tc>
        <w:tc>
          <w:tcPr>
            <w:tcW w:w="1820"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РСД:ЕУР</w:t>
            </w:r>
          </w:p>
        </w:tc>
        <w:tc>
          <w:tcPr>
            <w:tcW w:w="1603"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2.940.837</w:t>
            </w:r>
          </w:p>
        </w:tc>
        <w:tc>
          <w:tcPr>
            <w:tcW w:w="1602"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7.693.127</w:t>
            </w:r>
          </w:p>
        </w:tc>
        <w:tc>
          <w:tcPr>
            <w:tcW w:w="1775"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12.521.797</w:t>
            </w:r>
          </w:p>
        </w:tc>
      </w:tr>
      <w:tr w:rsidR="00171A80" w:rsidRPr="00171A80" w:rsidTr="009A027A">
        <w:trPr>
          <w:trHeight w:val="282"/>
          <w:jc w:val="center"/>
        </w:trPr>
        <w:tc>
          <w:tcPr>
            <w:tcW w:w="1057" w:type="dxa"/>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p>
        </w:tc>
        <w:tc>
          <w:tcPr>
            <w:tcW w:w="1031" w:type="dxa"/>
            <w:shd w:val="clear" w:color="auto" w:fill="EAF1DD" w:themeFill="accent3" w:themeFillTint="33"/>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p>
        </w:tc>
        <w:tc>
          <w:tcPr>
            <w:tcW w:w="1820" w:type="dxa"/>
            <w:shd w:val="clear" w:color="auto" w:fill="EAF1DD" w:themeFill="accent3" w:themeFillTint="33"/>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РСД:УСД</w:t>
            </w:r>
          </w:p>
        </w:tc>
        <w:tc>
          <w:tcPr>
            <w:tcW w:w="1603"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1.269.566</w:t>
            </w:r>
          </w:p>
        </w:tc>
        <w:tc>
          <w:tcPr>
            <w:tcW w:w="1602"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5.110.889</w:t>
            </w:r>
          </w:p>
        </w:tc>
        <w:tc>
          <w:tcPr>
            <w:tcW w:w="1775" w:type="dxa"/>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44.507.347</w:t>
            </w:r>
          </w:p>
        </w:tc>
      </w:tr>
      <w:tr w:rsidR="00171A80" w:rsidRPr="00171A80" w:rsidTr="009A027A">
        <w:trPr>
          <w:trHeight w:val="180"/>
          <w:jc w:val="center"/>
        </w:trPr>
        <w:tc>
          <w:tcPr>
            <w:tcW w:w="1057" w:type="dxa"/>
            <w:shd w:val="clear" w:color="auto" w:fill="auto"/>
            <w:noWrap/>
            <w:hideMark/>
          </w:tcPr>
          <w:p w:rsidR="00171A80" w:rsidRPr="00171A80" w:rsidRDefault="00171A80" w:rsidP="00171A80">
            <w:pPr>
              <w:spacing w:after="0"/>
              <w:ind w:firstLine="0"/>
              <w:rPr>
                <w:rFonts w:asciiTheme="majorHAnsi" w:hAnsiTheme="majorHAnsi"/>
                <w:bCs w:val="0"/>
                <w:color w:val="7F7F7F" w:themeColor="text1" w:themeTint="80"/>
                <w:sz w:val="20"/>
                <w:szCs w:val="20"/>
                <w:lang w:val="sr-Cyrl-RS"/>
              </w:rPr>
            </w:pPr>
            <w:r w:rsidRPr="00171A80">
              <w:rPr>
                <w:rFonts w:asciiTheme="majorHAnsi" w:hAnsiTheme="majorHAnsi"/>
                <w:bCs w:val="0"/>
                <w:color w:val="7F7F7F" w:themeColor="text1" w:themeTint="80"/>
                <w:sz w:val="20"/>
                <w:szCs w:val="20"/>
                <w:lang w:val="sr-Cyrl-RS"/>
              </w:rPr>
              <w:t> </w:t>
            </w:r>
          </w:p>
        </w:tc>
        <w:tc>
          <w:tcPr>
            <w:tcW w:w="1031"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каматни</w:t>
            </w:r>
          </w:p>
        </w:tc>
        <w:tc>
          <w:tcPr>
            <w:tcW w:w="1820" w:type="dxa"/>
            <w:shd w:val="clear" w:color="auto" w:fill="auto"/>
            <w:noWrap/>
            <w:hideMark/>
          </w:tcPr>
          <w:p w:rsidR="00171A80" w:rsidRPr="00171A80" w:rsidRDefault="00171A80" w:rsidP="00171A80">
            <w:pPr>
              <w:spacing w:after="0"/>
              <w:ind w:firstLine="0"/>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 </w:t>
            </w:r>
          </w:p>
        </w:tc>
        <w:tc>
          <w:tcPr>
            <w:tcW w:w="1603"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c>
          <w:tcPr>
            <w:tcW w:w="1602"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c>
          <w:tcPr>
            <w:tcW w:w="1775" w:type="dxa"/>
            <w:shd w:val="clear" w:color="auto" w:fill="auto"/>
            <w:noWrap/>
            <w:hideMark/>
          </w:tcPr>
          <w:p w:rsidR="00171A80" w:rsidRPr="00171A80" w:rsidRDefault="00171A80" w:rsidP="00171A80">
            <w:pPr>
              <w:spacing w:after="0"/>
              <w:ind w:firstLine="0"/>
              <w:jc w:val="right"/>
              <w:rPr>
                <w:rFonts w:asciiTheme="majorHAnsi" w:hAnsiTheme="majorHAnsi"/>
                <w:color w:val="7F7F7F" w:themeColor="text1" w:themeTint="80"/>
                <w:sz w:val="20"/>
                <w:szCs w:val="20"/>
                <w:lang w:val="sr-Cyrl-RS"/>
              </w:rPr>
            </w:pPr>
            <w:r w:rsidRPr="00171A80">
              <w:rPr>
                <w:rFonts w:asciiTheme="majorHAnsi" w:hAnsiTheme="majorHAnsi"/>
                <w:color w:val="7F7F7F" w:themeColor="text1" w:themeTint="80"/>
                <w:sz w:val="20"/>
                <w:szCs w:val="20"/>
                <w:lang w:val="sr-Cyrl-RS"/>
              </w:rPr>
              <w:t>0</w:t>
            </w:r>
          </w:p>
        </w:tc>
      </w:tr>
    </w:tbl>
    <w:p w:rsidR="00171A80" w:rsidRPr="00171A80" w:rsidRDefault="001044A0" w:rsidP="008C590F">
      <w:pPr>
        <w:spacing w:after="0"/>
        <w:ind w:firstLine="0"/>
        <w:jc w:val="left"/>
        <w:rPr>
          <w:rFonts w:asciiTheme="majorHAnsi" w:hAnsiTheme="majorHAnsi"/>
          <w:bCs w:val="0"/>
          <w:color w:val="7F7F7F" w:themeColor="text1" w:themeTint="80"/>
          <w:sz w:val="18"/>
          <w:szCs w:val="18"/>
          <w:lang w:val="sr-Cyrl-RS"/>
        </w:rPr>
      </w:pPr>
      <w:r>
        <w:rPr>
          <w:rFonts w:asciiTheme="majorHAnsi" w:hAnsiTheme="majorHAnsi"/>
          <w:bCs w:val="0"/>
          <w:color w:val="7F7F7F" w:themeColor="text1" w:themeTint="80"/>
          <w:sz w:val="21"/>
          <w:szCs w:val="21"/>
          <w:vertAlign w:val="superscript"/>
          <w:lang w:val="sr-Cyrl-RS"/>
        </w:rPr>
        <w:t xml:space="preserve">*   </w:t>
      </w:r>
      <w:r w:rsidR="00171A80" w:rsidRPr="00171A80">
        <w:rPr>
          <w:rFonts w:asciiTheme="majorHAnsi" w:hAnsiTheme="majorHAnsi"/>
          <w:bCs w:val="0"/>
          <w:color w:val="7F7F7F" w:themeColor="text1" w:themeTint="80"/>
          <w:sz w:val="21"/>
          <w:szCs w:val="21"/>
          <w:vertAlign w:val="superscript"/>
          <w:lang w:val="sr-Cyrl-RS"/>
        </w:rPr>
        <w:t xml:space="preserve"> </w:t>
      </w:r>
      <w:r w:rsidR="0011798A">
        <w:rPr>
          <w:rFonts w:asciiTheme="majorHAnsi" w:hAnsiTheme="majorHAnsi"/>
          <w:bCs w:val="0"/>
          <w:color w:val="7F7F7F" w:themeColor="text1" w:themeTint="80"/>
          <w:sz w:val="18"/>
          <w:szCs w:val="18"/>
          <w:lang w:val="sr-Cyrl-RS"/>
        </w:rPr>
        <w:t>Б</w:t>
      </w:r>
      <w:r w:rsidR="00171A80" w:rsidRPr="00171A80">
        <w:rPr>
          <w:rFonts w:asciiTheme="majorHAnsi" w:hAnsiTheme="majorHAnsi"/>
          <w:bCs w:val="0"/>
          <w:color w:val="7F7F7F" w:themeColor="text1" w:themeTint="80"/>
          <w:sz w:val="18"/>
          <w:szCs w:val="18"/>
          <w:lang w:val="sr-Cyrl-RS"/>
        </w:rPr>
        <w:t>рој симулација: 10,000, на дневном нивоу</w:t>
      </w:r>
      <w:r w:rsidR="0011798A">
        <w:rPr>
          <w:rFonts w:asciiTheme="majorHAnsi" w:hAnsiTheme="majorHAnsi"/>
          <w:bCs w:val="0"/>
          <w:color w:val="7F7F7F" w:themeColor="text1" w:themeTint="80"/>
          <w:sz w:val="18"/>
          <w:szCs w:val="18"/>
          <w:lang w:val="sr-Cyrl-RS"/>
        </w:rPr>
        <w:t>.</w:t>
      </w:r>
    </w:p>
    <w:p w:rsidR="00171A80" w:rsidRPr="00171A80" w:rsidRDefault="001044A0" w:rsidP="00171A80">
      <w:pPr>
        <w:spacing w:after="0"/>
        <w:ind w:firstLine="0"/>
        <w:jc w:val="left"/>
        <w:rPr>
          <w:rFonts w:asciiTheme="majorHAnsi" w:hAnsiTheme="majorHAnsi"/>
          <w:bCs w:val="0"/>
          <w:color w:val="7F7F7F" w:themeColor="text1" w:themeTint="80"/>
          <w:sz w:val="18"/>
          <w:szCs w:val="18"/>
          <w:lang w:val="sr-Cyrl-RS"/>
        </w:rPr>
      </w:pPr>
      <w:r w:rsidRPr="001044A0">
        <w:rPr>
          <w:rFonts w:asciiTheme="majorHAnsi" w:hAnsiTheme="majorHAnsi"/>
          <w:bCs w:val="0"/>
          <w:color w:val="7F7F7F" w:themeColor="text1" w:themeTint="80"/>
          <w:sz w:val="21"/>
          <w:szCs w:val="21"/>
          <w:vertAlign w:val="superscript"/>
          <w:lang w:val="sr-Cyrl-RS"/>
        </w:rPr>
        <w:t>**</w:t>
      </w:r>
      <w:r w:rsidR="00171A80" w:rsidRPr="00171A80">
        <w:rPr>
          <w:rFonts w:asciiTheme="majorHAnsi" w:hAnsiTheme="majorHAnsi"/>
          <w:bCs w:val="0"/>
          <w:color w:val="7F7F7F" w:themeColor="text1" w:themeTint="80"/>
          <w:sz w:val="18"/>
          <w:szCs w:val="18"/>
          <w:lang w:val="sr-Cyrl-RS"/>
        </w:rPr>
        <w:t xml:space="preserve"> </w:t>
      </w:r>
      <w:r>
        <w:rPr>
          <w:rFonts w:asciiTheme="majorHAnsi" w:hAnsiTheme="majorHAnsi"/>
          <w:bCs w:val="0"/>
          <w:color w:val="7F7F7F" w:themeColor="text1" w:themeTint="80"/>
          <w:sz w:val="18"/>
          <w:szCs w:val="18"/>
          <w:lang w:val="sr-Cyrl-RS"/>
        </w:rPr>
        <w:t xml:space="preserve"> </w:t>
      </w:r>
      <w:r w:rsidR="0011798A">
        <w:rPr>
          <w:rFonts w:asciiTheme="majorHAnsi" w:hAnsiTheme="majorHAnsi"/>
          <w:bCs w:val="0"/>
          <w:color w:val="7F7F7F" w:themeColor="text1" w:themeTint="80"/>
          <w:sz w:val="18"/>
          <w:szCs w:val="18"/>
          <w:lang w:val="sr-Cyrl-RS"/>
        </w:rPr>
        <w:t>У</w:t>
      </w:r>
      <w:r w:rsidR="00BC66CD">
        <w:rPr>
          <w:rFonts w:asciiTheme="majorHAnsi" w:hAnsiTheme="majorHAnsi"/>
          <w:bCs w:val="0"/>
          <w:color w:val="7F7F7F" w:themeColor="text1" w:themeTint="80"/>
          <w:sz w:val="18"/>
          <w:szCs w:val="18"/>
          <w:lang w:val="sr-Cyrl-RS"/>
        </w:rPr>
        <w:t xml:space="preserve"> хиљадама РСД</w:t>
      </w:r>
      <w:r w:rsidR="0011798A">
        <w:rPr>
          <w:rFonts w:asciiTheme="majorHAnsi" w:hAnsiTheme="majorHAnsi"/>
          <w:bCs w:val="0"/>
          <w:color w:val="7F7F7F" w:themeColor="text1" w:themeTint="80"/>
          <w:sz w:val="18"/>
          <w:szCs w:val="18"/>
          <w:lang w:val="sr-Cyrl-RS"/>
        </w:rPr>
        <w:t>.</w:t>
      </w:r>
      <w:r w:rsidR="00171A80" w:rsidRPr="00171A80">
        <w:rPr>
          <w:rFonts w:asciiTheme="majorHAnsi" w:hAnsiTheme="majorHAnsi"/>
          <w:bCs w:val="0"/>
          <w:color w:val="7F7F7F" w:themeColor="text1" w:themeTint="80"/>
          <w:sz w:val="18"/>
          <w:szCs w:val="18"/>
          <w:lang w:val="sr-Cyrl-RS"/>
        </w:rPr>
        <w:tab/>
      </w:r>
      <w:r w:rsidR="00171A80" w:rsidRPr="00171A80">
        <w:rPr>
          <w:rFonts w:asciiTheme="majorHAnsi" w:hAnsiTheme="majorHAnsi"/>
          <w:bCs w:val="0"/>
          <w:color w:val="7F7F7F" w:themeColor="text1" w:themeTint="80"/>
          <w:sz w:val="18"/>
          <w:szCs w:val="18"/>
          <w:lang w:val="sr-Cyrl-RS"/>
        </w:rPr>
        <w:tab/>
      </w:r>
      <w:r w:rsidR="00171A80" w:rsidRPr="00171A80">
        <w:rPr>
          <w:rFonts w:asciiTheme="majorHAnsi" w:hAnsiTheme="majorHAnsi"/>
          <w:bCs w:val="0"/>
          <w:color w:val="7F7F7F" w:themeColor="text1" w:themeTint="80"/>
          <w:sz w:val="18"/>
          <w:szCs w:val="18"/>
          <w:lang w:val="sr-Cyrl-RS"/>
        </w:rPr>
        <w:tab/>
      </w:r>
    </w:p>
    <w:p w:rsidR="00171A80" w:rsidRPr="00171A80" w:rsidRDefault="001044A0" w:rsidP="003274D9">
      <w:pPr>
        <w:ind w:firstLine="0"/>
        <w:jc w:val="left"/>
        <w:rPr>
          <w:rFonts w:asciiTheme="majorHAnsi" w:hAnsiTheme="majorHAnsi"/>
          <w:bCs w:val="0"/>
          <w:color w:val="7F7F7F" w:themeColor="text1" w:themeTint="80"/>
          <w:sz w:val="21"/>
          <w:szCs w:val="21"/>
          <w:lang w:val="sr-Cyrl-RS"/>
        </w:rPr>
      </w:pPr>
      <w:r w:rsidRPr="001044A0">
        <w:rPr>
          <w:rFonts w:asciiTheme="majorHAnsi" w:hAnsiTheme="majorHAnsi"/>
          <w:bCs w:val="0"/>
          <w:color w:val="7F7F7F" w:themeColor="text1" w:themeTint="80"/>
          <w:sz w:val="21"/>
          <w:szCs w:val="21"/>
          <w:vertAlign w:val="superscript"/>
          <w:lang w:val="sr-Cyrl-RS"/>
        </w:rPr>
        <w:t>***</w:t>
      </w:r>
      <w:r w:rsidR="00171A80" w:rsidRPr="00171A80">
        <w:rPr>
          <w:rFonts w:asciiTheme="majorHAnsi" w:hAnsiTheme="majorHAnsi"/>
          <w:bCs w:val="0"/>
          <w:color w:val="7F7F7F" w:themeColor="text1" w:themeTint="80"/>
          <w:sz w:val="18"/>
          <w:szCs w:val="18"/>
          <w:vertAlign w:val="superscript"/>
          <w:lang w:val="sr-Cyrl-RS"/>
        </w:rPr>
        <w:t xml:space="preserve"> </w:t>
      </w:r>
      <w:r w:rsidR="0011798A">
        <w:rPr>
          <w:rFonts w:asciiTheme="majorHAnsi" w:hAnsiTheme="majorHAnsi"/>
          <w:bCs w:val="0"/>
          <w:color w:val="7F7F7F" w:themeColor="text1" w:themeTint="80"/>
          <w:sz w:val="18"/>
          <w:szCs w:val="18"/>
          <w:lang w:val="sr-Cyrl-RS"/>
        </w:rPr>
        <w:t>П</w:t>
      </w:r>
      <w:r w:rsidR="00171A80" w:rsidRPr="00171A80">
        <w:rPr>
          <w:rFonts w:asciiTheme="majorHAnsi" w:hAnsiTheme="majorHAnsi"/>
          <w:bCs w:val="0"/>
          <w:color w:val="7F7F7F" w:themeColor="text1" w:themeTint="80"/>
          <w:sz w:val="18"/>
          <w:szCs w:val="18"/>
          <w:lang w:val="sr-Cyrl-RS"/>
        </w:rPr>
        <w:t>ериод се односи на време од 31.10.2014. године до 31.12. сваке приказане године</w:t>
      </w:r>
      <w:r w:rsidR="0011798A">
        <w:rPr>
          <w:rFonts w:asciiTheme="majorHAnsi" w:hAnsiTheme="majorHAnsi"/>
          <w:bCs w:val="0"/>
          <w:color w:val="7F7F7F" w:themeColor="text1" w:themeTint="80"/>
          <w:sz w:val="18"/>
          <w:szCs w:val="18"/>
          <w:lang w:val="sr-Cyrl-RS"/>
        </w:rPr>
        <w:t>.</w:t>
      </w:r>
      <w:r w:rsidR="00171A80" w:rsidRPr="00171A80">
        <w:rPr>
          <w:rFonts w:asciiTheme="majorHAnsi" w:hAnsiTheme="majorHAnsi"/>
          <w:bCs w:val="0"/>
          <w:color w:val="7F7F7F" w:themeColor="text1" w:themeTint="80"/>
          <w:sz w:val="21"/>
          <w:szCs w:val="21"/>
          <w:lang w:val="sr-Cyrl-RS"/>
        </w:rPr>
        <w:tab/>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Фактори ризика играју значајнију улогу у дужем временском хоризонту. Делом због иманентне несигурности, делом и услед тенденције промене структуре јавног дуга у корист хартија од вредности и валутне структуре еуробондова деноминованих у америчким доларима.</w:t>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 xml:space="preserve">Имајући у виду да се највећи део дуга налази у ино-валути (око 78% стања јавног дуга на крају октобра 2014. године је било у ино-валути), изложеност девизном ризику је висока. </w:t>
      </w:r>
      <w:r w:rsidRPr="00B90ED9">
        <w:rPr>
          <w:rFonts w:asciiTheme="majorHAnsi" w:hAnsiTheme="majorHAnsi"/>
          <w:bCs w:val="0"/>
          <w:color w:val="7F7F7F" w:themeColor="text1" w:themeTint="80"/>
          <w:sz w:val="21"/>
          <w:szCs w:val="21"/>
          <w:lang w:val="sr-Cyrl-RS"/>
        </w:rPr>
        <w:lastRenderedPageBreak/>
        <w:t xml:space="preserve">Овај ризик реализовао се у 2012. години када је динар у свега неколико месеци депрецирао за више од 10% и као резултат имао раст рација јавни дуг - БДП за више од 5 п.п. само због раста курса евра и америчког долара према динару. </w:t>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Свака промена курса динара према евру и америчком долару од 1% у смеру депрецијације динара у односу на основни сценарио водиће ка апсолутном расту дуга од 21,9 до 24,8 млрд динара у наредном периоду 2015 - 2017. године, односно у релативном исказу око 0,56 % БДП (уз претпоставку да остале стране валуте не осцилирају значајно у односу на евро).</w:t>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За стање јавног дуга јако је битно да и однос евра и америчког долара не одступа значајније од основног сценарија. У случају да дође до одступања у правцу раста вредности америчког долара у односу на евро за 1% стање јавног дуга ће бити повећано од 9,3 до 10,5 млрд динара у наредном периоду 2015 - 2017. године, односно у релативном исказу око 0,24% БДП.</w:t>
      </w:r>
    </w:p>
    <w:p w:rsidR="00171A80" w:rsidRPr="00171A80"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У домену каматног ризика српски јавни дуг има предност што је око 76,3% стања јавног дуга централног нивоа власти на крају октобра 2014. године било са фиксном каматном стопом. Као најзаступљенија варијабилна каматна стопа је Еурибор. У случају промене вредности Еурибора за 10 базних поена у односу на основну пројекцију, камате би порасле за око 0,4 млрд динара</w:t>
      </w:r>
      <w:r w:rsidR="00171A80" w:rsidRPr="00171A80">
        <w:rPr>
          <w:rFonts w:asciiTheme="majorHAnsi" w:hAnsiTheme="majorHAnsi"/>
          <w:bCs w:val="0"/>
          <w:color w:val="7F7F7F" w:themeColor="text1" w:themeTint="80"/>
          <w:sz w:val="21"/>
          <w:szCs w:val="21"/>
          <w:lang w:val="sr-Cyrl-RS"/>
        </w:rPr>
        <w:t>.</w:t>
      </w:r>
    </w:p>
    <w:p w:rsidR="00171A80" w:rsidRPr="001067B8" w:rsidRDefault="00171A80" w:rsidP="00171A80">
      <w:pPr>
        <w:ind w:firstLine="0"/>
        <w:rPr>
          <w:rFonts w:asciiTheme="majorHAnsi" w:hAnsiTheme="majorHAnsi"/>
          <w:b/>
          <w:i/>
          <w:color w:val="51671F"/>
          <w:szCs w:val="22"/>
          <w:lang w:val="sr-Cyrl-RS"/>
        </w:rPr>
      </w:pPr>
      <w:r w:rsidRPr="001067B8">
        <w:rPr>
          <w:rFonts w:asciiTheme="majorHAnsi" w:hAnsiTheme="majorHAnsi"/>
          <w:b/>
          <w:i/>
          <w:color w:val="51671F"/>
          <w:szCs w:val="22"/>
          <w:lang w:val="sr-Cyrl-RS"/>
        </w:rPr>
        <w:t>Дугорочни стратешки оквир за управљање јавним дугом</w:t>
      </w:r>
    </w:p>
    <w:p w:rsidR="00171A80" w:rsidRPr="00171A80" w:rsidRDefault="00B90ED9" w:rsidP="00171A80">
      <w:pPr>
        <w:spacing w:before="120"/>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Основни стратешки циљеви којима је потребно тежити у наредном дугорочном периоду, како би се минимизирали ризици повећања задужености и трошкова сервисирања јавног дуга су</w:t>
      </w:r>
      <w:r w:rsidR="00171A80" w:rsidRPr="00171A80">
        <w:rPr>
          <w:rFonts w:asciiTheme="majorHAnsi" w:hAnsiTheme="majorHAnsi"/>
          <w:bCs w:val="0"/>
          <w:color w:val="7F7F7F" w:themeColor="text1" w:themeTint="80"/>
          <w:sz w:val="21"/>
          <w:szCs w:val="21"/>
          <w:lang w:val="sr-Cyrl-RS"/>
        </w:rPr>
        <w:t>:</w:t>
      </w:r>
    </w:p>
    <w:p w:rsidR="00171A80" w:rsidRPr="00171A80" w:rsidRDefault="007D1233" w:rsidP="00D921CC">
      <w:pPr>
        <w:numPr>
          <w:ilvl w:val="0"/>
          <w:numId w:val="15"/>
        </w:numPr>
        <w:spacing w:before="120"/>
        <w:ind w:left="714" w:hanging="357"/>
        <w:rPr>
          <w:rFonts w:asciiTheme="majorHAnsi" w:hAnsiTheme="majorHAnsi"/>
          <w:bCs w:val="0"/>
          <w:color w:val="7F7F7F" w:themeColor="text1" w:themeTint="80"/>
          <w:sz w:val="21"/>
          <w:szCs w:val="21"/>
          <w:lang w:val="sr-Cyrl-RS"/>
        </w:rPr>
      </w:pPr>
      <w:r w:rsidRPr="007D1233">
        <w:rPr>
          <w:rFonts w:asciiTheme="majorHAnsi" w:hAnsiTheme="majorHAnsi"/>
          <w:bCs w:val="0"/>
          <w:color w:val="7F7F7F" w:themeColor="text1" w:themeTint="80"/>
          <w:sz w:val="21"/>
          <w:szCs w:val="21"/>
          <w:lang w:val="sr-Cyrl-RS"/>
        </w:rPr>
        <w:t>да учешће дуга деноминованог у динарима износи око 20</w:t>
      </w:r>
      <w:r w:rsidR="00B90ED9">
        <w:rPr>
          <w:rFonts w:asciiTheme="majorHAnsi" w:hAnsiTheme="majorHAnsi"/>
          <w:bCs w:val="0"/>
          <w:color w:val="7F7F7F" w:themeColor="text1" w:themeTint="80"/>
          <w:sz w:val="21"/>
          <w:szCs w:val="21"/>
          <w:lang w:val="sr-Cyrl-RS"/>
        </w:rPr>
        <w:t xml:space="preserve"> </w:t>
      </w:r>
      <w:r w:rsidRPr="007D1233">
        <w:rPr>
          <w:rFonts w:asciiTheme="majorHAnsi" w:hAnsiTheme="majorHAnsi"/>
          <w:bCs w:val="0"/>
          <w:color w:val="7F7F7F" w:themeColor="text1" w:themeTint="80"/>
          <w:sz w:val="21"/>
          <w:szCs w:val="21"/>
          <w:lang w:val="sr-Cyrl-RS"/>
        </w:rPr>
        <w:t>-</w:t>
      </w:r>
      <w:r w:rsidR="00B90ED9">
        <w:rPr>
          <w:rFonts w:asciiTheme="majorHAnsi" w:hAnsiTheme="majorHAnsi"/>
          <w:bCs w:val="0"/>
          <w:color w:val="7F7F7F" w:themeColor="text1" w:themeTint="80"/>
          <w:sz w:val="21"/>
          <w:szCs w:val="21"/>
          <w:lang w:val="sr-Cyrl-RS"/>
        </w:rPr>
        <w:t xml:space="preserve"> </w:t>
      </w:r>
      <w:r w:rsidRPr="007D1233">
        <w:rPr>
          <w:rFonts w:asciiTheme="majorHAnsi" w:hAnsiTheme="majorHAnsi"/>
          <w:bCs w:val="0"/>
          <w:color w:val="7F7F7F" w:themeColor="text1" w:themeTint="80"/>
          <w:sz w:val="21"/>
          <w:szCs w:val="21"/>
          <w:lang w:val="sr-Cyrl-RS"/>
        </w:rPr>
        <w:t>25% укупног јавног дуга на средњи рок</w:t>
      </w:r>
      <w:r w:rsidR="00171A80" w:rsidRPr="00171A80">
        <w:rPr>
          <w:rFonts w:asciiTheme="majorHAnsi" w:hAnsiTheme="majorHAnsi"/>
          <w:bCs w:val="0"/>
          <w:color w:val="7F7F7F" w:themeColor="text1" w:themeTint="80"/>
          <w:sz w:val="21"/>
          <w:szCs w:val="21"/>
          <w:lang w:val="sr-Cyrl-RS"/>
        </w:rPr>
        <w:t>;</w:t>
      </w:r>
    </w:p>
    <w:p w:rsidR="00171A80" w:rsidRPr="00171A80" w:rsidRDefault="007D1233" w:rsidP="00D921CC">
      <w:pPr>
        <w:numPr>
          <w:ilvl w:val="0"/>
          <w:numId w:val="15"/>
        </w:numPr>
        <w:spacing w:before="120"/>
        <w:ind w:left="714" w:hanging="357"/>
        <w:rPr>
          <w:rFonts w:asciiTheme="majorHAnsi" w:hAnsiTheme="majorHAnsi"/>
          <w:bCs w:val="0"/>
          <w:color w:val="7F7F7F" w:themeColor="text1" w:themeTint="80"/>
          <w:sz w:val="21"/>
          <w:szCs w:val="21"/>
          <w:lang w:val="sr-Cyrl-RS"/>
        </w:rPr>
      </w:pPr>
      <w:r w:rsidRPr="007D1233">
        <w:rPr>
          <w:rFonts w:asciiTheme="majorHAnsi" w:hAnsiTheme="majorHAnsi"/>
          <w:bCs w:val="0"/>
          <w:color w:val="7F7F7F" w:themeColor="text1" w:themeTint="80"/>
          <w:sz w:val="21"/>
          <w:szCs w:val="21"/>
          <w:lang w:val="sr-Cyrl-RS"/>
        </w:rPr>
        <w:t>да учешће дуга деноминованог у еврима у јавном дугу износи најмање 60 % дуга у ино-валути, укључујући будућа задуживања и трансакције</w:t>
      </w:r>
      <w:r w:rsidR="00171A80" w:rsidRPr="00171A80">
        <w:rPr>
          <w:rFonts w:asciiTheme="majorHAnsi" w:hAnsiTheme="majorHAnsi"/>
          <w:bCs w:val="0"/>
          <w:color w:val="7F7F7F" w:themeColor="text1" w:themeTint="80"/>
          <w:sz w:val="21"/>
          <w:szCs w:val="21"/>
          <w:lang w:val="sr-Cyrl-RS"/>
        </w:rPr>
        <w:t>;</w:t>
      </w:r>
    </w:p>
    <w:p w:rsidR="00171A80" w:rsidRPr="00171A80" w:rsidRDefault="007D1233" w:rsidP="00D921CC">
      <w:pPr>
        <w:numPr>
          <w:ilvl w:val="0"/>
          <w:numId w:val="15"/>
        </w:numPr>
        <w:spacing w:before="120"/>
        <w:ind w:left="714" w:hanging="357"/>
        <w:rPr>
          <w:rFonts w:asciiTheme="majorHAnsi" w:hAnsiTheme="majorHAnsi"/>
          <w:bCs w:val="0"/>
          <w:color w:val="7F7F7F" w:themeColor="text1" w:themeTint="80"/>
          <w:sz w:val="21"/>
          <w:szCs w:val="21"/>
          <w:lang w:val="sr-Cyrl-RS"/>
        </w:rPr>
      </w:pPr>
      <w:r w:rsidRPr="007D1233">
        <w:rPr>
          <w:rFonts w:asciiTheme="majorHAnsi" w:hAnsiTheme="majorHAnsi"/>
          <w:bCs w:val="0"/>
          <w:color w:val="7F7F7F" w:themeColor="text1" w:themeTint="80"/>
          <w:sz w:val="21"/>
          <w:szCs w:val="21"/>
          <w:lang w:val="sr-Cyrl-RS"/>
        </w:rPr>
        <w:t>да дође до смањења учешћа дуга са варијабилном каматном стопом на испод 20% у средњорочном интервалу</w:t>
      </w:r>
      <w:r w:rsidR="00171A80" w:rsidRPr="00171A80">
        <w:rPr>
          <w:rFonts w:asciiTheme="majorHAnsi" w:hAnsiTheme="majorHAnsi"/>
          <w:bCs w:val="0"/>
          <w:color w:val="7F7F7F" w:themeColor="text1" w:themeTint="80"/>
          <w:sz w:val="21"/>
          <w:szCs w:val="21"/>
          <w:lang w:val="sr-Cyrl-RS"/>
        </w:rPr>
        <w:t>;</w:t>
      </w:r>
    </w:p>
    <w:p w:rsidR="00171A80" w:rsidRPr="00171A80" w:rsidRDefault="00957ABE" w:rsidP="00D921CC">
      <w:pPr>
        <w:numPr>
          <w:ilvl w:val="0"/>
          <w:numId w:val="15"/>
        </w:numPr>
        <w:spacing w:before="120"/>
        <w:ind w:left="714" w:hanging="357"/>
        <w:rPr>
          <w:rFonts w:asciiTheme="majorHAnsi" w:hAnsiTheme="majorHAnsi"/>
          <w:bCs w:val="0"/>
          <w:color w:val="7F7F7F" w:themeColor="text1" w:themeTint="80"/>
          <w:sz w:val="21"/>
          <w:szCs w:val="21"/>
          <w:lang w:val="sr-Cyrl-RS"/>
        </w:rPr>
      </w:pPr>
      <w:r w:rsidRPr="00957ABE">
        <w:rPr>
          <w:rFonts w:asciiTheme="majorHAnsi" w:hAnsiTheme="majorHAnsi"/>
          <w:bCs w:val="0"/>
          <w:color w:val="7F7F7F" w:themeColor="text1" w:themeTint="80"/>
          <w:sz w:val="21"/>
          <w:szCs w:val="21"/>
          <w:lang w:val="sr-Cyrl-RS"/>
        </w:rPr>
        <w:t>да просечно време до промене каматне стопе (АТR) буде одржавано на нивоу од минимум 4,5 година, у складу са горе наведеном мером постепеног смањивања учешћа дуга с</w:t>
      </w:r>
      <w:r>
        <w:rPr>
          <w:rFonts w:asciiTheme="majorHAnsi" w:hAnsiTheme="majorHAnsi"/>
          <w:bCs w:val="0"/>
          <w:color w:val="7F7F7F" w:themeColor="text1" w:themeTint="80"/>
          <w:sz w:val="21"/>
          <w:szCs w:val="21"/>
          <w:lang w:val="sr-Cyrl-RS"/>
        </w:rPr>
        <w:t>а варијабилним каматним стопама</w:t>
      </w:r>
      <w:r w:rsidR="00171A80" w:rsidRPr="00171A80">
        <w:rPr>
          <w:rFonts w:asciiTheme="majorHAnsi" w:hAnsiTheme="majorHAnsi"/>
          <w:bCs w:val="0"/>
          <w:color w:val="7F7F7F" w:themeColor="text1" w:themeTint="80"/>
          <w:sz w:val="21"/>
          <w:szCs w:val="21"/>
          <w:lang w:val="sr-Cyrl-RS"/>
        </w:rPr>
        <w:t>;</w:t>
      </w:r>
    </w:p>
    <w:p w:rsidR="00171A80" w:rsidRPr="00171A80" w:rsidRDefault="00957ABE" w:rsidP="00D921CC">
      <w:pPr>
        <w:numPr>
          <w:ilvl w:val="0"/>
          <w:numId w:val="15"/>
        </w:numPr>
        <w:spacing w:before="120"/>
        <w:ind w:left="714" w:hanging="357"/>
        <w:rPr>
          <w:rFonts w:asciiTheme="majorHAnsi" w:hAnsiTheme="majorHAnsi"/>
          <w:bCs w:val="0"/>
          <w:color w:val="7F7F7F" w:themeColor="text1" w:themeTint="80"/>
          <w:sz w:val="21"/>
          <w:szCs w:val="21"/>
          <w:lang w:val="sr-Cyrl-RS"/>
        </w:rPr>
      </w:pPr>
      <w:r w:rsidRPr="00957ABE">
        <w:rPr>
          <w:rFonts w:asciiTheme="majorHAnsi" w:hAnsiTheme="majorHAnsi"/>
          <w:bCs w:val="0"/>
          <w:color w:val="7F7F7F" w:themeColor="text1" w:themeTint="80"/>
          <w:sz w:val="21"/>
          <w:szCs w:val="21"/>
          <w:lang w:val="sr-Cyrl-RS"/>
        </w:rPr>
        <w:t>да просечна пондерисана каматна стопа (WAIR) на унутрашњи јавни дуг не прелази 10% на краткорочна и средњорочна задуживања</w:t>
      </w:r>
      <w:r w:rsidR="00171A80" w:rsidRPr="00171A80">
        <w:rPr>
          <w:rFonts w:asciiTheme="majorHAnsi" w:hAnsiTheme="majorHAnsi"/>
          <w:bCs w:val="0"/>
          <w:color w:val="7F7F7F" w:themeColor="text1" w:themeTint="80"/>
          <w:sz w:val="21"/>
          <w:szCs w:val="21"/>
          <w:lang w:val="sr-Cyrl-RS"/>
        </w:rPr>
        <w:t>;</w:t>
      </w:r>
    </w:p>
    <w:p w:rsidR="00171A80" w:rsidRPr="00171A80" w:rsidRDefault="00957ABE" w:rsidP="00D921CC">
      <w:pPr>
        <w:numPr>
          <w:ilvl w:val="0"/>
          <w:numId w:val="15"/>
        </w:numPr>
        <w:spacing w:before="120"/>
        <w:ind w:left="714" w:hanging="357"/>
        <w:rPr>
          <w:rFonts w:asciiTheme="majorHAnsi" w:hAnsiTheme="majorHAnsi"/>
          <w:bCs w:val="0"/>
          <w:color w:val="7F7F7F" w:themeColor="text1" w:themeTint="80"/>
          <w:sz w:val="21"/>
          <w:szCs w:val="21"/>
          <w:lang w:val="sr-Cyrl-RS"/>
        </w:rPr>
      </w:pPr>
      <w:r w:rsidRPr="00957ABE">
        <w:rPr>
          <w:rFonts w:asciiTheme="majorHAnsi" w:hAnsiTheme="majorHAnsi"/>
          <w:bCs w:val="0"/>
          <w:color w:val="7F7F7F" w:themeColor="text1" w:themeTint="80"/>
          <w:sz w:val="21"/>
          <w:szCs w:val="21"/>
          <w:lang w:val="sr-Cyrl-RS"/>
        </w:rPr>
        <w:t>да учешће краткорочног дуга (чије је доспеће до годину дана) износи до 15 % укупног јавног дуга;</w:t>
      </w:r>
    </w:p>
    <w:p w:rsidR="00171A80" w:rsidRPr="00171A80" w:rsidRDefault="00957ABE" w:rsidP="00D921CC">
      <w:pPr>
        <w:numPr>
          <w:ilvl w:val="0"/>
          <w:numId w:val="15"/>
        </w:numPr>
        <w:spacing w:before="120"/>
        <w:ind w:left="714" w:hanging="357"/>
        <w:rPr>
          <w:rFonts w:asciiTheme="majorHAnsi" w:hAnsiTheme="majorHAnsi"/>
          <w:bCs w:val="0"/>
          <w:color w:val="7F7F7F" w:themeColor="text1" w:themeTint="80"/>
          <w:sz w:val="21"/>
          <w:szCs w:val="21"/>
          <w:lang w:val="sr-Cyrl-RS"/>
        </w:rPr>
      </w:pPr>
      <w:r w:rsidRPr="00957ABE">
        <w:rPr>
          <w:rFonts w:asciiTheme="majorHAnsi" w:hAnsiTheme="majorHAnsi"/>
          <w:bCs w:val="0"/>
          <w:color w:val="7F7F7F" w:themeColor="text1" w:themeTint="80"/>
          <w:sz w:val="21"/>
          <w:szCs w:val="21"/>
          <w:lang w:val="sr-Cyrl-RS"/>
        </w:rPr>
        <w:t>да просечно време до доспећа (АТМ) унутрашњег дуга буде на нивоу од</w:t>
      </w:r>
      <w:r>
        <w:rPr>
          <w:rFonts w:asciiTheme="majorHAnsi" w:hAnsiTheme="majorHAnsi"/>
          <w:bCs w:val="0"/>
          <w:color w:val="7F7F7F" w:themeColor="text1" w:themeTint="80"/>
          <w:sz w:val="21"/>
          <w:szCs w:val="21"/>
          <w:lang w:val="sr-Cyrl-RS"/>
        </w:rPr>
        <w:t xml:space="preserve"> најмање 4 године на средњи рок</w:t>
      </w:r>
      <w:r w:rsidR="00171A80" w:rsidRPr="00171A80">
        <w:rPr>
          <w:rFonts w:asciiTheme="majorHAnsi" w:hAnsiTheme="majorHAnsi"/>
          <w:bCs w:val="0"/>
          <w:color w:val="7F7F7F" w:themeColor="text1" w:themeTint="80"/>
          <w:sz w:val="21"/>
          <w:szCs w:val="21"/>
          <w:lang w:val="sr-Cyrl-RS"/>
        </w:rPr>
        <w:t xml:space="preserve">; </w:t>
      </w:r>
    </w:p>
    <w:p w:rsidR="001067B8" w:rsidRPr="001067B8" w:rsidRDefault="00957ABE" w:rsidP="00D921CC">
      <w:pPr>
        <w:numPr>
          <w:ilvl w:val="0"/>
          <w:numId w:val="15"/>
        </w:numPr>
        <w:spacing w:before="120"/>
        <w:ind w:left="714" w:hanging="357"/>
        <w:rPr>
          <w:rFonts w:asciiTheme="majorHAnsi" w:hAnsiTheme="majorHAnsi"/>
          <w:bCs w:val="0"/>
          <w:color w:val="7F7F7F" w:themeColor="text1" w:themeTint="80"/>
          <w:sz w:val="21"/>
          <w:szCs w:val="21"/>
          <w:lang w:val="sr-Cyrl-RS"/>
        </w:rPr>
      </w:pPr>
      <w:r w:rsidRPr="00957ABE">
        <w:rPr>
          <w:rFonts w:asciiTheme="majorHAnsi" w:hAnsiTheme="majorHAnsi"/>
          <w:bCs w:val="0"/>
          <w:color w:val="7F7F7F" w:themeColor="text1" w:themeTint="80"/>
          <w:sz w:val="21"/>
          <w:szCs w:val="21"/>
          <w:lang w:val="sr-Cyrl-RS"/>
        </w:rPr>
        <w:t>да се просечно време до доспећа (АТМ) спољног дуга одржава на нивоу од 6 ± 0</w:t>
      </w:r>
      <w:r w:rsidR="00B90ED9">
        <w:rPr>
          <w:rFonts w:asciiTheme="majorHAnsi" w:hAnsiTheme="majorHAnsi"/>
          <w:bCs w:val="0"/>
          <w:color w:val="7F7F7F" w:themeColor="text1" w:themeTint="80"/>
          <w:sz w:val="21"/>
          <w:szCs w:val="21"/>
          <w:lang w:val="sr-Cyrl-RS"/>
        </w:rPr>
        <w:t>,</w:t>
      </w:r>
      <w:r w:rsidRPr="00957ABE">
        <w:rPr>
          <w:rFonts w:asciiTheme="majorHAnsi" w:hAnsiTheme="majorHAnsi"/>
          <w:bCs w:val="0"/>
          <w:color w:val="7F7F7F" w:themeColor="text1" w:themeTint="80"/>
          <w:sz w:val="21"/>
          <w:szCs w:val="21"/>
          <w:lang w:val="sr-Cyrl-RS"/>
        </w:rPr>
        <w:t>5 година у истом временском хоризонту</w:t>
      </w:r>
      <w:r w:rsidR="00171A80" w:rsidRPr="00171A80">
        <w:rPr>
          <w:rFonts w:asciiTheme="majorHAnsi" w:hAnsiTheme="majorHAnsi"/>
          <w:bCs w:val="0"/>
          <w:color w:val="7F7F7F" w:themeColor="text1" w:themeTint="80"/>
          <w:sz w:val="21"/>
          <w:szCs w:val="21"/>
          <w:lang w:val="sr-Cyrl-RS"/>
        </w:rPr>
        <w:t>.</w:t>
      </w:r>
    </w:p>
    <w:p w:rsidR="001067B8" w:rsidRPr="001067B8" w:rsidRDefault="00171A80" w:rsidP="001067B8">
      <w:pPr>
        <w:ind w:firstLine="0"/>
        <w:rPr>
          <w:rFonts w:asciiTheme="majorHAnsi" w:hAnsiTheme="majorHAnsi"/>
          <w:b/>
          <w:i/>
          <w:color w:val="51671F"/>
          <w:szCs w:val="22"/>
          <w:lang w:val="sr-Cyrl-RS"/>
        </w:rPr>
      </w:pPr>
      <w:bookmarkStart w:id="65" w:name="_Toc337117134"/>
      <w:r w:rsidRPr="001067B8">
        <w:rPr>
          <w:rFonts w:asciiTheme="majorHAnsi" w:hAnsiTheme="majorHAnsi"/>
          <w:b/>
          <w:i/>
          <w:color w:val="51671F"/>
          <w:szCs w:val="22"/>
          <w:lang w:val="sr-Cyrl-RS"/>
        </w:rPr>
        <w:t>Стање јавног дуга према националној методологији и критеријумима из Мастрихта</w:t>
      </w:r>
      <w:bookmarkEnd w:id="65"/>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Важно је напоменути да, према националној методологији, у стање јавног дуга улазе директне обавезе централног нивоа власти, као и све индиректне обавезе, односно гарантовани дуг у корист јавних предузећа, локалних власти и других правних лица чији је оснивач Република Србија. У такво стање улазе све гаранције, без обзира да ли ће бити плаћања по основу њих у наредном периоду.</w:t>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 xml:space="preserve">С обзиром да је један од главних економских и политичких циљева Републике Србије прикључење ЕУ, као предуслов се намеће усклађивање домаће методологије у складу са европским стандардима. Из тог разлога, стање јавног дуга се анализира редовно и на основу </w:t>
      </w:r>
      <w:r w:rsidRPr="00B90ED9">
        <w:rPr>
          <w:rFonts w:asciiTheme="majorHAnsi" w:hAnsiTheme="majorHAnsi"/>
          <w:bCs w:val="0"/>
          <w:color w:val="7F7F7F" w:themeColor="text1" w:themeTint="80"/>
          <w:sz w:val="21"/>
          <w:szCs w:val="21"/>
          <w:lang w:val="sr-Cyrl-RS"/>
        </w:rPr>
        <w:lastRenderedPageBreak/>
        <w:t>критеријума постављених Уговором у Мастрихту, који представља систематизоване смернице у циљу одрживости јавног дуга и фискалног система, односно макроекономске стабилности. Према овим критеријумима, у стање јавног дуга треба укључити, поред директних обавеза централног нивоа власти, и негарантовани дуг локалних власти, али искључити дуг по основу директних и индиректних обавеза за које се од стране Републике (централног нивоа власти) не врше плаћања.</w:t>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Јавни дуг према Мастрихту је дефинисан у званичном документу ЕУ, под називом „Протокол о процедури прекомерног дефицита” (Protocol on the Excessive Deficit Procedure - EDP) који је део Споразума из Мастрихта и Члана I (5) Уредбе ЕК број: 479/2009, као укупан бруто дуг опште државе по номиналној вредности.</w:t>
      </w:r>
    </w:p>
    <w:p w:rsidR="00171A80" w:rsidRPr="00171A80"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Овај дуг се мери по номиналној вредности који је једнак уговореним износима дуга који Влада треба да врати кредиторима о року доспећа. То значи да јавни дуг није под утицајем промене тржишних приноса и искључује неплаћену обрачунску камату</w:t>
      </w:r>
      <w:r w:rsidR="00171A80" w:rsidRPr="00171A80">
        <w:rPr>
          <w:rFonts w:asciiTheme="majorHAnsi" w:hAnsiTheme="majorHAnsi"/>
          <w:bCs w:val="0"/>
          <w:color w:val="7F7F7F" w:themeColor="text1" w:themeTint="80"/>
          <w:sz w:val="21"/>
          <w:szCs w:val="21"/>
          <w:lang w:val="sr-Cyrl-RS"/>
        </w:rPr>
        <w:t>.</w:t>
      </w:r>
    </w:p>
    <w:p w:rsidR="00171A80" w:rsidRPr="00171A80" w:rsidRDefault="00171A80" w:rsidP="00171A80">
      <w:pPr>
        <w:ind w:firstLine="0"/>
        <w:rPr>
          <w:rFonts w:asciiTheme="majorHAnsi" w:hAnsiTheme="majorHAnsi"/>
          <w:b/>
          <w:bCs w:val="0"/>
          <w:color w:val="7F7F7F" w:themeColor="text1" w:themeTint="80"/>
          <w:kern w:val="20"/>
          <w:sz w:val="21"/>
          <w:szCs w:val="21"/>
          <w:lang w:val="sr-Cyrl-RS" w:eastAsia="ko-KR"/>
        </w:rPr>
      </w:pPr>
      <w:r w:rsidRPr="00171A80">
        <w:rPr>
          <w:rFonts w:asciiTheme="majorHAnsi" w:hAnsiTheme="majorHAnsi"/>
          <w:b/>
          <w:bCs w:val="0"/>
          <w:color w:val="7F7F7F" w:themeColor="text1" w:themeTint="80"/>
          <w:kern w:val="20"/>
          <w:sz w:val="21"/>
          <w:szCs w:val="21"/>
          <w:lang w:val="sr-Cyrl-RS" w:eastAsia="ko-KR"/>
        </w:rPr>
        <w:t>Табела 3</w:t>
      </w:r>
      <w:r w:rsidR="0038616A">
        <w:rPr>
          <w:rFonts w:asciiTheme="majorHAnsi" w:hAnsiTheme="majorHAnsi"/>
          <w:b/>
          <w:bCs w:val="0"/>
          <w:color w:val="7F7F7F" w:themeColor="text1" w:themeTint="80"/>
          <w:kern w:val="20"/>
          <w:sz w:val="21"/>
          <w:szCs w:val="21"/>
          <w:lang w:val="sr-Cyrl-RS" w:eastAsia="ko-KR"/>
        </w:rPr>
        <w:t>0</w:t>
      </w:r>
      <w:r w:rsidRPr="00171A80">
        <w:rPr>
          <w:rFonts w:asciiTheme="majorHAnsi" w:hAnsiTheme="majorHAnsi"/>
          <w:b/>
          <w:bCs w:val="0"/>
          <w:color w:val="7F7F7F" w:themeColor="text1" w:themeTint="80"/>
          <w:kern w:val="20"/>
          <w:sz w:val="21"/>
          <w:szCs w:val="21"/>
          <w:lang w:val="sr-Cyrl-RS" w:eastAsia="ko-KR"/>
        </w:rPr>
        <w:t>. Структура и пројекција стања јавног дуга према Мастрихт критеријуму до 2017. године</w:t>
      </w:r>
    </w:p>
    <w:tbl>
      <w:tblPr>
        <w:tblW w:w="4909" w:type="pct"/>
        <w:jc w:val="right"/>
        <w:tblBorders>
          <w:top w:val="single" w:sz="8" w:space="0" w:color="4F81BD"/>
          <w:bottom w:val="single" w:sz="8" w:space="0" w:color="4F81BD"/>
        </w:tblBorders>
        <w:tblLayout w:type="fixed"/>
        <w:tblLook w:val="0420" w:firstRow="1" w:lastRow="0" w:firstColumn="0" w:lastColumn="0" w:noHBand="0" w:noVBand="1"/>
      </w:tblPr>
      <w:tblGrid>
        <w:gridCol w:w="3269"/>
        <w:gridCol w:w="965"/>
        <w:gridCol w:w="1246"/>
        <w:gridCol w:w="829"/>
        <w:gridCol w:w="833"/>
        <w:gridCol w:w="828"/>
        <w:gridCol w:w="892"/>
      </w:tblGrid>
      <w:tr w:rsidR="00171A80" w:rsidRPr="00171A80" w:rsidTr="00171A80">
        <w:trPr>
          <w:trHeight w:val="20"/>
          <w:jc w:val="right"/>
        </w:trPr>
        <w:tc>
          <w:tcPr>
            <w:tcW w:w="1844"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rPr>
                <w:rFonts w:asciiTheme="majorHAnsi" w:hAnsiTheme="majorHAnsi"/>
                <w:b/>
                <w:bCs w:val="0"/>
                <w:color w:val="7F7F7F" w:themeColor="text1" w:themeTint="80"/>
                <w:sz w:val="18"/>
                <w:szCs w:val="18"/>
                <w:lang w:val="sr-Cyrl-RS" w:eastAsia="sr-Cyrl-CS"/>
              </w:rPr>
            </w:pPr>
            <w:r w:rsidRPr="00171A80">
              <w:rPr>
                <w:rFonts w:asciiTheme="majorHAnsi" w:hAnsiTheme="majorHAnsi"/>
                <w:b/>
                <w:bCs w:val="0"/>
                <w:color w:val="7F7F7F" w:themeColor="text1" w:themeTint="80"/>
                <w:sz w:val="18"/>
                <w:szCs w:val="18"/>
                <w:lang w:val="sr-Cyrl-RS" w:eastAsia="sr-Cyrl-CS"/>
              </w:rPr>
              <w:t> </w:t>
            </w:r>
          </w:p>
        </w:tc>
        <w:tc>
          <w:tcPr>
            <w:tcW w:w="544" w:type="pct"/>
            <w:tcBorders>
              <w:top w:val="single" w:sz="8" w:space="0" w:color="76923C" w:themeColor="accent3" w:themeShade="BF"/>
              <w:bottom w:val="single" w:sz="8" w:space="0" w:color="76923C" w:themeColor="accent3" w:themeShade="BF"/>
            </w:tcBorders>
            <w:shd w:val="clear" w:color="auto" w:fill="auto"/>
          </w:tcPr>
          <w:p w:rsidR="00171A80" w:rsidRPr="00171A80" w:rsidRDefault="00171A80" w:rsidP="00171A80">
            <w:pPr>
              <w:spacing w:after="0"/>
              <w:ind w:firstLine="0"/>
              <w:jc w:val="right"/>
              <w:rPr>
                <w:rFonts w:asciiTheme="majorHAnsi" w:hAnsiTheme="majorHAnsi"/>
                <w:b/>
                <w:bCs w:val="0"/>
                <w:color w:val="7F7F7F" w:themeColor="text1" w:themeTint="80"/>
                <w:sz w:val="18"/>
                <w:szCs w:val="18"/>
                <w:lang w:val="sr-Cyrl-RS" w:eastAsia="sr-Cyrl-CS"/>
              </w:rPr>
            </w:pPr>
            <w:r w:rsidRPr="00171A80">
              <w:rPr>
                <w:rFonts w:asciiTheme="majorHAnsi" w:hAnsiTheme="majorHAnsi"/>
                <w:b/>
                <w:bCs w:val="0"/>
                <w:color w:val="7F7F7F" w:themeColor="text1" w:themeTint="80"/>
                <w:sz w:val="18"/>
                <w:szCs w:val="18"/>
                <w:lang w:val="sr-Cyrl-RS" w:eastAsia="sr-Cyrl-CS"/>
              </w:rPr>
              <w:t>2013</w:t>
            </w:r>
          </w:p>
        </w:tc>
        <w:tc>
          <w:tcPr>
            <w:tcW w:w="703" w:type="pct"/>
            <w:tcBorders>
              <w:top w:val="single" w:sz="8" w:space="0" w:color="76923C" w:themeColor="accent3" w:themeShade="BF"/>
              <w:bottom w:val="single" w:sz="8" w:space="0" w:color="76923C" w:themeColor="accent3" w:themeShade="BF"/>
            </w:tcBorders>
            <w:shd w:val="clear" w:color="auto" w:fill="auto"/>
          </w:tcPr>
          <w:p w:rsidR="00171A80" w:rsidRPr="00171A80" w:rsidRDefault="00171A80" w:rsidP="00171A80">
            <w:pPr>
              <w:spacing w:after="0"/>
              <w:ind w:firstLine="0"/>
              <w:jc w:val="right"/>
              <w:rPr>
                <w:rFonts w:asciiTheme="majorHAnsi" w:hAnsiTheme="majorHAnsi"/>
                <w:b/>
                <w:bCs w:val="0"/>
                <w:color w:val="7F7F7F" w:themeColor="text1" w:themeTint="80"/>
                <w:sz w:val="18"/>
                <w:szCs w:val="18"/>
                <w:lang w:val="sr-Cyrl-RS" w:eastAsia="sr-Cyrl-CS"/>
              </w:rPr>
            </w:pPr>
            <w:r w:rsidRPr="00171A80">
              <w:rPr>
                <w:rFonts w:asciiTheme="majorHAnsi" w:hAnsiTheme="majorHAnsi"/>
                <w:b/>
                <w:bCs w:val="0"/>
                <w:color w:val="7F7F7F" w:themeColor="text1" w:themeTint="80"/>
                <w:sz w:val="18"/>
                <w:szCs w:val="18"/>
                <w:lang w:val="sr-Cyrl-RS" w:eastAsia="sr-Cyrl-CS"/>
              </w:rPr>
              <w:t>31.10.2014</w:t>
            </w:r>
          </w:p>
        </w:tc>
        <w:tc>
          <w:tcPr>
            <w:tcW w:w="468"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18"/>
                <w:szCs w:val="18"/>
                <w:lang w:val="sr-Cyrl-RS" w:eastAsia="sr-Cyrl-CS"/>
              </w:rPr>
            </w:pPr>
            <w:r w:rsidRPr="00171A80">
              <w:rPr>
                <w:rFonts w:asciiTheme="majorHAnsi" w:hAnsiTheme="majorHAnsi"/>
                <w:b/>
                <w:bCs w:val="0"/>
                <w:color w:val="7F7F7F" w:themeColor="text1" w:themeTint="80"/>
                <w:sz w:val="18"/>
                <w:szCs w:val="18"/>
                <w:lang w:val="sr-Cyrl-RS" w:eastAsia="sr-Cyrl-CS"/>
              </w:rPr>
              <w:t>2014п</w:t>
            </w:r>
          </w:p>
        </w:tc>
        <w:tc>
          <w:tcPr>
            <w:tcW w:w="470"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18"/>
                <w:szCs w:val="18"/>
                <w:lang w:val="sr-Cyrl-RS" w:eastAsia="sr-Cyrl-CS"/>
              </w:rPr>
            </w:pPr>
            <w:r w:rsidRPr="00171A80">
              <w:rPr>
                <w:rFonts w:asciiTheme="majorHAnsi" w:hAnsiTheme="majorHAnsi"/>
                <w:b/>
                <w:bCs w:val="0"/>
                <w:color w:val="7F7F7F" w:themeColor="text1" w:themeTint="80"/>
                <w:sz w:val="18"/>
                <w:szCs w:val="18"/>
                <w:lang w:val="sr-Cyrl-RS" w:eastAsia="sr-Cyrl-CS"/>
              </w:rPr>
              <w:t>2015п</w:t>
            </w:r>
          </w:p>
        </w:tc>
        <w:tc>
          <w:tcPr>
            <w:tcW w:w="467"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18"/>
                <w:szCs w:val="18"/>
                <w:lang w:val="sr-Cyrl-RS" w:eastAsia="sr-Cyrl-CS"/>
              </w:rPr>
            </w:pPr>
            <w:r w:rsidRPr="00171A80">
              <w:rPr>
                <w:rFonts w:asciiTheme="majorHAnsi" w:hAnsiTheme="majorHAnsi"/>
                <w:b/>
                <w:bCs w:val="0"/>
                <w:color w:val="7F7F7F" w:themeColor="text1" w:themeTint="80"/>
                <w:sz w:val="18"/>
                <w:szCs w:val="18"/>
                <w:lang w:val="sr-Cyrl-RS" w:eastAsia="sr-Cyrl-CS"/>
              </w:rPr>
              <w:t>2016п</w:t>
            </w:r>
          </w:p>
        </w:tc>
        <w:tc>
          <w:tcPr>
            <w:tcW w:w="503" w:type="pct"/>
            <w:tcBorders>
              <w:top w:val="single" w:sz="8" w:space="0" w:color="76923C" w:themeColor="accent3" w:themeShade="BF"/>
              <w:bottom w:val="single" w:sz="8" w:space="0" w:color="76923C" w:themeColor="accent3" w:themeShade="BF"/>
            </w:tcBorders>
            <w:shd w:val="clear" w:color="auto" w:fill="auto"/>
            <w:noWrap/>
            <w:hideMark/>
          </w:tcPr>
          <w:p w:rsidR="00171A80" w:rsidRPr="00171A80" w:rsidRDefault="00171A80" w:rsidP="00171A80">
            <w:pPr>
              <w:spacing w:after="0"/>
              <w:ind w:firstLine="0"/>
              <w:jc w:val="right"/>
              <w:rPr>
                <w:rFonts w:asciiTheme="majorHAnsi" w:hAnsiTheme="majorHAnsi"/>
                <w:b/>
                <w:bCs w:val="0"/>
                <w:color w:val="7F7F7F" w:themeColor="text1" w:themeTint="80"/>
                <w:sz w:val="18"/>
                <w:szCs w:val="18"/>
                <w:lang w:val="sr-Cyrl-RS" w:eastAsia="sr-Cyrl-CS"/>
              </w:rPr>
            </w:pPr>
            <w:r w:rsidRPr="00171A80">
              <w:rPr>
                <w:rFonts w:asciiTheme="majorHAnsi" w:hAnsiTheme="majorHAnsi"/>
                <w:b/>
                <w:bCs w:val="0"/>
                <w:color w:val="7F7F7F" w:themeColor="text1" w:themeTint="80"/>
                <w:sz w:val="18"/>
                <w:szCs w:val="18"/>
                <w:lang w:val="sr-Cyrl-RS" w:eastAsia="sr-Cyrl-CS"/>
              </w:rPr>
              <w:t>2017п</w:t>
            </w:r>
          </w:p>
        </w:tc>
      </w:tr>
      <w:tr w:rsidR="00171A80" w:rsidRPr="00171A80" w:rsidTr="00171A80">
        <w:trPr>
          <w:trHeight w:val="20"/>
          <w:jc w:val="right"/>
        </w:trPr>
        <w:tc>
          <w:tcPr>
            <w:tcW w:w="1844" w:type="pct"/>
            <w:tcBorders>
              <w:top w:val="single" w:sz="8" w:space="0" w:color="76923C" w:themeColor="accent3" w:themeShade="BF"/>
              <w:bottom w:val="nil"/>
            </w:tcBorders>
            <w:shd w:val="clear" w:color="auto" w:fill="EAF1DD" w:themeFill="accent3" w:themeFillTint="33"/>
            <w:noWrap/>
            <w:hideMark/>
          </w:tcPr>
          <w:p w:rsidR="00171A80" w:rsidRPr="00171A80" w:rsidRDefault="00171A80" w:rsidP="00171A80">
            <w:pPr>
              <w:spacing w:after="0"/>
              <w:ind w:firstLine="0"/>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 </w:t>
            </w:r>
          </w:p>
        </w:tc>
        <w:tc>
          <w:tcPr>
            <w:tcW w:w="544" w:type="pct"/>
            <w:tcBorders>
              <w:top w:val="single" w:sz="8" w:space="0" w:color="76923C" w:themeColor="accent3" w:themeShade="BF"/>
              <w:left w:val="nil"/>
              <w:bottom w:val="nil"/>
              <w:right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p>
        </w:tc>
        <w:tc>
          <w:tcPr>
            <w:tcW w:w="703" w:type="pct"/>
            <w:tcBorders>
              <w:top w:val="single" w:sz="8" w:space="0" w:color="76923C" w:themeColor="accent3" w:themeShade="BF"/>
              <w:bottom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p>
        </w:tc>
        <w:tc>
          <w:tcPr>
            <w:tcW w:w="1908" w:type="pct"/>
            <w:gridSpan w:val="4"/>
            <w:tcBorders>
              <w:top w:val="single" w:sz="8" w:space="0" w:color="76923C" w:themeColor="accent3" w:themeShade="BF"/>
              <w:left w:val="nil"/>
              <w:bottom w:val="nil"/>
              <w:right w:val="nil"/>
            </w:tcBorders>
            <w:shd w:val="clear" w:color="auto" w:fill="EAF1DD" w:themeFill="accent3" w:themeFillTint="33"/>
            <w:noWrap/>
            <w:hideMark/>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у млрд динара</w:t>
            </w:r>
          </w:p>
        </w:tc>
      </w:tr>
      <w:tr w:rsidR="00171A80" w:rsidRPr="00171A80" w:rsidTr="00171A80">
        <w:trPr>
          <w:trHeight w:val="284"/>
          <w:jc w:val="right"/>
        </w:trPr>
        <w:tc>
          <w:tcPr>
            <w:tcW w:w="1844" w:type="pct"/>
            <w:tcBorders>
              <w:top w:val="nil"/>
              <w:bottom w:val="nil"/>
            </w:tcBorders>
            <w:shd w:val="clear" w:color="auto" w:fill="auto"/>
            <w:noWrap/>
            <w:hideMark/>
          </w:tcPr>
          <w:p w:rsidR="00171A80" w:rsidRPr="00171A80" w:rsidRDefault="00171A80" w:rsidP="00171A80">
            <w:pPr>
              <w:spacing w:after="0"/>
              <w:ind w:firstLine="0"/>
              <w:jc w:val="lef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Укупне директне обавезе</w:t>
            </w:r>
          </w:p>
        </w:tc>
        <w:tc>
          <w:tcPr>
            <w:tcW w:w="544"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1.912,4</w:t>
            </w:r>
          </w:p>
        </w:tc>
        <w:tc>
          <w:tcPr>
            <w:tcW w:w="703"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2.266,8</w:t>
            </w:r>
          </w:p>
        </w:tc>
        <w:tc>
          <w:tcPr>
            <w:tcW w:w="468"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2.307,6</w:t>
            </w:r>
          </w:p>
        </w:tc>
        <w:tc>
          <w:tcPr>
            <w:tcW w:w="470"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2.511,0</w:t>
            </w:r>
          </w:p>
        </w:tc>
        <w:tc>
          <w:tcPr>
            <w:tcW w:w="467"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2.712,0</w:t>
            </w:r>
          </w:p>
        </w:tc>
        <w:tc>
          <w:tcPr>
            <w:tcW w:w="503" w:type="pct"/>
            <w:tcBorders>
              <w:top w:val="nil"/>
              <w:bottom w:val="nil"/>
            </w:tcBorders>
            <w:shd w:val="clear" w:color="auto" w:fill="auto"/>
            <w:noWrap/>
            <w:hideMark/>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2.893,5</w:t>
            </w:r>
          </w:p>
        </w:tc>
      </w:tr>
      <w:tr w:rsidR="00171A80" w:rsidRPr="00171A80" w:rsidTr="00171A80">
        <w:trPr>
          <w:trHeight w:val="284"/>
          <w:jc w:val="right"/>
        </w:trPr>
        <w:tc>
          <w:tcPr>
            <w:tcW w:w="1844" w:type="pct"/>
            <w:tcBorders>
              <w:top w:val="nil"/>
              <w:bottom w:val="nil"/>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Гарантовани дуг</w:t>
            </w:r>
          </w:p>
        </w:tc>
        <w:tc>
          <w:tcPr>
            <w:tcW w:w="544" w:type="pct"/>
            <w:tcBorders>
              <w:top w:val="nil"/>
              <w:left w:val="nil"/>
              <w:bottom w:val="nil"/>
              <w:right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209,0</w:t>
            </w:r>
          </w:p>
        </w:tc>
        <w:tc>
          <w:tcPr>
            <w:tcW w:w="703" w:type="pct"/>
            <w:tcBorders>
              <w:top w:val="nil"/>
              <w:bottom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189,6</w:t>
            </w:r>
          </w:p>
        </w:tc>
        <w:tc>
          <w:tcPr>
            <w:tcW w:w="468"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198,6</w:t>
            </w:r>
          </w:p>
        </w:tc>
        <w:tc>
          <w:tcPr>
            <w:tcW w:w="470"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233,8</w:t>
            </w:r>
          </w:p>
        </w:tc>
        <w:tc>
          <w:tcPr>
            <w:tcW w:w="467"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226,5</w:t>
            </w:r>
          </w:p>
        </w:tc>
        <w:tc>
          <w:tcPr>
            <w:tcW w:w="503"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192,4</w:t>
            </w:r>
          </w:p>
        </w:tc>
      </w:tr>
      <w:tr w:rsidR="00171A80" w:rsidRPr="00171A80" w:rsidTr="00171A80">
        <w:trPr>
          <w:trHeight w:val="284"/>
          <w:jc w:val="right"/>
        </w:trPr>
        <w:tc>
          <w:tcPr>
            <w:tcW w:w="1844" w:type="pct"/>
            <w:tcBorders>
              <w:top w:val="nil"/>
              <w:bottom w:val="nil"/>
            </w:tcBorders>
            <w:shd w:val="clear" w:color="auto" w:fill="auto"/>
            <w:noWrap/>
            <w:hideMark/>
          </w:tcPr>
          <w:p w:rsidR="00171A80" w:rsidRPr="00171A80" w:rsidRDefault="00171A80" w:rsidP="00171A80">
            <w:pPr>
              <w:spacing w:after="0"/>
              <w:ind w:firstLine="0"/>
              <w:jc w:val="lef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Остали дуг сектора државе</w:t>
            </w:r>
          </w:p>
        </w:tc>
        <w:tc>
          <w:tcPr>
            <w:tcW w:w="544"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 xml:space="preserve">5,6 </w:t>
            </w:r>
          </w:p>
        </w:tc>
        <w:tc>
          <w:tcPr>
            <w:tcW w:w="703"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2,3</w:t>
            </w:r>
          </w:p>
        </w:tc>
        <w:tc>
          <w:tcPr>
            <w:tcW w:w="468"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2,2</w:t>
            </w:r>
          </w:p>
        </w:tc>
        <w:tc>
          <w:tcPr>
            <w:tcW w:w="470"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1,3</w:t>
            </w:r>
          </w:p>
        </w:tc>
        <w:tc>
          <w:tcPr>
            <w:tcW w:w="467"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0,7</w:t>
            </w:r>
          </w:p>
        </w:tc>
        <w:tc>
          <w:tcPr>
            <w:tcW w:w="50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0,4</w:t>
            </w:r>
          </w:p>
        </w:tc>
      </w:tr>
      <w:tr w:rsidR="00171A80" w:rsidRPr="00171A80" w:rsidTr="00171A80">
        <w:trPr>
          <w:trHeight w:val="284"/>
          <w:jc w:val="right"/>
        </w:trPr>
        <w:tc>
          <w:tcPr>
            <w:tcW w:w="1844" w:type="pct"/>
            <w:tcBorders>
              <w:top w:val="nil"/>
              <w:bottom w:val="nil"/>
            </w:tcBorders>
            <w:shd w:val="clear" w:color="auto" w:fill="EAF1DD" w:themeFill="accent3" w:themeFillTint="33"/>
            <w:noWrap/>
            <w:hideMark/>
          </w:tcPr>
          <w:p w:rsidR="00171A80" w:rsidRPr="00171A80" w:rsidRDefault="00171A80" w:rsidP="00171A80">
            <w:pPr>
              <w:spacing w:after="0"/>
              <w:ind w:firstLine="0"/>
              <w:jc w:val="lef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Дуг локалне власти</w:t>
            </w:r>
          </w:p>
        </w:tc>
        <w:tc>
          <w:tcPr>
            <w:tcW w:w="544" w:type="pct"/>
            <w:tcBorders>
              <w:top w:val="nil"/>
              <w:left w:val="nil"/>
              <w:bottom w:val="nil"/>
              <w:right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81,3</w:t>
            </w:r>
          </w:p>
        </w:tc>
        <w:tc>
          <w:tcPr>
            <w:tcW w:w="703" w:type="pct"/>
            <w:tcBorders>
              <w:top w:val="nil"/>
              <w:bottom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82,4</w:t>
            </w:r>
          </w:p>
        </w:tc>
        <w:tc>
          <w:tcPr>
            <w:tcW w:w="468"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84,3</w:t>
            </w:r>
          </w:p>
        </w:tc>
        <w:tc>
          <w:tcPr>
            <w:tcW w:w="470"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95,3</w:t>
            </w:r>
          </w:p>
        </w:tc>
        <w:tc>
          <w:tcPr>
            <w:tcW w:w="467"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102,4</w:t>
            </w:r>
          </w:p>
        </w:tc>
        <w:tc>
          <w:tcPr>
            <w:tcW w:w="503"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109,7</w:t>
            </w:r>
          </w:p>
        </w:tc>
      </w:tr>
      <w:tr w:rsidR="00171A80" w:rsidRPr="00171A80" w:rsidTr="00171A80">
        <w:trPr>
          <w:trHeight w:val="284"/>
          <w:jc w:val="right"/>
        </w:trPr>
        <w:tc>
          <w:tcPr>
            <w:tcW w:w="1844" w:type="pct"/>
            <w:tcBorders>
              <w:top w:val="nil"/>
              <w:bottom w:val="nil"/>
            </w:tcBorders>
            <w:shd w:val="clear" w:color="auto" w:fill="auto"/>
            <w:hideMark/>
          </w:tcPr>
          <w:p w:rsidR="00171A80" w:rsidRPr="00171A80" w:rsidRDefault="00171A80" w:rsidP="00171A80">
            <w:pPr>
              <w:spacing w:after="0"/>
              <w:ind w:firstLine="0"/>
              <w:jc w:val="lef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Дуг институција социјалног осигурања</w:t>
            </w:r>
          </w:p>
        </w:tc>
        <w:tc>
          <w:tcPr>
            <w:tcW w:w="544"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0</w:t>
            </w:r>
          </w:p>
        </w:tc>
        <w:tc>
          <w:tcPr>
            <w:tcW w:w="703" w:type="pct"/>
            <w:tcBorders>
              <w:top w:val="nil"/>
              <w:bottom w:val="nil"/>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0</w:t>
            </w:r>
          </w:p>
        </w:tc>
        <w:tc>
          <w:tcPr>
            <w:tcW w:w="468"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0</w:t>
            </w:r>
          </w:p>
        </w:tc>
        <w:tc>
          <w:tcPr>
            <w:tcW w:w="470"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0</w:t>
            </w:r>
          </w:p>
        </w:tc>
        <w:tc>
          <w:tcPr>
            <w:tcW w:w="467"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0</w:t>
            </w:r>
          </w:p>
        </w:tc>
        <w:tc>
          <w:tcPr>
            <w:tcW w:w="503" w:type="pct"/>
            <w:tcBorders>
              <w:top w:val="nil"/>
              <w:bottom w:val="nil"/>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0</w:t>
            </w:r>
          </w:p>
        </w:tc>
      </w:tr>
      <w:tr w:rsidR="00171A80" w:rsidRPr="00171A80" w:rsidTr="00171A80">
        <w:trPr>
          <w:trHeight w:val="284"/>
          <w:jc w:val="right"/>
        </w:trPr>
        <w:tc>
          <w:tcPr>
            <w:tcW w:w="1844" w:type="pct"/>
            <w:tcBorders>
              <w:top w:val="nil"/>
              <w:bottom w:val="nil"/>
            </w:tcBorders>
            <w:shd w:val="clear" w:color="auto" w:fill="EAF1DD" w:themeFill="accent3" w:themeFillTint="33"/>
            <w:hideMark/>
          </w:tcPr>
          <w:p w:rsidR="00171A80" w:rsidRPr="00171A80" w:rsidRDefault="00171A80" w:rsidP="00171A80">
            <w:pPr>
              <w:spacing w:after="0"/>
              <w:ind w:firstLine="0"/>
              <w:jc w:val="lef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Јавни дуг Републике Србије</w:t>
            </w:r>
          </w:p>
        </w:tc>
        <w:tc>
          <w:tcPr>
            <w:tcW w:w="544" w:type="pct"/>
            <w:tcBorders>
              <w:top w:val="nil"/>
              <w:left w:val="nil"/>
              <w:bottom w:val="nil"/>
              <w:right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2.208,3</w:t>
            </w:r>
          </w:p>
        </w:tc>
        <w:tc>
          <w:tcPr>
            <w:tcW w:w="703" w:type="pct"/>
            <w:tcBorders>
              <w:top w:val="nil"/>
              <w:bottom w:val="nil"/>
            </w:tcBorders>
            <w:shd w:val="clear" w:color="auto" w:fill="EAF1DD" w:themeFill="accent3" w:themeFillTint="33"/>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2.541,1</w:t>
            </w:r>
          </w:p>
        </w:tc>
        <w:tc>
          <w:tcPr>
            <w:tcW w:w="468"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2.592,7</w:t>
            </w:r>
          </w:p>
        </w:tc>
        <w:tc>
          <w:tcPr>
            <w:tcW w:w="470"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2.841,4</w:t>
            </w:r>
          </w:p>
        </w:tc>
        <w:tc>
          <w:tcPr>
            <w:tcW w:w="467" w:type="pct"/>
            <w:tcBorders>
              <w:top w:val="nil"/>
              <w:left w:val="nil"/>
              <w:bottom w:val="nil"/>
              <w:right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3.041,6</w:t>
            </w:r>
          </w:p>
        </w:tc>
        <w:tc>
          <w:tcPr>
            <w:tcW w:w="503" w:type="pct"/>
            <w:tcBorders>
              <w:top w:val="nil"/>
              <w:bottom w:val="nil"/>
            </w:tcBorders>
            <w:shd w:val="clear" w:color="auto" w:fill="EAF1DD" w:themeFill="accent3" w:themeFillTint="33"/>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3.196,0</w:t>
            </w:r>
          </w:p>
        </w:tc>
      </w:tr>
      <w:tr w:rsidR="00171A80" w:rsidRPr="00171A80" w:rsidTr="00171A80">
        <w:trPr>
          <w:trHeight w:val="284"/>
          <w:jc w:val="right"/>
        </w:trPr>
        <w:tc>
          <w:tcPr>
            <w:tcW w:w="1844" w:type="pct"/>
            <w:tcBorders>
              <w:top w:val="nil"/>
              <w:bottom w:val="single" w:sz="8" w:space="0" w:color="76923C" w:themeColor="accent3" w:themeShade="BF"/>
            </w:tcBorders>
            <w:shd w:val="clear" w:color="auto" w:fill="auto"/>
          </w:tcPr>
          <w:p w:rsidR="00171A80" w:rsidRPr="00171A80" w:rsidRDefault="00171A80" w:rsidP="00171A80">
            <w:pPr>
              <w:spacing w:after="0"/>
              <w:ind w:firstLine="0"/>
              <w:jc w:val="lef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Јавни дуг Републике Србије/БДП</w:t>
            </w:r>
          </w:p>
        </w:tc>
        <w:tc>
          <w:tcPr>
            <w:tcW w:w="544" w:type="pct"/>
            <w:tcBorders>
              <w:top w:val="nil"/>
              <w:bottom w:val="single" w:sz="8" w:space="0" w:color="76923C" w:themeColor="accent3" w:themeShade="BF"/>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57,0%</w:t>
            </w:r>
          </w:p>
        </w:tc>
        <w:tc>
          <w:tcPr>
            <w:tcW w:w="703" w:type="pct"/>
            <w:tcBorders>
              <w:top w:val="nil"/>
              <w:bottom w:val="single" w:sz="8" w:space="0" w:color="76923C" w:themeColor="accent3" w:themeShade="BF"/>
            </w:tcBorders>
            <w:shd w:val="clear" w:color="auto" w:fill="auto"/>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64,6%</w:t>
            </w:r>
          </w:p>
        </w:tc>
        <w:tc>
          <w:tcPr>
            <w:tcW w:w="468" w:type="pct"/>
            <w:tcBorders>
              <w:top w:val="nil"/>
              <w:bottom w:val="single" w:sz="8" w:space="0" w:color="76923C" w:themeColor="accent3" w:themeShade="BF"/>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66,8%</w:t>
            </w:r>
          </w:p>
        </w:tc>
        <w:tc>
          <w:tcPr>
            <w:tcW w:w="470" w:type="pct"/>
            <w:tcBorders>
              <w:top w:val="nil"/>
              <w:bottom w:val="single" w:sz="8" w:space="0" w:color="76923C" w:themeColor="accent3" w:themeShade="BF"/>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71,6%</w:t>
            </w:r>
          </w:p>
        </w:tc>
        <w:tc>
          <w:tcPr>
            <w:tcW w:w="467" w:type="pct"/>
            <w:tcBorders>
              <w:top w:val="nil"/>
              <w:bottom w:val="single" w:sz="8" w:space="0" w:color="76923C" w:themeColor="accent3" w:themeShade="BF"/>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72,5%</w:t>
            </w:r>
          </w:p>
        </w:tc>
        <w:tc>
          <w:tcPr>
            <w:tcW w:w="503" w:type="pct"/>
            <w:tcBorders>
              <w:top w:val="nil"/>
              <w:bottom w:val="single" w:sz="8" w:space="0" w:color="76923C" w:themeColor="accent3" w:themeShade="BF"/>
            </w:tcBorders>
            <w:shd w:val="clear" w:color="auto" w:fill="auto"/>
            <w:noWrap/>
          </w:tcPr>
          <w:p w:rsidR="00171A80" w:rsidRPr="00171A80" w:rsidRDefault="00171A80" w:rsidP="00171A80">
            <w:pPr>
              <w:spacing w:after="0"/>
              <w:ind w:firstLine="0"/>
              <w:jc w:val="right"/>
              <w:rPr>
                <w:rFonts w:asciiTheme="majorHAnsi" w:hAnsiTheme="majorHAnsi"/>
                <w:bCs w:val="0"/>
                <w:color w:val="7F7F7F" w:themeColor="text1" w:themeTint="80"/>
                <w:sz w:val="18"/>
                <w:szCs w:val="18"/>
                <w:lang w:val="sr-Cyrl-RS" w:eastAsia="sr-Cyrl-CS"/>
              </w:rPr>
            </w:pPr>
            <w:r w:rsidRPr="00171A80">
              <w:rPr>
                <w:rFonts w:asciiTheme="majorHAnsi" w:hAnsiTheme="majorHAnsi"/>
                <w:bCs w:val="0"/>
                <w:color w:val="7F7F7F" w:themeColor="text1" w:themeTint="80"/>
                <w:sz w:val="18"/>
                <w:szCs w:val="18"/>
                <w:lang w:val="sr-Cyrl-RS" w:eastAsia="sr-Cyrl-CS"/>
              </w:rPr>
              <w:t>71,7%</w:t>
            </w:r>
          </w:p>
        </w:tc>
      </w:tr>
    </w:tbl>
    <w:p w:rsidR="00171A80" w:rsidRPr="001067B8" w:rsidRDefault="00171A80" w:rsidP="008C590F">
      <w:pPr>
        <w:spacing w:before="120"/>
        <w:ind w:firstLine="0"/>
        <w:rPr>
          <w:rFonts w:asciiTheme="majorHAnsi" w:hAnsiTheme="majorHAnsi"/>
          <w:b/>
          <w:i/>
          <w:color w:val="51671F"/>
          <w:szCs w:val="22"/>
          <w:lang w:val="sr-Cyrl-RS"/>
        </w:rPr>
      </w:pPr>
      <w:r w:rsidRPr="001067B8">
        <w:rPr>
          <w:rFonts w:asciiTheme="majorHAnsi" w:hAnsiTheme="majorHAnsi"/>
          <w:b/>
          <w:i/>
          <w:color w:val="51671F"/>
          <w:szCs w:val="22"/>
          <w:lang w:val="sr-Cyrl-RS"/>
        </w:rPr>
        <w:t>Мере за унапређење тржишта динарских хартија од вредности у периоду 2014-2017. године</w:t>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Тржиште државних хартија од вредности у периоду од 2011. године до октобра 2014. године карактерише испуњавање зацртаних стратешких циљева, првенствено у погледу инструмента финансирања, као и у развоју и одржавању стабилности диверсификоване базе инвеститора. Захваљујући вођењу развојне политике домаћег тржишта државних хартија од вредности, омогућено је успостављање континуитета у финансирању буџета Републике Србије, као и унапређење обима финансирања путем емисија државних хартија од вредности на домаћем финансијском тржишту. Преласком са краткорочних извора финансирања који се везују за период до 2010. године, на средњорочне и дугорочне инструменте финансирања уз константно смањење трошкова задуживања, утиче се на смањење ризика рефинансирања, као једног од примарних ризика у процесу управљања јавним дугом. Транспарентност у раду и извештавању, као и присутност на међународном тржишту капитала, утиче на информисаност а тиме и на заинтересованост нерезидената да инвестирају капитал у дужничке инструменте, првенствено у државне динарске дугорочне хартије од вредности, чиме се остварује раст стабилне базе инвеститора. Овогодишњом емисијом десетогодишњих обвезница заокружује се развој рочности на криви приноса, како динарских, тако и евро деноминованих државних хартија од вредности, чиме се ствара предуслов за предстојеће кораке развоја домаћег тржишта капитала, првенствено у погледу развоја стратегије за успостављање бенчмарк емисија на домаћем финансијском тржишту, као и за развој секундарног тржишта државних хартија од вредности.</w:t>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 xml:space="preserve">У периоду за који се доноси ова стратегија очекује се унапређење ефикасности примарног тржишта кроз концепт примарних дилера, као механизма продаје државних хартија од вредности који директно, у дужем року, доприноси смањењу трошкова задуживања као и смањењу ризика рефинансирања. Увођење система продаје државних хартија од вредности на домаћем финансијском тржишту преко примарних дилера, пружа добру основу за унапређење тржишне ефикасности секундарног тржишта државних хартија од вредности. </w:t>
      </w:r>
      <w:r w:rsidRPr="00B90ED9">
        <w:rPr>
          <w:rFonts w:asciiTheme="majorHAnsi" w:hAnsiTheme="majorHAnsi"/>
          <w:bCs w:val="0"/>
          <w:color w:val="7F7F7F" w:themeColor="text1" w:themeTint="80"/>
          <w:sz w:val="21"/>
          <w:szCs w:val="21"/>
          <w:lang w:val="sr-Cyrl-RS"/>
        </w:rPr>
        <w:lastRenderedPageBreak/>
        <w:t>Развојем секундарног тржишта, временом успоставиће се концепт тржишне ефикасности у процесу вредновања државних хартија од вредности. Дугогодишњим развојем рочности криве приноса државних хартија створени су услови за израду стратегије за емисију бенчмарк обвезница Републике Србије. Увођењем бенчмарк емисија обвезница оствариће се позитиван ефекат на обим и континуитет секундарног трговања, као и на унапређење тржишне ефикасности у поступку продаје државних хартија на примарном тржишту.</w:t>
      </w:r>
    </w:p>
    <w:p w:rsidR="00171A80" w:rsidRPr="009123E8"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Као водеће факторе који утичу на криву приноса државних хартија од вредности потребно је издвојити фискални резултат, очекивану стопу инфлације и девизни курс. Као посебну групу фактора потребно је издвојити макроекономска кретања и очекивања, као и промене на међународном финансијском тржишту, које се рефлектују на премију ризика земље</w:t>
      </w:r>
      <w:r w:rsidR="009123E8">
        <w:rPr>
          <w:rFonts w:asciiTheme="majorHAnsi" w:hAnsiTheme="majorHAnsi"/>
          <w:bCs w:val="0"/>
          <w:color w:val="7F7F7F" w:themeColor="text1" w:themeTint="80"/>
          <w:sz w:val="21"/>
          <w:szCs w:val="21"/>
          <w:lang w:val="sr-Cyrl-RS"/>
        </w:rPr>
        <w:t xml:space="preserve">. </w:t>
      </w:r>
    </w:p>
    <w:p w:rsidR="00171A80" w:rsidRPr="00171A80" w:rsidRDefault="00171A80" w:rsidP="00C92012">
      <w:pPr>
        <w:ind w:firstLine="0"/>
        <w:jc w:val="center"/>
        <w:rPr>
          <w:rFonts w:asciiTheme="majorHAnsi" w:hAnsiTheme="majorHAnsi"/>
          <w:b/>
          <w:bCs w:val="0"/>
          <w:color w:val="7F7F7F" w:themeColor="text1" w:themeTint="80"/>
          <w:sz w:val="21"/>
          <w:szCs w:val="21"/>
          <w:lang w:val="sr-Cyrl-RS"/>
        </w:rPr>
      </w:pPr>
      <w:r w:rsidRPr="00171A80">
        <w:rPr>
          <w:rFonts w:asciiTheme="majorHAnsi" w:hAnsiTheme="majorHAnsi"/>
          <w:b/>
          <w:bCs w:val="0"/>
          <w:color w:val="7F7F7F" w:themeColor="text1" w:themeTint="80"/>
          <w:sz w:val="21"/>
          <w:szCs w:val="21"/>
          <w:lang w:val="sr-Cyrl-RS"/>
        </w:rPr>
        <w:t>Графикон 3</w:t>
      </w:r>
      <w:r w:rsidR="00BC66CD">
        <w:rPr>
          <w:rFonts w:asciiTheme="majorHAnsi" w:hAnsiTheme="majorHAnsi"/>
          <w:b/>
          <w:bCs w:val="0"/>
          <w:color w:val="7F7F7F" w:themeColor="text1" w:themeTint="80"/>
          <w:sz w:val="21"/>
          <w:szCs w:val="21"/>
          <w:lang w:val="sr-Cyrl-RS"/>
        </w:rPr>
        <w:t>3</w:t>
      </w:r>
      <w:r w:rsidRPr="00171A80">
        <w:rPr>
          <w:rFonts w:asciiTheme="majorHAnsi" w:hAnsiTheme="majorHAnsi"/>
          <w:b/>
          <w:bCs w:val="0"/>
          <w:color w:val="7F7F7F" w:themeColor="text1" w:themeTint="80"/>
          <w:sz w:val="21"/>
          <w:szCs w:val="21"/>
          <w:lang w:val="sr-Cyrl-RS"/>
        </w:rPr>
        <w:t>. Структура имаоца државних хартија од вредности емитованих на домаћем финансијском тржишту</w:t>
      </w:r>
      <w:r w:rsidR="003A267A">
        <w:rPr>
          <w:rFonts w:asciiTheme="majorHAnsi" w:hAnsiTheme="majorHAnsi"/>
          <w:b/>
          <w:bCs w:val="0"/>
          <w:color w:val="7F7F7F" w:themeColor="text1" w:themeTint="80"/>
          <w:sz w:val="21"/>
          <w:szCs w:val="21"/>
          <w:lang w:val="sr-Cyrl-RS"/>
        </w:rPr>
        <w:t xml:space="preserve"> по типу лица на дан 31. октоб</w:t>
      </w:r>
      <w:r w:rsidR="00BC66CD">
        <w:rPr>
          <w:rFonts w:asciiTheme="majorHAnsi" w:hAnsiTheme="majorHAnsi"/>
          <w:b/>
          <w:bCs w:val="0"/>
          <w:color w:val="7F7F7F" w:themeColor="text1" w:themeTint="80"/>
          <w:sz w:val="21"/>
          <w:szCs w:val="21"/>
          <w:lang w:val="sr-Cyrl-RS"/>
        </w:rPr>
        <w:t>а</w:t>
      </w:r>
      <w:r w:rsidR="003A267A">
        <w:rPr>
          <w:rFonts w:asciiTheme="majorHAnsi" w:hAnsiTheme="majorHAnsi"/>
          <w:b/>
          <w:bCs w:val="0"/>
          <w:color w:val="7F7F7F" w:themeColor="text1" w:themeTint="80"/>
          <w:sz w:val="21"/>
          <w:szCs w:val="21"/>
          <w:lang w:val="sr-Cyrl-RS"/>
        </w:rPr>
        <w:t>р</w:t>
      </w:r>
      <w:r w:rsidRPr="00171A80">
        <w:rPr>
          <w:rFonts w:asciiTheme="majorHAnsi" w:hAnsiTheme="majorHAnsi"/>
          <w:b/>
          <w:bCs w:val="0"/>
          <w:color w:val="7F7F7F" w:themeColor="text1" w:themeTint="80"/>
          <w:sz w:val="21"/>
          <w:szCs w:val="21"/>
          <w:lang w:val="sr-Cyrl-RS"/>
        </w:rPr>
        <w:t xml:space="preserve"> 2014. године</w:t>
      </w:r>
    </w:p>
    <w:p w:rsidR="00171A80" w:rsidRPr="008C590F" w:rsidRDefault="00171A80" w:rsidP="008C590F">
      <w:pPr>
        <w:ind w:firstLine="0"/>
        <w:rPr>
          <w:rFonts w:asciiTheme="majorHAnsi" w:hAnsiTheme="majorHAnsi"/>
          <w:color w:val="FF0000"/>
          <w:sz w:val="21"/>
          <w:szCs w:val="21"/>
          <w:lang w:val="sr-Cyrl-RS"/>
        </w:rPr>
      </w:pPr>
      <w:r w:rsidRPr="00171A80">
        <w:rPr>
          <w:rFonts w:asciiTheme="majorHAnsi" w:hAnsiTheme="majorHAnsi"/>
          <w:noProof/>
          <w:sz w:val="21"/>
          <w:szCs w:val="21"/>
          <w:lang w:val="en-US"/>
        </w:rPr>
        <w:drawing>
          <wp:inline distT="0" distB="0" distL="0" distR="0" wp14:anchorId="13260E75" wp14:editId="36054924">
            <wp:extent cx="5599688" cy="2581360"/>
            <wp:effectExtent l="0" t="0" r="127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71A80" w:rsidRPr="00171A80" w:rsidRDefault="0038616A" w:rsidP="008C590F">
      <w:pPr>
        <w:spacing w:before="120"/>
        <w:ind w:firstLine="0"/>
        <w:jc w:val="center"/>
        <w:rPr>
          <w:rFonts w:asciiTheme="majorHAnsi" w:hAnsiTheme="majorHAnsi"/>
          <w:b/>
          <w:bCs w:val="0"/>
          <w:color w:val="7F7F7F" w:themeColor="text1" w:themeTint="80"/>
          <w:sz w:val="21"/>
          <w:szCs w:val="21"/>
          <w:lang w:val="sr-Cyrl-RS"/>
        </w:rPr>
      </w:pPr>
      <w:r>
        <w:rPr>
          <w:rFonts w:asciiTheme="majorHAnsi" w:hAnsiTheme="majorHAnsi"/>
          <w:b/>
          <w:bCs w:val="0"/>
          <w:color w:val="7F7F7F" w:themeColor="text1" w:themeTint="80"/>
          <w:sz w:val="21"/>
          <w:szCs w:val="21"/>
          <w:lang w:val="sr-Cyrl-RS"/>
        </w:rPr>
        <w:t>Графикон 3</w:t>
      </w:r>
      <w:r w:rsidR="00BC66CD">
        <w:rPr>
          <w:rFonts w:asciiTheme="majorHAnsi" w:hAnsiTheme="majorHAnsi"/>
          <w:b/>
          <w:bCs w:val="0"/>
          <w:color w:val="7F7F7F" w:themeColor="text1" w:themeTint="80"/>
          <w:sz w:val="21"/>
          <w:szCs w:val="21"/>
          <w:lang w:val="sr-Cyrl-RS"/>
        </w:rPr>
        <w:t>4</w:t>
      </w:r>
      <w:r w:rsidR="00171A80" w:rsidRPr="00171A80">
        <w:rPr>
          <w:rFonts w:asciiTheme="majorHAnsi" w:hAnsiTheme="majorHAnsi"/>
          <w:b/>
          <w:bCs w:val="0"/>
          <w:color w:val="7F7F7F" w:themeColor="text1" w:themeTint="80"/>
          <w:sz w:val="21"/>
          <w:szCs w:val="21"/>
          <w:lang w:val="sr-Cyrl-RS"/>
        </w:rPr>
        <w:t>. Структура имаоца државних хартија од вредности емитованих на домаћем финансијском тржишту по т</w:t>
      </w:r>
      <w:r w:rsidR="00BC66CD">
        <w:rPr>
          <w:rFonts w:asciiTheme="majorHAnsi" w:hAnsiTheme="majorHAnsi"/>
          <w:b/>
          <w:bCs w:val="0"/>
          <w:color w:val="7F7F7F" w:themeColor="text1" w:themeTint="80"/>
          <w:sz w:val="21"/>
          <w:szCs w:val="21"/>
          <w:lang w:val="sr-Cyrl-RS"/>
        </w:rPr>
        <w:t>ипу делатности на дан 31. октоб</w:t>
      </w:r>
      <w:r w:rsidR="00171A80" w:rsidRPr="00171A80">
        <w:rPr>
          <w:rFonts w:asciiTheme="majorHAnsi" w:hAnsiTheme="majorHAnsi"/>
          <w:b/>
          <w:bCs w:val="0"/>
          <w:color w:val="7F7F7F" w:themeColor="text1" w:themeTint="80"/>
          <w:sz w:val="21"/>
          <w:szCs w:val="21"/>
          <w:lang w:val="sr-Cyrl-RS"/>
        </w:rPr>
        <w:t>а</w:t>
      </w:r>
      <w:r w:rsidR="00BC66CD">
        <w:rPr>
          <w:rFonts w:asciiTheme="majorHAnsi" w:hAnsiTheme="majorHAnsi"/>
          <w:b/>
          <w:bCs w:val="0"/>
          <w:color w:val="7F7F7F" w:themeColor="text1" w:themeTint="80"/>
          <w:sz w:val="21"/>
          <w:szCs w:val="21"/>
          <w:lang w:val="sr-Cyrl-RS"/>
        </w:rPr>
        <w:t>р</w:t>
      </w:r>
      <w:r w:rsidR="00171A80" w:rsidRPr="00171A80">
        <w:rPr>
          <w:rFonts w:asciiTheme="majorHAnsi" w:hAnsiTheme="majorHAnsi"/>
          <w:b/>
          <w:bCs w:val="0"/>
          <w:color w:val="7F7F7F" w:themeColor="text1" w:themeTint="80"/>
          <w:sz w:val="21"/>
          <w:szCs w:val="21"/>
          <w:lang w:val="sr-Cyrl-RS"/>
        </w:rPr>
        <w:t xml:space="preserve"> 2014. године</w:t>
      </w:r>
    </w:p>
    <w:p w:rsidR="00171A80" w:rsidRPr="00171A80" w:rsidRDefault="00171A80" w:rsidP="00171A80">
      <w:pPr>
        <w:ind w:firstLine="0"/>
        <w:rPr>
          <w:rFonts w:asciiTheme="majorHAnsi" w:hAnsiTheme="majorHAnsi"/>
          <w:color w:val="FF0000"/>
          <w:sz w:val="21"/>
          <w:szCs w:val="21"/>
          <w:lang w:val="sr-Cyrl-RS"/>
        </w:rPr>
      </w:pPr>
      <w:r w:rsidRPr="00171A80">
        <w:rPr>
          <w:rFonts w:asciiTheme="majorHAnsi" w:hAnsiTheme="majorHAnsi"/>
          <w:noProof/>
          <w:sz w:val="21"/>
          <w:szCs w:val="21"/>
          <w:lang w:val="en-US"/>
        </w:rPr>
        <w:drawing>
          <wp:inline distT="0" distB="0" distL="0" distR="0" wp14:anchorId="03D3AB1F" wp14:editId="6A586AD9">
            <wp:extent cx="5680609" cy="2508531"/>
            <wp:effectExtent l="0" t="0" r="15875"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 xml:space="preserve">План продужења просечне рочности динарских хартија од вредности зависи од низа фактора, а првенствено од успешности Владе и НБС у процесу динаризације и одржавања инфлације у зацртаним оквирима и раста поверења у монетарну и економску политику Владе и НБС, као и стабилности девизног курса динара. </w:t>
      </w:r>
    </w:p>
    <w:p w:rsidR="00B90ED9" w:rsidRPr="00B90ED9"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lastRenderedPageBreak/>
        <w:t xml:space="preserve">На крају 2011. године просечна рочност динарских хартија од вредности је износила 272 дана (0,75 година), на крају 2012. године је износила 394 дана (1,1 година), на крају 2013. године је износила 469 дана (1,3 године), док на дан 31. октобар 2014. године износила је 654 дана (1,8 година). Рочност се из године у годину повећава, док је током 2014. године дошло до најзначајнијег побољшања, услед успешних емисија обвезница рочности три, пет, седам и десет година. Стратегија управљања јавним дугом за период 2014 - 2016. године предвиђала је остварење просечне рочности динарских хартија од вредности од 2 године у том периоду. Имајући у виду да је током 2014. године већ остварена просечна рочност близу циља, нови циљ биће да се просечна рочност динарских хартија од вредности до 2017. године нађе у распону од 2 до 2,5 године. </w:t>
      </w:r>
    </w:p>
    <w:p w:rsidR="00171A80" w:rsidRPr="00171A80" w:rsidRDefault="00B90ED9" w:rsidP="00B90ED9">
      <w:pPr>
        <w:rPr>
          <w:rFonts w:asciiTheme="majorHAnsi" w:hAnsiTheme="majorHAnsi"/>
          <w:bCs w:val="0"/>
          <w:color w:val="7F7F7F" w:themeColor="text1" w:themeTint="80"/>
          <w:sz w:val="21"/>
          <w:szCs w:val="21"/>
          <w:lang w:val="sr-Cyrl-RS"/>
        </w:rPr>
      </w:pPr>
      <w:r w:rsidRPr="00B90ED9">
        <w:rPr>
          <w:rFonts w:asciiTheme="majorHAnsi" w:hAnsiTheme="majorHAnsi"/>
          <w:bCs w:val="0"/>
          <w:color w:val="7F7F7F" w:themeColor="text1" w:themeTint="80"/>
          <w:sz w:val="21"/>
          <w:szCs w:val="21"/>
          <w:lang w:val="sr-Cyrl-RS"/>
        </w:rPr>
        <w:t>Развој домаћег тржишта државних хартија од вредности биће од стране Републике Србије потпомогнут следећим мерама</w:t>
      </w:r>
      <w:r w:rsidR="00171A80" w:rsidRPr="00171A80">
        <w:rPr>
          <w:rFonts w:asciiTheme="majorHAnsi" w:hAnsiTheme="majorHAnsi"/>
          <w:bCs w:val="0"/>
          <w:color w:val="7F7F7F" w:themeColor="text1" w:themeTint="80"/>
          <w:sz w:val="21"/>
          <w:szCs w:val="21"/>
          <w:lang w:val="sr-Cyrl-RS"/>
        </w:rPr>
        <w:t>:</w:t>
      </w:r>
    </w:p>
    <w:p w:rsidR="00171A80" w:rsidRPr="00171A80" w:rsidRDefault="00B90ED9" w:rsidP="00D921CC">
      <w:pPr>
        <w:numPr>
          <w:ilvl w:val="0"/>
          <w:numId w:val="14"/>
        </w:numPr>
        <w:ind w:left="714" w:hanging="357"/>
        <w:rPr>
          <w:rFonts w:asciiTheme="majorHAnsi" w:hAnsiTheme="majorHAnsi"/>
          <w:color w:val="7F7F7F" w:themeColor="text1" w:themeTint="80"/>
          <w:sz w:val="21"/>
          <w:szCs w:val="21"/>
          <w:lang w:val="sr-Cyrl-RS"/>
        </w:rPr>
      </w:pPr>
      <w:r w:rsidRPr="00B90ED9">
        <w:rPr>
          <w:rFonts w:asciiTheme="majorHAnsi" w:hAnsiTheme="majorHAnsi"/>
          <w:color w:val="7F7F7F" w:themeColor="text1" w:themeTint="80"/>
          <w:sz w:val="21"/>
          <w:szCs w:val="21"/>
          <w:lang w:val="sr-Cyrl-RS"/>
        </w:rPr>
        <w:t>Обим емисија условљен је капацитетом тржишта и креирање бенчмарк емисија засниваће се на реотварању већ постојећих емисија. Принцип реотварања односиће се углавном на све хартије од вредности са рочношћу истом или дужом од три године, јер евидентно је да ове хартије од вредности треба да чине највећи део секундарног трговања и да имају адекватне бенчмарк вредности</w:t>
      </w:r>
      <w:r w:rsidR="00171A80" w:rsidRPr="00171A80">
        <w:rPr>
          <w:rFonts w:asciiTheme="majorHAnsi" w:hAnsiTheme="majorHAnsi"/>
          <w:color w:val="7F7F7F" w:themeColor="text1" w:themeTint="80"/>
          <w:sz w:val="21"/>
          <w:szCs w:val="21"/>
          <w:lang w:val="sr-Cyrl-RS"/>
        </w:rPr>
        <w:t>;</w:t>
      </w:r>
    </w:p>
    <w:p w:rsidR="00171A80" w:rsidRPr="00171A80" w:rsidRDefault="00B90ED9" w:rsidP="00D921CC">
      <w:pPr>
        <w:numPr>
          <w:ilvl w:val="0"/>
          <w:numId w:val="14"/>
        </w:numPr>
        <w:ind w:left="714" w:hanging="357"/>
        <w:rPr>
          <w:rFonts w:asciiTheme="majorHAnsi" w:hAnsiTheme="majorHAnsi"/>
          <w:color w:val="7F7F7F" w:themeColor="text1" w:themeTint="80"/>
          <w:sz w:val="21"/>
          <w:szCs w:val="21"/>
          <w:lang w:val="sr-Cyrl-RS"/>
        </w:rPr>
      </w:pPr>
      <w:r w:rsidRPr="00B90ED9">
        <w:rPr>
          <w:rFonts w:asciiTheme="majorHAnsi" w:hAnsiTheme="majorHAnsi"/>
          <w:color w:val="7F7F7F" w:themeColor="text1" w:themeTint="80"/>
          <w:sz w:val="21"/>
          <w:szCs w:val="21"/>
          <w:lang w:val="sr-Cyrl-RS"/>
        </w:rPr>
        <w:t>У циљу креирања што веће базе инвеститора и развоја секундарног тржишта хартија од вредности емитованих на домаћем тржишту, креиран је једнак порески третман домаћих и страних инвеститора крајем 2011. године, и у наредном периоду тежиће се уклањању свих препрека за слободан проток капитала. Садашња структура домаћих инвеститора је сувише хомогена (углавном банкарски сектор) и таква структура не доприноси развоју секундарног тржишта. Пензиони фондови и осигуравајуће компаније (животно осигурање) имају ограничену могућност пласирања средстава због ниске развијености овог вида штедње. У последње две године приметан је тренд повећања учешћа страних инвеститора и промена базе инвеститора, и очекује се да се садашња структура инвеститора задржи и у наредном трогодишњем периоду, што би могло да допринесе развоју секундарног тржишта</w:t>
      </w:r>
      <w:r w:rsidR="00171A80" w:rsidRPr="00171A80">
        <w:rPr>
          <w:rFonts w:asciiTheme="majorHAnsi" w:hAnsiTheme="majorHAnsi"/>
          <w:color w:val="7F7F7F" w:themeColor="text1" w:themeTint="80"/>
          <w:sz w:val="21"/>
          <w:szCs w:val="21"/>
          <w:lang w:val="sr-Cyrl-RS"/>
        </w:rPr>
        <w:t>;</w:t>
      </w:r>
    </w:p>
    <w:p w:rsidR="00171A80" w:rsidRPr="00171A80" w:rsidRDefault="00B90ED9" w:rsidP="00D921CC">
      <w:pPr>
        <w:numPr>
          <w:ilvl w:val="0"/>
          <w:numId w:val="14"/>
        </w:numPr>
        <w:ind w:left="714" w:hanging="357"/>
        <w:rPr>
          <w:rFonts w:asciiTheme="majorHAnsi" w:hAnsiTheme="majorHAnsi"/>
          <w:color w:val="7F7F7F" w:themeColor="text1" w:themeTint="80"/>
          <w:sz w:val="21"/>
          <w:szCs w:val="21"/>
          <w:lang w:val="sr-Cyrl-RS"/>
        </w:rPr>
      </w:pPr>
      <w:r w:rsidRPr="00B90ED9">
        <w:rPr>
          <w:rFonts w:asciiTheme="majorHAnsi" w:hAnsiTheme="majorHAnsi"/>
          <w:color w:val="7F7F7F" w:themeColor="text1" w:themeTint="80"/>
          <w:sz w:val="21"/>
          <w:szCs w:val="21"/>
          <w:lang w:val="sr-Cyrl-RS"/>
        </w:rPr>
        <w:t>Размотриће се у наредном периоду могућност да се клиринг и салдирање трансакција са домаћим хартијама од вредности врши преко међународног клиринг система</w:t>
      </w:r>
      <w:r w:rsidR="00171A80" w:rsidRPr="00171A80">
        <w:rPr>
          <w:rFonts w:asciiTheme="majorHAnsi" w:hAnsiTheme="majorHAnsi"/>
          <w:color w:val="7F7F7F" w:themeColor="text1" w:themeTint="80"/>
          <w:sz w:val="21"/>
          <w:szCs w:val="21"/>
          <w:lang w:val="sr-Cyrl-RS"/>
        </w:rPr>
        <w:t>;</w:t>
      </w:r>
    </w:p>
    <w:p w:rsidR="00171A80" w:rsidRPr="00171A80" w:rsidRDefault="00957ABE" w:rsidP="00D921CC">
      <w:pPr>
        <w:numPr>
          <w:ilvl w:val="0"/>
          <w:numId w:val="14"/>
        </w:numPr>
        <w:ind w:left="714" w:hanging="357"/>
        <w:rPr>
          <w:rFonts w:asciiTheme="majorHAnsi" w:hAnsiTheme="majorHAnsi"/>
          <w:color w:val="7F7F7F" w:themeColor="text1" w:themeTint="80"/>
          <w:sz w:val="21"/>
          <w:szCs w:val="21"/>
          <w:lang w:val="sr-Cyrl-RS"/>
        </w:rPr>
      </w:pPr>
      <w:r w:rsidRPr="00957ABE">
        <w:rPr>
          <w:rFonts w:asciiTheme="majorHAnsi" w:hAnsiTheme="majorHAnsi"/>
          <w:color w:val="7F7F7F" w:themeColor="text1" w:themeTint="80"/>
          <w:sz w:val="21"/>
          <w:szCs w:val="21"/>
          <w:lang w:val="sr-Cyrl-RS"/>
        </w:rPr>
        <w:t>Размотриће се у наредном периоду могућност увођења примарних дилера</w:t>
      </w:r>
      <w:r w:rsidR="00171A80" w:rsidRPr="00171A80">
        <w:rPr>
          <w:rFonts w:asciiTheme="majorHAnsi" w:hAnsiTheme="majorHAnsi"/>
          <w:color w:val="7F7F7F" w:themeColor="text1" w:themeTint="80"/>
          <w:sz w:val="21"/>
          <w:szCs w:val="21"/>
          <w:lang w:val="sr-Cyrl-RS"/>
        </w:rPr>
        <w:t>;</w:t>
      </w:r>
    </w:p>
    <w:p w:rsidR="00171A80" w:rsidRPr="00171A80" w:rsidRDefault="00B90ED9" w:rsidP="00D921CC">
      <w:pPr>
        <w:numPr>
          <w:ilvl w:val="0"/>
          <w:numId w:val="14"/>
        </w:numPr>
        <w:ind w:left="714" w:hanging="357"/>
        <w:rPr>
          <w:rFonts w:asciiTheme="majorHAnsi" w:hAnsiTheme="majorHAnsi"/>
          <w:color w:val="7F7F7F" w:themeColor="text1" w:themeTint="80"/>
          <w:sz w:val="21"/>
          <w:szCs w:val="21"/>
          <w:lang w:val="sr-Cyrl-RS"/>
        </w:rPr>
      </w:pPr>
      <w:r w:rsidRPr="00B90ED9">
        <w:rPr>
          <w:rFonts w:asciiTheme="majorHAnsi" w:hAnsiTheme="majorHAnsi"/>
          <w:color w:val="7F7F7F" w:themeColor="text1" w:themeTint="80"/>
          <w:sz w:val="21"/>
          <w:szCs w:val="21"/>
          <w:lang w:val="sr-Cyrl-RS"/>
        </w:rPr>
        <w:t>У циљу повећања улагања домаћих физичких лица учиниће се додатни напори у домену едукације становништва Републике Србије и омогућиће се трговање на Београдској берзи дугорочним државним хартијама од вредности након измена Закона о јавном дугу</w:t>
      </w:r>
      <w:r w:rsidR="00171A80" w:rsidRPr="00171A80">
        <w:rPr>
          <w:rFonts w:asciiTheme="majorHAnsi" w:hAnsiTheme="majorHAnsi"/>
          <w:color w:val="7F7F7F" w:themeColor="text1" w:themeTint="80"/>
          <w:sz w:val="21"/>
          <w:szCs w:val="21"/>
          <w:lang w:val="sr-Cyrl-RS"/>
        </w:rPr>
        <w:t>;</w:t>
      </w:r>
    </w:p>
    <w:p w:rsidR="009123E8" w:rsidRDefault="00B90ED9" w:rsidP="00D921CC">
      <w:pPr>
        <w:numPr>
          <w:ilvl w:val="0"/>
          <w:numId w:val="14"/>
        </w:numPr>
        <w:spacing w:line="276" w:lineRule="auto"/>
        <w:ind w:left="714" w:hanging="357"/>
        <w:rPr>
          <w:rFonts w:asciiTheme="majorHAnsi" w:eastAsia="Calibri" w:hAnsiTheme="majorHAnsi" w:cs="Times New Roman"/>
          <w:bCs w:val="0"/>
          <w:color w:val="7F7F7F" w:themeColor="text1" w:themeTint="80"/>
          <w:sz w:val="21"/>
          <w:szCs w:val="21"/>
          <w:lang w:val="sr-Cyrl-RS"/>
        </w:rPr>
      </w:pPr>
      <w:r w:rsidRPr="00B90ED9">
        <w:rPr>
          <w:rFonts w:asciiTheme="majorHAnsi" w:eastAsia="Calibri" w:hAnsiTheme="majorHAnsi" w:cs="Times New Roman"/>
          <w:bCs w:val="0"/>
          <w:color w:val="7F7F7F" w:themeColor="text1" w:themeTint="80"/>
          <w:sz w:val="21"/>
          <w:szCs w:val="21"/>
          <w:lang w:val="sr-Cyrl-RS"/>
        </w:rPr>
        <w:t>Министарство финансија ће у наредном периоду модификацију аукцијске платформе вршити на основу предлога инвеститора, како би на најбољи и за обе стране прихватљив начин интереси обе стране били задовољени</w:t>
      </w:r>
      <w:r w:rsidR="00171A80" w:rsidRPr="00171A80">
        <w:rPr>
          <w:rFonts w:asciiTheme="majorHAnsi" w:eastAsia="Calibri" w:hAnsiTheme="majorHAnsi" w:cs="Times New Roman"/>
          <w:bCs w:val="0"/>
          <w:color w:val="7F7F7F" w:themeColor="text1" w:themeTint="80"/>
          <w:sz w:val="21"/>
          <w:szCs w:val="21"/>
          <w:lang w:val="sr-Cyrl-RS"/>
        </w:rPr>
        <w:t>.</w:t>
      </w:r>
    </w:p>
    <w:p w:rsidR="00207442" w:rsidRPr="00EE5FC0" w:rsidRDefault="009123E8" w:rsidP="00EE5FC0">
      <w:pPr>
        <w:spacing w:after="0"/>
        <w:ind w:firstLine="0"/>
        <w:jc w:val="left"/>
        <w:rPr>
          <w:rFonts w:asciiTheme="majorHAnsi" w:eastAsia="Calibri" w:hAnsiTheme="majorHAnsi" w:cs="Times New Roman"/>
          <w:bCs w:val="0"/>
          <w:color w:val="7F7F7F" w:themeColor="text1" w:themeTint="80"/>
          <w:sz w:val="21"/>
          <w:szCs w:val="21"/>
          <w:lang w:val="sr-Cyrl-RS"/>
        </w:rPr>
      </w:pPr>
      <w:r>
        <w:rPr>
          <w:rFonts w:asciiTheme="majorHAnsi" w:eastAsia="Calibri" w:hAnsiTheme="majorHAnsi" w:cs="Times New Roman"/>
          <w:bCs w:val="0"/>
          <w:color w:val="7F7F7F" w:themeColor="text1" w:themeTint="80"/>
          <w:sz w:val="21"/>
          <w:szCs w:val="21"/>
          <w:lang w:val="sr-Cyrl-RS"/>
        </w:rPr>
        <w:br w:type="page"/>
      </w:r>
    </w:p>
    <w:p w:rsidR="00665B3C" w:rsidRPr="00171A80" w:rsidRDefault="00665B3C" w:rsidP="003E033B">
      <w:pPr>
        <w:pStyle w:val="IFS2012naslov1"/>
        <w:rPr>
          <w:lang w:val="sr-Cyrl-RS"/>
        </w:rPr>
      </w:pPr>
      <w:bookmarkStart w:id="66" w:name="_Toc337117135"/>
      <w:bookmarkStart w:id="67" w:name="_Toc407617173"/>
      <w:bookmarkStart w:id="68" w:name="_Toc318705120"/>
      <w:bookmarkStart w:id="69" w:name="_Toc334096134"/>
      <w:bookmarkStart w:id="70" w:name="_Toc334099435"/>
      <w:bookmarkEnd w:id="51"/>
      <w:r w:rsidRPr="00171A80">
        <w:rPr>
          <w:lang w:val="sr-Cyrl-RS"/>
        </w:rPr>
        <w:lastRenderedPageBreak/>
        <w:t xml:space="preserve">Структурне реформе </w:t>
      </w:r>
      <w:bookmarkEnd w:id="66"/>
      <w:r w:rsidR="00CD7B44" w:rsidRPr="00171A80">
        <w:rPr>
          <w:lang w:val="sr-Cyrl-RS"/>
        </w:rPr>
        <w:t>у периоду од 201</w:t>
      </w:r>
      <w:r w:rsidR="00D04154" w:rsidRPr="00171A80">
        <w:rPr>
          <w:lang w:val="sr-Cyrl-RS"/>
        </w:rPr>
        <w:t>5</w:t>
      </w:r>
      <w:r w:rsidR="00CD7B44" w:rsidRPr="00171A80">
        <w:rPr>
          <w:lang w:val="sr-Cyrl-RS"/>
        </w:rPr>
        <w:t>. до 201</w:t>
      </w:r>
      <w:r w:rsidR="00D04154" w:rsidRPr="00171A80">
        <w:rPr>
          <w:lang w:val="sr-Cyrl-RS"/>
        </w:rPr>
        <w:t>7</w:t>
      </w:r>
      <w:r w:rsidR="00CD7B44" w:rsidRPr="00171A80">
        <w:rPr>
          <w:lang w:val="sr-Cyrl-RS"/>
        </w:rPr>
        <w:t>. године</w:t>
      </w:r>
      <w:bookmarkEnd w:id="67"/>
    </w:p>
    <w:p w:rsidR="00782050" w:rsidRPr="00171A80" w:rsidRDefault="00782050" w:rsidP="003E033B">
      <w:pPr>
        <w:pStyle w:val="IFS2012naslov1"/>
        <w:numPr>
          <w:ilvl w:val="0"/>
          <w:numId w:val="0"/>
        </w:numPr>
        <w:ind w:left="502"/>
        <w:rPr>
          <w:lang w:val="sr-Cyrl-RS"/>
        </w:rPr>
      </w:pPr>
    </w:p>
    <w:p w:rsidR="002A2FE2" w:rsidRPr="002A2FE2"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Кредибилан средњорочни план структурних реформи, заједно са мерама фискалне консолидације, представља кључни услов за (1) остваривање стабилизације јавних финансија и свођење фискалног дефицита и јавног дуга на одржив ниво, (2) снажније покретање привредне активности на бази повећања инвестиција, извоза и запошљавања. Уз помоћ ових мера ће се спровести планирано фискално и структурно прилагођавање чиме се ствара трајнија основа за бржи привредни раст и повећање запослености и стандарда.</w:t>
      </w:r>
    </w:p>
    <w:p w:rsidR="00C95E66" w:rsidRPr="00171A80"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Убрзање привредног раста представља основни механизам трајног и одрживог повећања запослености. Са тим у вези, у 2014. години спроведене су бројне реформе које имају за циљ смањење ризика и трошкова пословања</w:t>
      </w:r>
      <w:r w:rsidR="00C95E66" w:rsidRPr="00171A80">
        <w:rPr>
          <w:rFonts w:asciiTheme="majorHAnsi" w:eastAsia="Calibri" w:hAnsiTheme="majorHAnsi" w:cs="Times New Roman"/>
          <w:color w:val="7F7F7F" w:themeColor="text1" w:themeTint="80"/>
          <w:sz w:val="21"/>
          <w:szCs w:val="21"/>
          <w:lang w:val="sr-Cyrl-RS"/>
        </w:rPr>
        <w:t>:</w:t>
      </w:r>
    </w:p>
    <w:p w:rsidR="002A2FE2" w:rsidRPr="002A2FE2" w:rsidRDefault="002A2FE2" w:rsidP="001738AF">
      <w:pPr>
        <w:pStyle w:val="ListParagraph"/>
        <w:numPr>
          <w:ilvl w:val="0"/>
          <w:numId w:val="27"/>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усвојен је Закон о изменама и допунама Закона о раду, у циљу повећања флексибилности тржишта рада у Републици Србији и поједностављивања процедура запошљавања и отпуштања радника</w:t>
      </w:r>
      <w:r w:rsidRPr="00F80B02">
        <w:rPr>
          <w:rFonts w:asciiTheme="majorHAnsi" w:hAnsiTheme="majorHAnsi"/>
          <w:bCs/>
          <w:color w:val="7F7F7F" w:themeColor="text1" w:themeTint="80"/>
          <w:sz w:val="21"/>
          <w:szCs w:val="21"/>
          <w:lang w:val="sr-Cyrl-RS"/>
        </w:rPr>
        <w:t xml:space="preserve">. Измене Закона омогућиле су измену начина обрачуна отпремнина </w:t>
      </w:r>
      <w:r w:rsidR="00EE75D0">
        <w:rPr>
          <w:rFonts w:asciiTheme="majorHAnsi" w:hAnsiTheme="majorHAnsi"/>
          <w:bCs/>
          <w:color w:val="7F7F7F" w:themeColor="text1" w:themeTint="80"/>
          <w:sz w:val="21"/>
          <w:szCs w:val="21"/>
          <w:lang w:val="sr-Cyrl-RS"/>
        </w:rPr>
        <w:t>због престанка радног односа по основу технолошког вишка</w:t>
      </w:r>
      <w:r w:rsidRPr="00F80B02">
        <w:rPr>
          <w:rFonts w:asciiTheme="majorHAnsi" w:hAnsiTheme="majorHAnsi"/>
          <w:bCs/>
          <w:color w:val="7F7F7F" w:themeColor="text1" w:themeTint="80"/>
          <w:sz w:val="21"/>
          <w:szCs w:val="21"/>
          <w:lang w:val="sr-Cyrl-RS"/>
        </w:rPr>
        <w:t>,</w:t>
      </w:r>
      <w:r w:rsidR="00EE75D0">
        <w:rPr>
          <w:rFonts w:asciiTheme="majorHAnsi" w:hAnsiTheme="majorHAnsi"/>
          <w:bCs/>
          <w:color w:val="7F7F7F" w:themeColor="text1" w:themeTint="80"/>
          <w:sz w:val="21"/>
          <w:szCs w:val="21"/>
          <w:lang w:val="sr-Cyrl-RS"/>
        </w:rPr>
        <w:t xml:space="preserve"> при чему се у обзир узима само период проведен у радном односу код послодавца код кога запослени остварује право на отпремнину.</w:t>
      </w:r>
      <w:r w:rsidRPr="00F80B02">
        <w:rPr>
          <w:rFonts w:asciiTheme="majorHAnsi" w:hAnsiTheme="majorHAnsi"/>
          <w:bCs/>
          <w:color w:val="7F7F7F" w:themeColor="text1" w:themeTint="80"/>
          <w:sz w:val="21"/>
          <w:szCs w:val="21"/>
          <w:lang w:val="sr-Cyrl-RS"/>
        </w:rPr>
        <w:t xml:space="preserve"> </w:t>
      </w:r>
      <w:r w:rsidR="00F80B02" w:rsidRPr="00E53312">
        <w:rPr>
          <w:rFonts w:asciiTheme="majorHAnsi" w:hAnsiTheme="majorHAnsi"/>
          <w:bCs/>
          <w:color w:val="7F7F7F" w:themeColor="text1" w:themeTint="80"/>
          <w:sz w:val="21"/>
          <w:szCs w:val="21"/>
          <w:lang w:val="sr-Cyrl-RS"/>
        </w:rPr>
        <w:t>Поред тога, пооштрени су услови за прошире</w:t>
      </w:r>
      <w:r w:rsidR="00EE75D0">
        <w:rPr>
          <w:rFonts w:asciiTheme="majorHAnsi" w:hAnsiTheme="majorHAnsi"/>
          <w:bCs/>
          <w:color w:val="7F7F7F" w:themeColor="text1" w:themeTint="80"/>
          <w:sz w:val="21"/>
          <w:szCs w:val="21"/>
          <w:lang w:val="sr-Cyrl-RS"/>
        </w:rPr>
        <w:t xml:space="preserve">но дејство колективних уговора и </w:t>
      </w:r>
      <w:r w:rsidR="00EE75D0" w:rsidRPr="00F80B02">
        <w:rPr>
          <w:rFonts w:asciiTheme="majorHAnsi" w:hAnsiTheme="majorHAnsi"/>
          <w:bCs/>
          <w:color w:val="7F7F7F" w:themeColor="text1" w:themeTint="80"/>
          <w:sz w:val="21"/>
          <w:szCs w:val="21"/>
          <w:lang w:val="sr-Cyrl-RS"/>
        </w:rPr>
        <w:t>продуже</w:t>
      </w:r>
      <w:r w:rsidR="00EE75D0">
        <w:rPr>
          <w:rFonts w:asciiTheme="majorHAnsi" w:hAnsiTheme="majorHAnsi"/>
          <w:bCs/>
          <w:color w:val="7F7F7F" w:themeColor="text1" w:themeTint="80"/>
          <w:sz w:val="21"/>
          <w:szCs w:val="21"/>
          <w:lang w:val="sr-Cyrl-RS"/>
        </w:rPr>
        <w:t xml:space="preserve">но је </w:t>
      </w:r>
      <w:r w:rsidR="00EE75D0" w:rsidRPr="00E53312">
        <w:rPr>
          <w:rFonts w:asciiTheme="majorHAnsi" w:hAnsiTheme="majorHAnsi"/>
          <w:bCs/>
          <w:color w:val="7F7F7F" w:themeColor="text1" w:themeTint="80"/>
          <w:sz w:val="21"/>
          <w:szCs w:val="21"/>
          <w:lang w:val="sr-Cyrl-RS"/>
        </w:rPr>
        <w:t>трајање уговора на одређено са једне на две године</w:t>
      </w:r>
      <w:r w:rsidRPr="00E53312">
        <w:rPr>
          <w:rFonts w:asciiTheme="majorHAnsi" w:hAnsiTheme="majorHAnsi"/>
          <w:bCs/>
          <w:color w:val="7F7F7F" w:themeColor="text1" w:themeTint="80"/>
          <w:sz w:val="21"/>
          <w:szCs w:val="21"/>
          <w:lang w:val="sr-Cyrl-RS"/>
        </w:rPr>
        <w:t>;</w:t>
      </w:r>
    </w:p>
    <w:p w:rsidR="002A2FE2" w:rsidRPr="002A2FE2" w:rsidRDefault="002A2FE2" w:rsidP="001738AF">
      <w:pPr>
        <w:pStyle w:val="ListParagraph"/>
        <w:numPr>
          <w:ilvl w:val="0"/>
          <w:numId w:val="27"/>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усвојен је Закон о изменама и допунама Закона о планирању и изградњи којим се скраћује процедура и поједностављује поступак издавања грађевинских дозвола;</w:t>
      </w:r>
    </w:p>
    <w:p w:rsidR="002A2FE2" w:rsidRPr="002A2FE2" w:rsidRDefault="002A2FE2" w:rsidP="001738AF">
      <w:pPr>
        <w:pStyle w:val="ListParagraph"/>
        <w:numPr>
          <w:ilvl w:val="0"/>
          <w:numId w:val="27"/>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 xml:space="preserve">усвојен је нови Закон о приватизацији којим су обезбеђени флексибилнији методи и модели приватизације засновани на реалним тржишним условима који ће сам поступак учинити ефикаснијим. Предвиђена је приватизација путем продаје капитала, продаје имовине, преноса капитала без накнаде и стратешког партнерства, јавног прикупљања понуда са јавним надметањем; </w:t>
      </w:r>
    </w:p>
    <w:p w:rsidR="002A2FE2" w:rsidRPr="002A2FE2" w:rsidRDefault="002A2FE2" w:rsidP="001738AF">
      <w:pPr>
        <w:pStyle w:val="ListParagraph"/>
        <w:numPr>
          <w:ilvl w:val="0"/>
          <w:numId w:val="27"/>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усвојен је Закон о изменама и допунама Закона о стечају којим су уведена јаснија правила која имају за циљ убрзање самог стечајног поступка и бољу заштиту поверилаца стечајног дужника и обезбеђивање потпуне транспарентности стечајног поступка;</w:t>
      </w:r>
    </w:p>
    <w:p w:rsidR="00782050" w:rsidRPr="00171A80" w:rsidRDefault="002A2FE2" w:rsidP="001738AF">
      <w:pPr>
        <w:pStyle w:val="ListParagraph"/>
        <w:numPr>
          <w:ilvl w:val="0"/>
          <w:numId w:val="27"/>
        </w:numPr>
        <w:spacing w:before="0" w:after="0" w:line="240" w:lineRule="auto"/>
        <w:rPr>
          <w:rFonts w:asciiTheme="majorHAnsi" w:hAnsiTheme="majorHAnsi"/>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довршен је процес увођења електронског подношења пореских пријава и јединствене пореске пријаве како би се сви порези и доприноси на зараде запослених исказивали на једној пријави и плаћали на један рачун</w:t>
      </w:r>
      <w:r w:rsidR="00C95E66" w:rsidRPr="00171A80">
        <w:rPr>
          <w:rFonts w:asciiTheme="majorHAnsi" w:hAnsiTheme="majorHAnsi"/>
          <w:color w:val="7F7F7F" w:themeColor="text1" w:themeTint="80"/>
          <w:sz w:val="21"/>
          <w:szCs w:val="21"/>
          <w:lang w:val="sr-Cyrl-RS"/>
        </w:rPr>
        <w:t>.</w:t>
      </w:r>
    </w:p>
    <w:p w:rsidR="008C3C53" w:rsidRPr="00171A80" w:rsidRDefault="008C3C53" w:rsidP="00827704">
      <w:pPr>
        <w:spacing w:after="0"/>
        <w:ind w:firstLine="0"/>
        <w:rPr>
          <w:rFonts w:asciiTheme="majorHAnsi" w:eastAsia="Calibri" w:hAnsiTheme="majorHAnsi"/>
          <w:lang w:val="sr-Cyrl-RS"/>
        </w:rPr>
      </w:pPr>
    </w:p>
    <w:p w:rsidR="00114B6B" w:rsidRPr="00171A80" w:rsidRDefault="009D35FC" w:rsidP="009B4941">
      <w:pPr>
        <w:keepNext/>
        <w:spacing w:after="0"/>
        <w:ind w:left="360" w:firstLine="0"/>
        <w:jc w:val="left"/>
        <w:outlineLvl w:val="1"/>
        <w:rPr>
          <w:rFonts w:asciiTheme="majorHAnsi" w:hAnsiTheme="majorHAnsi" w:cs="Times New Roman"/>
          <w:iCs/>
          <w:color w:val="9BBB59" w:themeColor="accent3"/>
          <w:sz w:val="28"/>
          <w:szCs w:val="28"/>
          <w:lang w:val="sr-Cyrl-RS"/>
        </w:rPr>
      </w:pPr>
      <w:bookmarkStart w:id="71" w:name="_Toc407617174"/>
      <w:r w:rsidRPr="00171A80">
        <w:rPr>
          <w:rFonts w:asciiTheme="majorHAnsi" w:hAnsiTheme="majorHAnsi" w:cs="Calibri"/>
          <w:iCs/>
          <w:color w:val="9BBB59" w:themeColor="accent3"/>
          <w:sz w:val="28"/>
          <w:szCs w:val="28"/>
          <w:lang w:val="sr-Cyrl-RS"/>
        </w:rPr>
        <w:t xml:space="preserve">1. </w:t>
      </w:r>
      <w:r w:rsidR="00C95E66" w:rsidRPr="00171A80">
        <w:rPr>
          <w:rFonts w:asciiTheme="majorHAnsi" w:hAnsiTheme="majorHAnsi" w:cs="Calibri"/>
          <w:iCs/>
          <w:color w:val="9BBB59" w:themeColor="accent3"/>
          <w:sz w:val="28"/>
          <w:szCs w:val="28"/>
          <w:lang w:val="sr-Cyrl-RS"/>
        </w:rPr>
        <w:t>Структурне реформе реалног сектора</w:t>
      </w:r>
      <w:bookmarkEnd w:id="71"/>
    </w:p>
    <w:p w:rsidR="00300A06" w:rsidRDefault="00300A06" w:rsidP="00827704">
      <w:pPr>
        <w:pStyle w:val="ListParagraph"/>
        <w:spacing w:before="0" w:after="0" w:line="240" w:lineRule="auto"/>
        <w:ind w:left="0"/>
        <w:contextualSpacing w:val="0"/>
        <w:rPr>
          <w:rFonts w:asciiTheme="majorHAnsi" w:hAnsiTheme="majorHAnsi"/>
          <w:bCs/>
          <w:color w:val="7F7F7F" w:themeColor="text1" w:themeTint="80"/>
          <w:sz w:val="21"/>
          <w:szCs w:val="21"/>
          <w:lang w:val="sr-Cyrl-RS"/>
        </w:rPr>
      </w:pPr>
      <w:bookmarkStart w:id="72" w:name="_Toc337018470"/>
      <w:bookmarkStart w:id="73" w:name="_Toc337117137"/>
    </w:p>
    <w:p w:rsidR="00463C8D" w:rsidRPr="00171A80" w:rsidRDefault="002A2FE2" w:rsidP="009B4941">
      <w:pPr>
        <w:pStyle w:val="ListParagraph"/>
        <w:spacing w:before="0" w:line="240" w:lineRule="auto"/>
        <w:ind w:left="0" w:firstLine="706"/>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У циљу јачања приватног сектора обезбедиће се побољшање пословне и инвестиционе климе ради смањења трошкова и ризика пословања и инвестирања у Републици Србији, као и завршетак процеса реструктурирања државних предузећа. Такође ће се обезбедити боља заштита конкуренције, подстицање бржег развоја малих и средњих предузећа и предузетништва, отклањање нефлексибилних услова на тржишту рада и ефикасније спровођење стечаја. Посебна пажња посветиће се структурним реформама које подстичу јачање капацитета привреде за повећање производње и ефикасности, извоза и запослености, што ће резултирати побољшањем конкурентности привреде</w:t>
      </w:r>
      <w:r w:rsidR="009B4941" w:rsidRPr="00171A80">
        <w:rPr>
          <w:rFonts w:asciiTheme="majorHAnsi" w:hAnsiTheme="majorHAnsi"/>
          <w:bCs/>
          <w:color w:val="7F7F7F" w:themeColor="text1" w:themeTint="80"/>
          <w:sz w:val="21"/>
          <w:szCs w:val="21"/>
          <w:lang w:val="sr-Cyrl-RS"/>
        </w:rPr>
        <w:t>.</w:t>
      </w:r>
    </w:p>
    <w:p w:rsidR="00C95E66" w:rsidRPr="00171A80" w:rsidRDefault="00C95E66" w:rsidP="006C683F">
      <w:pPr>
        <w:ind w:firstLine="0"/>
        <w:rPr>
          <w:rFonts w:asciiTheme="majorHAnsi" w:eastAsia="Calibri" w:hAnsiTheme="majorHAnsi" w:cs="Times New Roman"/>
          <w:b/>
          <w:bCs w:val="0"/>
          <w:i/>
          <w:color w:val="4F6228" w:themeColor="accent3" w:themeShade="80"/>
          <w:szCs w:val="22"/>
          <w:lang w:val="sr-Cyrl-RS"/>
        </w:rPr>
      </w:pPr>
      <w:r w:rsidRPr="00171A80">
        <w:rPr>
          <w:rFonts w:asciiTheme="majorHAnsi" w:eastAsia="Calibri" w:hAnsiTheme="majorHAnsi" w:cs="Times New Roman"/>
          <w:b/>
          <w:bCs w:val="0"/>
          <w:i/>
          <w:color w:val="4F6228" w:themeColor="accent3" w:themeShade="80"/>
          <w:szCs w:val="22"/>
          <w:lang w:val="sr-Cyrl-RS"/>
        </w:rPr>
        <w:t>Структурне реформе које унапређују пословно окружење</w:t>
      </w:r>
    </w:p>
    <w:p w:rsidR="00D15AEB" w:rsidRPr="00171A80" w:rsidRDefault="002A2FE2" w:rsidP="00D15AEB">
      <w:pPr>
        <w:pStyle w:val="ListParagraph"/>
        <w:spacing w:before="0" w:line="240" w:lineRule="auto"/>
        <w:ind w:left="0" w:firstLine="706"/>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У циљу побољшања конкурентности и пословног окружења Републике Србије развиће се свеобухватан програм подршке инвестирању, отварању нових радних места и развоју приватног сектора. Програм ће осигурати да су политике које подржавају раст добро координисане и циљане. Конкретне акције ће се фокусирати на следеће области</w:t>
      </w:r>
      <w:r w:rsidR="00957ABE" w:rsidRPr="00957ABE">
        <w:rPr>
          <w:rFonts w:asciiTheme="majorHAnsi" w:hAnsiTheme="majorHAnsi"/>
          <w:bCs/>
          <w:color w:val="7F7F7F" w:themeColor="text1" w:themeTint="80"/>
          <w:sz w:val="21"/>
          <w:szCs w:val="21"/>
          <w:lang w:val="sr-Cyrl-RS"/>
        </w:rPr>
        <w:t>:</w:t>
      </w:r>
    </w:p>
    <w:p w:rsidR="002A2FE2" w:rsidRPr="002A2FE2" w:rsidRDefault="002A2FE2" w:rsidP="001738AF">
      <w:pPr>
        <w:pStyle w:val="ListParagraph"/>
        <w:numPr>
          <w:ilvl w:val="0"/>
          <w:numId w:val="26"/>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lastRenderedPageBreak/>
        <w:t>Министарство привреде ће у наредном периоду спроводити активности на реализацији Стратегије за подршку малих и средњих предузећа и предузетништва за период од 2015. до 2020. године и реформе предвиђене у оквиру шест стубова Стратегије: (1) Унапређење пословног окружења, (2) Унапређење приступа изворима финансирања, (3) Континуирани развој људских ресурса, (4) Јачање одрживости и конкурентности малих и средњих предузећа и предузетништва, (5) Унапређење приступа новим тржиштима и (6) Развој и промоција предузетничког духа и подстицање предузетништва жена, младих и социјалног предузетништва. Имплементираће се акциони план за побољшање пословног окружења за мала и средња предузећа на основу Стратегије;</w:t>
      </w:r>
    </w:p>
    <w:p w:rsidR="002A2FE2" w:rsidRPr="002A2FE2" w:rsidRDefault="002A2FE2" w:rsidP="001738AF">
      <w:pPr>
        <w:pStyle w:val="ListParagraph"/>
        <w:numPr>
          <w:ilvl w:val="0"/>
          <w:numId w:val="26"/>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Усвојиће се нови закон о улагањима који ће заменити и проширити обухват Закона о страним улагањима укључивањем домаћих инвестиција. Закон ће регулисати пословање Управе за брзи одговор у оквиру Министарства привреде како би се омогућила ефикасна координација издавања дозвола неопходних за инвестирање, са циљем даљег унапређења пословног окружења, ефикасности ималаца јавних овлашћења у поступању и отклањања препрека за успешну реализацију улагања;</w:t>
      </w:r>
    </w:p>
    <w:p w:rsidR="002A2FE2" w:rsidRPr="002A2FE2" w:rsidRDefault="002A2FE2" w:rsidP="001738AF">
      <w:pPr>
        <w:pStyle w:val="ListParagraph"/>
        <w:numPr>
          <w:ilvl w:val="0"/>
          <w:numId w:val="26"/>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С циљем подстицања инвестиција, усвојиће се оквир који регулише конверзију употребе земљишта у власничка права;</w:t>
      </w:r>
    </w:p>
    <w:p w:rsidR="002A2FE2" w:rsidRPr="002A2FE2" w:rsidRDefault="002A2FE2" w:rsidP="001738AF">
      <w:pPr>
        <w:pStyle w:val="ListParagraph"/>
        <w:numPr>
          <w:ilvl w:val="0"/>
          <w:numId w:val="26"/>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Развиће се планови за рационализацију програма за промоцију инвестиција, нарочито Фонда за развој и агенција које доносе програме инвестиционих подстицаја и финансирања извоза (Агенција за осигурање и финансирање извоза - АОФИ и Агенција за страна улагања и промоцију извоза Републике Србије - СИЕПА);</w:t>
      </w:r>
    </w:p>
    <w:p w:rsidR="002A2FE2" w:rsidRPr="002A2FE2" w:rsidRDefault="002A2FE2" w:rsidP="001738AF">
      <w:pPr>
        <w:pStyle w:val="ListParagraph"/>
        <w:numPr>
          <w:ilvl w:val="0"/>
          <w:numId w:val="26"/>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Радиће се на јачању иновационих капацитета кроз унапређење рада Фонда за иновациону делатност и реформу система финансирања истраживачких институција;</w:t>
      </w:r>
    </w:p>
    <w:p w:rsidR="002A2FE2" w:rsidRPr="002A2FE2" w:rsidRDefault="002A2FE2" w:rsidP="001738AF">
      <w:pPr>
        <w:pStyle w:val="ListParagraph"/>
        <w:numPr>
          <w:ilvl w:val="0"/>
          <w:numId w:val="26"/>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Наставиће се унапређивање финансијске дисциплине, које представља предуслов за ефикасно сузбијање сиве економије. Са тим у вези, биће активиране мере за измирење доцњи од стране државе на свим нивоима власти;</w:t>
      </w:r>
    </w:p>
    <w:p w:rsidR="002A2FE2" w:rsidRPr="002A2FE2" w:rsidRDefault="002A2FE2" w:rsidP="001738AF">
      <w:pPr>
        <w:pStyle w:val="ListParagraph"/>
        <w:numPr>
          <w:ilvl w:val="0"/>
          <w:numId w:val="26"/>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Наставиће се пореска реформа усавршавањем пореских прописа који ће имати највеће ефекте на повећање инвестиција, извоза и запошљавања;</w:t>
      </w:r>
    </w:p>
    <w:p w:rsidR="002A2FE2" w:rsidRPr="002A2FE2" w:rsidRDefault="002A2FE2" w:rsidP="001738AF">
      <w:pPr>
        <w:pStyle w:val="ListParagraph"/>
        <w:numPr>
          <w:ilvl w:val="0"/>
          <w:numId w:val="26"/>
        </w:numPr>
        <w:spacing w:line="240" w:lineRule="auto"/>
        <w:ind w:left="714" w:hanging="357"/>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Наставиће се унапређење капацитета Пореске управе, у циљу припреме за повезивање са европским информационим системима у процесу приступања ЕУ;</w:t>
      </w:r>
    </w:p>
    <w:p w:rsidR="00462B2A" w:rsidRPr="00827704" w:rsidRDefault="002A2FE2" w:rsidP="001738AF">
      <w:pPr>
        <w:pStyle w:val="ListParagraph"/>
        <w:numPr>
          <w:ilvl w:val="0"/>
          <w:numId w:val="26"/>
        </w:numPr>
        <w:spacing w:line="240" w:lineRule="auto"/>
        <w:contextualSpacing w:val="0"/>
        <w:rPr>
          <w:rFonts w:asciiTheme="majorHAnsi" w:hAnsiTheme="majorHAnsi"/>
          <w:bCs/>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Интензивираће се процес гиљотине прописа на основу прецизног акционог плана који ће бити усвојен</w:t>
      </w:r>
      <w:r w:rsidR="00C95E66" w:rsidRPr="00171A80">
        <w:rPr>
          <w:rFonts w:asciiTheme="majorHAnsi" w:eastAsia="Times New Roman" w:hAnsiTheme="majorHAnsi" w:cs="Arial"/>
          <w:bCs/>
          <w:color w:val="7F7F7F" w:themeColor="text1" w:themeTint="80"/>
          <w:sz w:val="21"/>
          <w:szCs w:val="21"/>
          <w:lang w:val="sr-Cyrl-RS"/>
        </w:rPr>
        <w:t>.</w:t>
      </w:r>
    </w:p>
    <w:p w:rsidR="00462B2A" w:rsidRPr="006C683F" w:rsidRDefault="00462B2A" w:rsidP="006C683F">
      <w:pPr>
        <w:ind w:firstLine="0"/>
        <w:rPr>
          <w:rFonts w:asciiTheme="majorHAnsi" w:hAnsiTheme="majorHAnsi"/>
          <w:b/>
          <w:i/>
          <w:color w:val="4F6228" w:themeColor="accent3" w:themeShade="80"/>
          <w:lang w:val="sr-Cyrl-RS"/>
        </w:rPr>
      </w:pPr>
      <w:r w:rsidRPr="006C683F">
        <w:rPr>
          <w:rFonts w:asciiTheme="majorHAnsi" w:hAnsiTheme="majorHAnsi"/>
          <w:b/>
          <w:i/>
          <w:color w:val="4F6228" w:themeColor="accent3" w:themeShade="80"/>
          <w:lang w:val="sr-Cyrl-RS"/>
        </w:rPr>
        <w:t>Структурне реформе које унапређују тржиште рада</w:t>
      </w:r>
    </w:p>
    <w:p w:rsidR="002A2FE2" w:rsidRPr="002A2FE2"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 xml:space="preserve">Изменама и допунама Закона о раду наставља се реформа радног законодавства обезбеђивањем услова рада који одговарају стандардима ЕУ. У циљу потпуног усаглашавања Закона о раду са директивама ЕУ и продубљивања реформи на тржишту рада обезбедиће се правни оквир за повећање запослености, унапређењем постојећих и увођењем нових флексибилних облика рада, </w:t>
      </w:r>
      <w:r w:rsidRPr="00EA39C7">
        <w:rPr>
          <w:rFonts w:asciiTheme="majorHAnsi" w:eastAsia="Calibri" w:hAnsiTheme="majorHAnsi" w:cs="Times New Roman"/>
          <w:color w:val="7F7F7F" w:themeColor="text1" w:themeTint="80"/>
          <w:sz w:val="21"/>
          <w:szCs w:val="21"/>
          <w:lang w:val="sr-Cyrl-RS"/>
        </w:rPr>
        <w:t xml:space="preserve">утврђивањем правног основа за рад </w:t>
      </w:r>
      <w:r w:rsidR="00EA39C7" w:rsidRPr="00EA39C7">
        <w:rPr>
          <w:rFonts w:asciiTheme="majorHAnsi" w:eastAsia="Calibri" w:hAnsiTheme="majorHAnsi" w:cs="Times New Roman"/>
          <w:color w:val="7F7F7F" w:themeColor="text1" w:themeTint="80"/>
          <w:sz w:val="21"/>
          <w:szCs w:val="21"/>
          <w:lang w:val="sr-Cyrl-RS"/>
        </w:rPr>
        <w:t>преко агенција за привремено запошљавање (лизинг радне снаге)</w:t>
      </w:r>
      <w:r w:rsidRPr="00EA39C7">
        <w:rPr>
          <w:rFonts w:asciiTheme="majorHAnsi" w:eastAsia="Calibri" w:hAnsiTheme="majorHAnsi" w:cs="Times New Roman"/>
          <w:color w:val="7F7F7F" w:themeColor="text1" w:themeTint="80"/>
          <w:sz w:val="21"/>
          <w:szCs w:val="21"/>
          <w:lang w:val="sr-Cyrl-RS"/>
        </w:rPr>
        <w:t xml:space="preserve"> и институционализацијом</w:t>
      </w:r>
      <w:r w:rsidRPr="002A2FE2">
        <w:rPr>
          <w:rFonts w:asciiTheme="majorHAnsi" w:eastAsia="Calibri" w:hAnsiTheme="majorHAnsi" w:cs="Times New Roman"/>
          <w:color w:val="7F7F7F" w:themeColor="text1" w:themeTint="80"/>
          <w:sz w:val="21"/>
          <w:szCs w:val="21"/>
          <w:lang w:val="sr-Cyrl-RS"/>
        </w:rPr>
        <w:t xml:space="preserve"> оваквих послодаваца, а у складу са конвенцијама Међународне организације рада које уређују ову област. Такође, предвиђа се унапређење законодавног оквира у делу регулисања колективних радних односа и социјалног дијалога на свим нивоима.</w:t>
      </w:r>
    </w:p>
    <w:p w:rsidR="002A2FE2" w:rsidRPr="002A2FE2"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 xml:space="preserve">У складу са општим циљем политике запошљавања до 2020. године, утврђеним Националном стратегијом запошљавања за период 2011 - 2020. године, наставиће се са реализацијом активности ради успостављања ефикасног, стабилног и одрживог тренда раста запослености до 2020. године. Са тим у вези радиће се на унапређивању постојећег законодавног оквира политике запошљавања, бољој реализацији постојећих и увођењу нових мера активне политике запошљавања, подстицању запошљавања у мање развијеним регионима уз развој регионалних и локалних политика запошљавања, подизању квалитета </w:t>
      </w:r>
      <w:r w:rsidRPr="002A2FE2">
        <w:rPr>
          <w:rFonts w:asciiTheme="majorHAnsi" w:eastAsia="Calibri" w:hAnsiTheme="majorHAnsi" w:cs="Times New Roman"/>
          <w:color w:val="7F7F7F" w:themeColor="text1" w:themeTint="80"/>
          <w:sz w:val="21"/>
          <w:szCs w:val="21"/>
          <w:lang w:val="sr-Cyrl-RS"/>
        </w:rPr>
        <w:lastRenderedPageBreak/>
        <w:t>људског капитала, развоју институционалних капацитета и редукцији дуалности</w:t>
      </w:r>
      <w:r w:rsidRPr="002A2FE2">
        <w:rPr>
          <w:rFonts w:asciiTheme="majorHAnsi" w:eastAsia="Calibri" w:hAnsiTheme="majorHAnsi" w:cs="Times New Roman"/>
          <w:color w:val="7F7F7F" w:themeColor="text1" w:themeTint="80"/>
          <w:sz w:val="21"/>
          <w:szCs w:val="21"/>
          <w:vertAlign w:val="superscript"/>
          <w:lang w:val="sr-Cyrl-RS"/>
        </w:rPr>
        <w:footnoteReference w:id="9"/>
      </w:r>
      <w:r w:rsidRPr="002A2FE2">
        <w:rPr>
          <w:rFonts w:asciiTheme="majorHAnsi" w:eastAsia="Calibri" w:hAnsiTheme="majorHAnsi" w:cs="Times New Roman"/>
          <w:color w:val="7F7F7F" w:themeColor="text1" w:themeTint="80"/>
          <w:sz w:val="21"/>
          <w:szCs w:val="21"/>
          <w:lang w:val="sr-Cyrl-RS"/>
        </w:rPr>
        <w:t xml:space="preserve"> на тржишту рада.</w:t>
      </w:r>
    </w:p>
    <w:p w:rsidR="00D15AEB" w:rsidRPr="00171A80"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У наредном периоду планира се реализација следећих активности</w:t>
      </w:r>
      <w:r w:rsidR="00D15AEB" w:rsidRPr="00171A80">
        <w:rPr>
          <w:rFonts w:asciiTheme="majorHAnsi" w:eastAsia="Calibri" w:hAnsiTheme="majorHAnsi" w:cs="Times New Roman"/>
          <w:color w:val="7F7F7F" w:themeColor="text1" w:themeTint="80"/>
          <w:sz w:val="21"/>
          <w:szCs w:val="21"/>
          <w:lang w:val="sr-Cyrl-RS"/>
        </w:rPr>
        <w:t>:</w:t>
      </w:r>
    </w:p>
    <w:p w:rsidR="00AD1604" w:rsidRPr="00171A80" w:rsidRDefault="002A2FE2" w:rsidP="001738AF">
      <w:pPr>
        <w:pStyle w:val="ListParagraph"/>
        <w:numPr>
          <w:ilvl w:val="0"/>
          <w:numId w:val="25"/>
        </w:numPr>
        <w:spacing w:line="240" w:lineRule="auto"/>
        <w:ind w:left="714" w:hanging="357"/>
        <w:contextualSpacing w:val="0"/>
        <w:rPr>
          <w:rFonts w:asciiTheme="majorHAnsi" w:hAnsiTheme="majorHAnsi"/>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У циљу унапређења нормативног оквира и хармонизације прописа у области запошљавања са прописима ЕУ, донет је Закон о запошљавању странаца, те је следећи корак његова имплементација. У наредном периоду планирано је усвајање измена и допуна Закона о запошљавању и осигурању за случај незапослености ради унапређења његове примене у пракси, као и израда законодавног оквира за уређење области социјалног предузетништва у складу са позитивном праксом ЕУ, као механизма за радно-социјално укључивање теже запошљивих лица</w:t>
      </w:r>
      <w:r w:rsidR="00462B2A" w:rsidRPr="00171A80">
        <w:rPr>
          <w:rFonts w:asciiTheme="majorHAnsi" w:hAnsiTheme="majorHAnsi"/>
          <w:color w:val="7F7F7F" w:themeColor="text1" w:themeTint="80"/>
          <w:sz w:val="21"/>
          <w:szCs w:val="21"/>
          <w:lang w:val="sr-Cyrl-RS"/>
        </w:rPr>
        <w:t>;</w:t>
      </w:r>
    </w:p>
    <w:p w:rsidR="00AD1604" w:rsidRPr="00171A80" w:rsidRDefault="002A2FE2" w:rsidP="001738AF">
      <w:pPr>
        <w:pStyle w:val="ListParagraph"/>
        <w:numPr>
          <w:ilvl w:val="0"/>
          <w:numId w:val="25"/>
        </w:numPr>
        <w:spacing w:line="240" w:lineRule="auto"/>
        <w:ind w:left="714" w:hanging="357"/>
        <w:contextualSpacing w:val="0"/>
        <w:rPr>
          <w:rFonts w:asciiTheme="majorHAnsi" w:hAnsiTheme="majorHAnsi"/>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Ревизија Националне стратегије запошљавања за период 2011 - 2020. године</w:t>
      </w:r>
      <w:r w:rsidR="00462B2A" w:rsidRPr="00171A80">
        <w:rPr>
          <w:rFonts w:asciiTheme="majorHAnsi" w:hAnsiTheme="majorHAnsi"/>
          <w:color w:val="7F7F7F" w:themeColor="text1" w:themeTint="80"/>
          <w:sz w:val="21"/>
          <w:szCs w:val="21"/>
          <w:lang w:val="sr-Cyrl-RS"/>
        </w:rPr>
        <w:t>;</w:t>
      </w:r>
    </w:p>
    <w:p w:rsidR="00AD1604" w:rsidRPr="00171A80" w:rsidRDefault="002A2FE2" w:rsidP="001738AF">
      <w:pPr>
        <w:pStyle w:val="ListParagraph"/>
        <w:numPr>
          <w:ilvl w:val="0"/>
          <w:numId w:val="25"/>
        </w:numPr>
        <w:spacing w:line="240" w:lineRule="auto"/>
        <w:ind w:left="714" w:hanging="357"/>
        <w:contextualSpacing w:val="0"/>
        <w:rPr>
          <w:rFonts w:asciiTheme="majorHAnsi" w:hAnsiTheme="majorHAnsi"/>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Усвајање и почетак спровођења Програма реформи политике запошљавања и социјалне политике</w:t>
      </w:r>
      <w:r w:rsidR="00462B2A" w:rsidRPr="00171A80">
        <w:rPr>
          <w:rFonts w:asciiTheme="majorHAnsi" w:hAnsiTheme="majorHAnsi"/>
          <w:color w:val="7F7F7F" w:themeColor="text1" w:themeTint="80"/>
          <w:sz w:val="21"/>
          <w:szCs w:val="21"/>
          <w:lang w:val="sr-Cyrl-RS"/>
        </w:rPr>
        <w:t>;</w:t>
      </w:r>
    </w:p>
    <w:p w:rsidR="00AD1604" w:rsidRPr="00171A80" w:rsidRDefault="002A2FE2" w:rsidP="001738AF">
      <w:pPr>
        <w:pStyle w:val="ListParagraph"/>
        <w:numPr>
          <w:ilvl w:val="0"/>
          <w:numId w:val="25"/>
        </w:numPr>
        <w:spacing w:line="240" w:lineRule="auto"/>
        <w:ind w:left="714" w:hanging="357"/>
        <w:contextualSpacing w:val="0"/>
        <w:rPr>
          <w:rFonts w:asciiTheme="majorHAnsi" w:hAnsiTheme="majorHAnsi"/>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Унапређење постојећих мера активне политике запошљавања, сходно ситуацији на тржишту рада и резултатима анализе ефеката реализованих мера, као и повећање обухвата незапослених лица мерама активне политике запошљавања, са посебним акцентом на категорију теже запошљивих лица</w:t>
      </w:r>
      <w:r w:rsidR="00462B2A" w:rsidRPr="00171A80">
        <w:rPr>
          <w:rFonts w:asciiTheme="majorHAnsi" w:hAnsiTheme="majorHAnsi"/>
          <w:color w:val="7F7F7F" w:themeColor="text1" w:themeTint="80"/>
          <w:sz w:val="21"/>
          <w:szCs w:val="21"/>
          <w:lang w:val="sr-Cyrl-RS"/>
        </w:rPr>
        <w:t>;</w:t>
      </w:r>
    </w:p>
    <w:p w:rsidR="00AD1604" w:rsidRPr="00171A80" w:rsidRDefault="002A2FE2" w:rsidP="001738AF">
      <w:pPr>
        <w:pStyle w:val="ListParagraph"/>
        <w:numPr>
          <w:ilvl w:val="0"/>
          <w:numId w:val="25"/>
        </w:numPr>
        <w:spacing w:line="240" w:lineRule="auto"/>
        <w:ind w:left="714" w:hanging="357"/>
        <w:contextualSpacing w:val="0"/>
        <w:rPr>
          <w:rFonts w:asciiTheme="majorHAnsi" w:hAnsiTheme="majorHAnsi"/>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Унапређење процеса професионалне рехабилитације и запошљавања особа са инвалидитетом и очување и проширење постојеће мреже предузећа за професионалну рехабилитацију и запошљавање особа са инвалидитетом, као посебних ресурса радно-социјалне активације и интеграције на тржишту рада</w:t>
      </w:r>
      <w:r w:rsidR="00462B2A" w:rsidRPr="00171A80">
        <w:rPr>
          <w:rFonts w:asciiTheme="majorHAnsi" w:hAnsiTheme="majorHAnsi"/>
          <w:color w:val="7F7F7F" w:themeColor="text1" w:themeTint="80"/>
          <w:sz w:val="21"/>
          <w:szCs w:val="21"/>
          <w:lang w:val="sr-Cyrl-RS"/>
        </w:rPr>
        <w:t>;</w:t>
      </w:r>
    </w:p>
    <w:p w:rsidR="00F413CF" w:rsidRPr="00827704" w:rsidRDefault="002A2FE2" w:rsidP="001738AF">
      <w:pPr>
        <w:pStyle w:val="ListParagraph"/>
        <w:numPr>
          <w:ilvl w:val="0"/>
          <w:numId w:val="25"/>
        </w:numPr>
        <w:spacing w:line="240" w:lineRule="auto"/>
        <w:ind w:left="648"/>
        <w:rPr>
          <w:rFonts w:asciiTheme="majorHAnsi" w:hAnsiTheme="majorHAnsi"/>
          <w:color w:val="7F7F7F" w:themeColor="text1" w:themeTint="80"/>
          <w:sz w:val="21"/>
          <w:szCs w:val="21"/>
          <w:lang w:val="sr-Cyrl-RS"/>
        </w:rPr>
      </w:pPr>
      <w:r w:rsidRPr="002A2FE2">
        <w:rPr>
          <w:rFonts w:asciiTheme="majorHAnsi" w:hAnsiTheme="majorHAnsi"/>
          <w:bCs/>
          <w:color w:val="7F7F7F" w:themeColor="text1" w:themeTint="80"/>
          <w:sz w:val="21"/>
          <w:szCs w:val="21"/>
          <w:lang w:val="sr-Cyrl-RS"/>
        </w:rPr>
        <w:t>Спровођење процеса рационализације броја запослених и реорганизације Националне службе за запошљавање</w:t>
      </w:r>
      <w:r w:rsidR="00462B2A" w:rsidRPr="00171A80">
        <w:rPr>
          <w:rFonts w:asciiTheme="majorHAnsi" w:hAnsiTheme="majorHAnsi"/>
          <w:color w:val="7F7F7F" w:themeColor="text1" w:themeTint="80"/>
          <w:sz w:val="21"/>
          <w:szCs w:val="21"/>
          <w:lang w:val="sr-Cyrl-RS"/>
        </w:rPr>
        <w:t>.</w:t>
      </w:r>
    </w:p>
    <w:p w:rsidR="00782050" w:rsidRPr="00171A80" w:rsidRDefault="00782050" w:rsidP="008C590F">
      <w:pPr>
        <w:spacing w:line="276" w:lineRule="auto"/>
        <w:ind w:firstLine="0"/>
        <w:rPr>
          <w:rFonts w:asciiTheme="majorHAnsi" w:eastAsia="Calibri" w:hAnsiTheme="majorHAnsi" w:cs="Times New Roman"/>
          <w:b/>
          <w:bCs w:val="0"/>
          <w:i/>
          <w:color w:val="4F6228" w:themeColor="accent3" w:themeShade="80"/>
          <w:szCs w:val="22"/>
          <w:lang w:val="sr-Cyrl-RS"/>
        </w:rPr>
      </w:pPr>
      <w:r w:rsidRPr="00171A80">
        <w:rPr>
          <w:rFonts w:asciiTheme="majorHAnsi" w:eastAsia="Calibri" w:hAnsiTheme="majorHAnsi" w:cs="Times New Roman"/>
          <w:b/>
          <w:bCs w:val="0"/>
          <w:i/>
          <w:color w:val="4F6228" w:themeColor="accent3" w:themeShade="80"/>
          <w:szCs w:val="22"/>
          <w:lang w:val="sr-Cyrl-RS"/>
        </w:rPr>
        <w:t>Реформа система издавања грађевинских дозвола</w:t>
      </w:r>
    </w:p>
    <w:p w:rsidR="002A2FE2" w:rsidRPr="002A2FE2"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Ступањем на снагу Закона о изменама и допунама Закона о планирању и изградњи створени су услови за другачије уређење простора, пре свега кроз бржу и транспарентнију израду просторних и урбанистичких планова. Изменама Закона предвиђено је увођење обједињене процедуре издавања грађевинских дозвола. Процењује се да ће ово довести до значајног пораста броја издатих грађевинских дозвола у наредном периоду.</w:t>
      </w:r>
    </w:p>
    <w:p w:rsidR="002A2FE2" w:rsidRPr="002A2FE2"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 xml:space="preserve">На основу извештаја Светске банке у </w:t>
      </w:r>
      <w:r w:rsidRPr="002A2FE2">
        <w:rPr>
          <w:rFonts w:asciiTheme="majorHAnsi" w:eastAsia="Calibri" w:hAnsiTheme="majorHAnsi" w:cs="Times New Roman"/>
          <w:i/>
          <w:color w:val="7F7F7F" w:themeColor="text1" w:themeTint="80"/>
          <w:sz w:val="21"/>
          <w:szCs w:val="21"/>
          <w:lang w:val="sr-Cyrl-RS"/>
        </w:rPr>
        <w:t>Doing Business Report 2015</w:t>
      </w:r>
      <w:r w:rsidRPr="002A2FE2">
        <w:rPr>
          <w:rFonts w:asciiTheme="majorHAnsi" w:eastAsia="Calibri" w:hAnsiTheme="majorHAnsi" w:cs="Times New Roman"/>
          <w:color w:val="7F7F7F" w:themeColor="text1" w:themeTint="80"/>
          <w:sz w:val="21"/>
          <w:szCs w:val="21"/>
          <w:lang w:val="sr-Cyrl-RS"/>
        </w:rPr>
        <w:t xml:space="preserve"> Република Србија је заузела 186. од укупно 189. места по дужини чекања на грађевинску дозволу. Измене Закона о планирању и изградњи требало би да позицију Републике Србије по овом основу побољшају за минимум 70 места, на основу чега се може очекивати и већи прилив страних инвестиција.</w:t>
      </w:r>
    </w:p>
    <w:p w:rsidR="00782050" w:rsidRPr="00171A80"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Изменама Закона и увођењем обједињене процедуре у поступак издавања грађевинских дозвола створена је могућност да се сва потребна документација добије на једном месту, на транспарентан начин и у кратком року. У поступак обједињене процедуре за издавање грађевинске дозволе укључен је и Републички геодетски завод, што ће довести до скраћивања планираног времена за упис права својине по основу изградње објеката са просечних 45 на 20 дана. Примена обједињене процедуре довешће до пада цена некретнина, нарочито у области станоградње</w:t>
      </w:r>
      <w:r w:rsidR="00462B2A" w:rsidRPr="00171A80">
        <w:rPr>
          <w:rFonts w:asciiTheme="majorHAnsi" w:eastAsia="Calibri" w:hAnsiTheme="majorHAnsi" w:cs="Times New Roman"/>
          <w:color w:val="7F7F7F" w:themeColor="text1" w:themeTint="80"/>
          <w:sz w:val="21"/>
          <w:szCs w:val="21"/>
          <w:lang w:val="sr-Cyrl-RS"/>
        </w:rPr>
        <w:t>.</w:t>
      </w:r>
    </w:p>
    <w:p w:rsidR="005C75E7" w:rsidRDefault="005C75E7" w:rsidP="00462B2A">
      <w:pPr>
        <w:ind w:firstLine="0"/>
        <w:rPr>
          <w:rFonts w:asciiTheme="majorHAnsi" w:eastAsia="Calibri" w:hAnsiTheme="majorHAnsi" w:cs="Times New Roman"/>
          <w:b/>
          <w:bCs w:val="0"/>
          <w:i/>
          <w:color w:val="4F6228" w:themeColor="accent3" w:themeShade="80"/>
          <w:szCs w:val="22"/>
          <w:lang w:val="sr-Cyrl-RS"/>
        </w:rPr>
      </w:pPr>
    </w:p>
    <w:p w:rsidR="00827704" w:rsidRDefault="00827704" w:rsidP="00462B2A">
      <w:pPr>
        <w:ind w:firstLine="0"/>
        <w:rPr>
          <w:rFonts w:asciiTheme="majorHAnsi" w:eastAsia="Calibri" w:hAnsiTheme="majorHAnsi" w:cs="Times New Roman"/>
          <w:b/>
          <w:bCs w:val="0"/>
          <w:i/>
          <w:color w:val="4F6228" w:themeColor="accent3" w:themeShade="80"/>
          <w:szCs w:val="22"/>
          <w:lang w:val="sr-Cyrl-RS"/>
        </w:rPr>
      </w:pPr>
    </w:p>
    <w:p w:rsidR="00462B2A" w:rsidRPr="00171A80" w:rsidRDefault="00462B2A" w:rsidP="00462B2A">
      <w:pPr>
        <w:ind w:firstLine="0"/>
        <w:rPr>
          <w:rFonts w:asciiTheme="majorHAnsi" w:eastAsia="Calibri" w:hAnsiTheme="majorHAnsi" w:cs="Times New Roman"/>
          <w:b/>
          <w:bCs w:val="0"/>
          <w:i/>
          <w:color w:val="4F6228" w:themeColor="accent3" w:themeShade="80"/>
          <w:szCs w:val="22"/>
          <w:lang w:val="sr-Cyrl-RS"/>
        </w:rPr>
      </w:pPr>
      <w:r w:rsidRPr="00171A80">
        <w:rPr>
          <w:rFonts w:asciiTheme="majorHAnsi" w:eastAsia="Calibri" w:hAnsiTheme="majorHAnsi" w:cs="Times New Roman"/>
          <w:b/>
          <w:bCs w:val="0"/>
          <w:i/>
          <w:color w:val="4F6228" w:themeColor="accent3" w:themeShade="80"/>
          <w:szCs w:val="22"/>
          <w:lang w:val="sr-Cyrl-RS"/>
        </w:rPr>
        <w:lastRenderedPageBreak/>
        <w:t>Унапређење саобраћајне инфраструктуре</w:t>
      </w:r>
    </w:p>
    <w:p w:rsidR="002A2FE2" w:rsidRPr="002A2FE2" w:rsidRDefault="002A2FE2" w:rsidP="009D02F0">
      <w:pPr>
        <w:rPr>
          <w:rFonts w:asciiTheme="majorHAnsi" w:eastAsia="Calibri" w:hAnsiTheme="majorHAnsi" w:cs="Times New Roman"/>
          <w:bCs w:val="0"/>
          <w:color w:val="7F7F7F" w:themeColor="text1" w:themeTint="80"/>
          <w:sz w:val="21"/>
          <w:szCs w:val="21"/>
          <w:lang w:val="sr-Cyrl-RS"/>
        </w:rPr>
      </w:pPr>
      <w:r w:rsidRPr="002A2FE2">
        <w:rPr>
          <w:rFonts w:asciiTheme="majorHAnsi" w:eastAsia="Calibri" w:hAnsiTheme="majorHAnsi" w:cs="Times New Roman"/>
          <w:bCs w:val="0"/>
          <w:color w:val="7F7F7F" w:themeColor="text1" w:themeTint="80"/>
          <w:sz w:val="21"/>
          <w:szCs w:val="21"/>
          <w:lang w:val="sr-Cyrl-RS"/>
        </w:rPr>
        <w:t xml:space="preserve">Улагања у транспортну инфраструктуру по различитим видовима саобраћаја и приоритетима, дефинисана су у документу Транспорт мастер план до 2027. године, који је урађен у сарадњи са ЕУ. Основни циљ је побољшање квалитета мреже, како би се транспортна мрежа </w:t>
      </w:r>
      <w:r w:rsidRPr="002A2FE2">
        <w:rPr>
          <w:rFonts w:asciiTheme="majorHAnsi" w:eastAsia="Calibri" w:hAnsiTheme="majorHAnsi" w:cs="Times New Roman"/>
          <w:color w:val="7F7F7F" w:themeColor="text1" w:themeTint="80"/>
          <w:sz w:val="21"/>
          <w:szCs w:val="21"/>
          <w:lang w:val="sr-Cyrl-RS"/>
        </w:rPr>
        <w:t>Републике</w:t>
      </w:r>
      <w:r w:rsidRPr="002A2FE2">
        <w:rPr>
          <w:rFonts w:asciiTheme="majorHAnsi" w:eastAsia="Calibri" w:hAnsiTheme="majorHAnsi" w:cs="Times New Roman"/>
          <w:bCs w:val="0"/>
          <w:color w:val="7F7F7F" w:themeColor="text1" w:themeTint="80"/>
          <w:sz w:val="21"/>
          <w:szCs w:val="21"/>
          <w:lang w:val="sr-Cyrl-RS"/>
        </w:rPr>
        <w:t xml:space="preserve"> Србије интегрисала у Трансевропску транспортну мрежу.</w:t>
      </w:r>
    </w:p>
    <w:p w:rsidR="002A2FE2" w:rsidRPr="002A2FE2" w:rsidRDefault="002A2FE2" w:rsidP="009D02F0">
      <w:pPr>
        <w:rPr>
          <w:rFonts w:asciiTheme="majorHAnsi" w:eastAsia="Calibri" w:hAnsiTheme="majorHAnsi" w:cs="Times New Roman"/>
          <w:bCs w:val="0"/>
          <w:color w:val="7F7F7F" w:themeColor="text1" w:themeTint="80"/>
          <w:sz w:val="21"/>
          <w:szCs w:val="21"/>
          <w:lang w:val="sr-Cyrl-RS"/>
        </w:rPr>
      </w:pPr>
      <w:r w:rsidRPr="002A2FE2">
        <w:rPr>
          <w:rFonts w:asciiTheme="majorHAnsi" w:eastAsia="Calibri" w:hAnsiTheme="majorHAnsi" w:cs="Times New Roman"/>
          <w:bCs w:val="0"/>
          <w:color w:val="7F7F7F" w:themeColor="text1" w:themeTint="80"/>
          <w:sz w:val="21"/>
          <w:szCs w:val="21"/>
          <w:lang w:val="sr-Cyrl-RS"/>
        </w:rPr>
        <w:t>У циљу развоја саобраћајне инфраструктуре радиће се на развијању логистичких центара регионалног и локалног карактера на мултимодалним Коридорима 10 и 7, у великим привредним регионалним чвориштима и њиховим гравитационим зонама. Покренут је пројекат изградње првог логистичког центра у Београду, у чијем се средишту налази интермодални терминал, што ће омогућити смањење удела логистичких трошкова у цени производа.</w:t>
      </w:r>
    </w:p>
    <w:p w:rsidR="002A2FE2" w:rsidRPr="002A2FE2" w:rsidRDefault="002A2FE2" w:rsidP="009D02F0">
      <w:pPr>
        <w:rPr>
          <w:rFonts w:asciiTheme="majorHAnsi" w:eastAsia="Calibri" w:hAnsiTheme="majorHAnsi" w:cs="Times New Roman"/>
          <w:bCs w:val="0"/>
          <w:color w:val="7F7F7F" w:themeColor="text1" w:themeTint="80"/>
          <w:sz w:val="21"/>
          <w:szCs w:val="21"/>
          <w:lang w:val="sr-Cyrl-RS"/>
        </w:rPr>
      </w:pPr>
      <w:r w:rsidRPr="002A2FE2">
        <w:rPr>
          <w:rFonts w:asciiTheme="majorHAnsi" w:eastAsia="Calibri" w:hAnsiTheme="majorHAnsi" w:cs="Times New Roman"/>
          <w:bCs w:val="0"/>
          <w:color w:val="7F7F7F" w:themeColor="text1" w:themeTint="80"/>
          <w:sz w:val="21"/>
          <w:szCs w:val="21"/>
          <w:lang w:val="sr-Cyrl-RS"/>
        </w:rPr>
        <w:t xml:space="preserve">У току су активности на изменама и допунама два системска важећа закона: Закона о железници и Закона о безбедности и интероперабилности железнице. Изменама Закона о железници биће побољшана ефикасност железничког система Републике Србије, његово интегрисање у тржиште транспортних услуга, као и интеграција српских железница у железнички систем ЕУ. Усклађивањем са Директивом </w:t>
      </w:r>
      <w:r w:rsidRPr="002A2FE2">
        <w:rPr>
          <w:rFonts w:asciiTheme="majorHAnsi" w:eastAsia="Calibri" w:hAnsiTheme="majorHAnsi" w:cs="Times New Roman"/>
          <w:color w:val="7F7F7F" w:themeColor="text1" w:themeTint="80"/>
          <w:sz w:val="21"/>
          <w:szCs w:val="21"/>
          <w:lang w:val="sr-Cyrl-RS"/>
        </w:rPr>
        <w:t>2012/34/ЕЗ Европског парламента и Савета</w:t>
      </w:r>
      <w:r w:rsidRPr="002A2FE2">
        <w:rPr>
          <w:rFonts w:asciiTheme="majorHAnsi" w:eastAsia="Calibri" w:hAnsiTheme="majorHAnsi" w:cs="Times New Roman"/>
          <w:bCs w:val="0"/>
          <w:color w:val="7F7F7F" w:themeColor="text1" w:themeTint="80"/>
          <w:sz w:val="21"/>
          <w:szCs w:val="21"/>
          <w:lang w:val="sr-Cyrl-RS"/>
        </w:rPr>
        <w:t xml:space="preserve"> о успостављању јединственог европског железничког подручја, побољшани су услови за појаву више железничких превозника и управљача железничке инфраструктуре, што ће довести до развоја конкуренције и повећања квалитета превоза. Изменама и допунама Закона о безбедности и интероперабилности железнице очекује се повећање безбедности свих учесника у железничком саобраћају. У 2015. години предвиђено је и доношење Закона о жичарама и Закона о уговорима о превозу у железничком саобраћају. Доношењем Закона о жичарама по први пут се утврђује одговорност правних и физичких лица у области жичара, отварање тржишта везаног за градњу и обављање услуге јавног превоза жичарама давањем концесија. Законом о уговорима о превозу у железничком саобраћају обезбедиће се услови за развој конкурентности на транспортном тржишту. Основи циљ доношења овог закона је повећање укупне транспортне ефикасности и увођење принципа слободног приступа који подразумева исте услове за све кориснике и превознике.</w:t>
      </w:r>
    </w:p>
    <w:p w:rsidR="00D52BE5" w:rsidRDefault="002A2FE2" w:rsidP="002A2FE2">
      <w:pPr>
        <w:spacing w:after="0"/>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Усвајањем Стратегије развоја водног саобраћаја Републике Србије од 2015. до 2025. године и изменама Закона о пловидби и лукама на унутрашњим водама, створиће се услови за значајне инвестиције у сектор водног саобраћаја у наредних 5 година. Планирана је израда Стратегије развоја ваздушног саобраћаја Републике Србије од 2015. до 2025. године и Мастер плана управљања ваздушним простором. Створиће се услови за стратешка партнерства у изградњи аеродромске инфраструктуре, као и проширење услуга управљача ваздушним простором. Очекује се проширење тржишта, квалитетнија понуда конкурентског окружења, повољан амбијент за развој других авиокомпанија, као и развој осталих услуга у области ваздушног саобраћаја</w:t>
      </w:r>
      <w:r>
        <w:rPr>
          <w:rFonts w:asciiTheme="majorHAnsi" w:eastAsia="Calibri" w:hAnsiTheme="majorHAnsi" w:cs="Times New Roman"/>
          <w:color w:val="7F7F7F" w:themeColor="text1" w:themeTint="80"/>
          <w:sz w:val="21"/>
          <w:szCs w:val="21"/>
          <w:lang w:val="sr-Cyrl-RS"/>
        </w:rPr>
        <w:t>.</w:t>
      </w:r>
    </w:p>
    <w:p w:rsidR="00F87228" w:rsidRPr="00827704" w:rsidRDefault="00F87228" w:rsidP="00827704">
      <w:pPr>
        <w:spacing w:after="0"/>
        <w:rPr>
          <w:rFonts w:asciiTheme="majorHAnsi" w:eastAsiaTheme="minorHAnsi" w:hAnsiTheme="majorHAnsi" w:cs="Times New Roman"/>
          <w:bCs w:val="0"/>
          <w:color w:val="7F7F7F" w:themeColor="text1" w:themeTint="80"/>
          <w:sz w:val="21"/>
          <w:szCs w:val="21"/>
          <w:lang w:val="sr-Cyrl-RS"/>
        </w:rPr>
      </w:pPr>
    </w:p>
    <w:p w:rsidR="00114B6B" w:rsidRPr="00171A80" w:rsidRDefault="009D35FC" w:rsidP="003274D9">
      <w:pPr>
        <w:pStyle w:val="IFS2012Naslov2"/>
        <w:numPr>
          <w:ilvl w:val="0"/>
          <w:numId w:val="0"/>
        </w:numPr>
        <w:ind w:left="360"/>
        <w:rPr>
          <w:b/>
          <w:lang w:val="sr-Cyrl-RS"/>
        </w:rPr>
      </w:pPr>
      <w:bookmarkStart w:id="74" w:name="_Toc407617175"/>
      <w:r w:rsidRPr="00171A80">
        <w:rPr>
          <w:lang w:val="sr-Cyrl-RS"/>
        </w:rPr>
        <w:t xml:space="preserve">2. </w:t>
      </w:r>
      <w:r w:rsidR="00114B6B" w:rsidRPr="00171A80">
        <w:rPr>
          <w:lang w:val="sr-Cyrl-RS"/>
        </w:rPr>
        <w:t>Структурне реформе јавног сектора</w:t>
      </w:r>
      <w:bookmarkEnd w:id="72"/>
      <w:bookmarkEnd w:id="73"/>
      <w:bookmarkEnd w:id="74"/>
    </w:p>
    <w:p w:rsidR="000D4DF7" w:rsidRPr="00171A80" w:rsidRDefault="000D4DF7" w:rsidP="003274D9">
      <w:pPr>
        <w:pStyle w:val="IFS2012Naslov2"/>
        <w:numPr>
          <w:ilvl w:val="0"/>
          <w:numId w:val="0"/>
        </w:numPr>
        <w:ind w:left="720"/>
        <w:rPr>
          <w:lang w:val="sr-Cyrl-RS"/>
        </w:rPr>
      </w:pPr>
    </w:p>
    <w:p w:rsidR="00462B2A" w:rsidRPr="00171A80" w:rsidRDefault="002A2FE2" w:rsidP="00462B2A">
      <w:pPr>
        <w:ind w:firstLine="708"/>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Ради успостављања дугорочне одрживости јавних финансија убрзаће се спровођење структурних реформи јавног сектора које се првенствено односе на: реформу система социјалне заштите, реформу државне управе, реформу предузећа у реструктурирању, јавних предузећа и јавних друштава капитала, реформу управљања јавним финансијама, реформу пензијског система, реформу система образовања, реформу система здравствене заштите и обезбеђење финансијске стабилности</w:t>
      </w:r>
      <w:r w:rsidR="007F0017" w:rsidRPr="00171A80">
        <w:rPr>
          <w:rFonts w:asciiTheme="majorHAnsi" w:eastAsia="Calibri" w:hAnsiTheme="majorHAnsi" w:cs="Times New Roman"/>
          <w:color w:val="7F7F7F" w:themeColor="text1" w:themeTint="80"/>
          <w:sz w:val="21"/>
          <w:szCs w:val="21"/>
          <w:lang w:val="sr-Cyrl-RS"/>
        </w:rPr>
        <w:t>.</w:t>
      </w:r>
    </w:p>
    <w:p w:rsidR="00462B2A" w:rsidRPr="00171A80" w:rsidRDefault="00462B2A" w:rsidP="00462B2A">
      <w:pPr>
        <w:spacing w:before="120"/>
        <w:ind w:firstLine="0"/>
        <w:rPr>
          <w:rFonts w:asciiTheme="majorHAnsi" w:eastAsia="Calibri" w:hAnsiTheme="majorHAnsi" w:cs="Arial"/>
          <w:b/>
          <w:bCs w:val="0"/>
          <w:i/>
          <w:color w:val="4F6228" w:themeColor="accent3" w:themeShade="80"/>
          <w:szCs w:val="22"/>
          <w:lang w:val="sr-Cyrl-RS"/>
        </w:rPr>
      </w:pPr>
      <w:r w:rsidRPr="00171A80">
        <w:rPr>
          <w:rFonts w:asciiTheme="majorHAnsi" w:eastAsia="Calibri" w:hAnsiTheme="majorHAnsi" w:cs="Arial"/>
          <w:b/>
          <w:bCs w:val="0"/>
          <w:i/>
          <w:color w:val="4F6228" w:themeColor="accent3" w:themeShade="80"/>
          <w:szCs w:val="22"/>
          <w:lang w:val="sr-Cyrl-RS"/>
        </w:rPr>
        <w:t>Реформа система социјалне заштите</w:t>
      </w:r>
    </w:p>
    <w:p w:rsidR="002A2FE2" w:rsidRPr="002A2FE2"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У наредном периоду наставиће се са унапређењем система социјалне заштите у складу са системским законима из ове области. У том циљу започете су активности на изменама Закона о социјалној заштити, Породичног закона и изменама Закона о финансијској подршци породици са децом.</w:t>
      </w:r>
    </w:p>
    <w:p w:rsidR="002A2FE2" w:rsidRPr="002A2FE2"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lastRenderedPageBreak/>
        <w:t xml:space="preserve">Планирано је боље циљање корисника права из ове области и ефикаснија прерасподела материјалних давања намењених корисницима права из социјалне заштите. Планиране активности подразумевају смањење административних баријера за остваривање права, као и смањење злоупотреба у поступцима остваривања истих. </w:t>
      </w:r>
    </w:p>
    <w:p w:rsidR="003A0BEE" w:rsidRPr="00171A80"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Један од дугорочних циљева социјалне заштите је наставак процеса деинституционализације који подразумева два паралелна тока</w:t>
      </w:r>
      <w:r w:rsidR="00462B2A" w:rsidRPr="00171A80">
        <w:rPr>
          <w:rFonts w:asciiTheme="majorHAnsi" w:eastAsia="Calibri" w:hAnsiTheme="majorHAnsi" w:cs="Times New Roman"/>
          <w:color w:val="7F7F7F" w:themeColor="text1" w:themeTint="80"/>
          <w:sz w:val="21"/>
          <w:szCs w:val="21"/>
          <w:lang w:val="sr-Cyrl-RS"/>
        </w:rPr>
        <w:t xml:space="preserve">: </w:t>
      </w:r>
    </w:p>
    <w:p w:rsidR="008513F8" w:rsidRPr="00171A80" w:rsidRDefault="00957ABE" w:rsidP="008C590F">
      <w:pPr>
        <w:pStyle w:val="ListParagraph"/>
        <w:numPr>
          <w:ilvl w:val="0"/>
          <w:numId w:val="23"/>
        </w:numPr>
        <w:spacing w:line="240" w:lineRule="auto"/>
        <w:ind w:left="714" w:hanging="357"/>
        <w:contextualSpacing w:val="0"/>
        <w:jc w:val="left"/>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наставак процеса трансформације установа социјалне заштите за смештај корисника</w:t>
      </w:r>
      <w:r w:rsidR="008513F8" w:rsidRPr="00171A80">
        <w:rPr>
          <w:rFonts w:asciiTheme="majorHAnsi" w:hAnsiTheme="majorHAnsi"/>
          <w:color w:val="7F7F7F" w:themeColor="text1" w:themeTint="80"/>
          <w:sz w:val="21"/>
          <w:szCs w:val="21"/>
          <w:lang w:val="sr-Cyrl-RS"/>
        </w:rPr>
        <w:t>;</w:t>
      </w:r>
      <w:r w:rsidR="003A0BEE" w:rsidRPr="00171A80">
        <w:rPr>
          <w:rFonts w:asciiTheme="majorHAnsi" w:hAnsiTheme="majorHAnsi"/>
          <w:color w:val="7F7F7F" w:themeColor="text1" w:themeTint="80"/>
          <w:sz w:val="21"/>
          <w:szCs w:val="21"/>
          <w:lang w:val="sr-Cyrl-RS"/>
        </w:rPr>
        <w:t xml:space="preserve"> </w:t>
      </w:r>
    </w:p>
    <w:p w:rsidR="00F413CF" w:rsidRPr="00171A80" w:rsidRDefault="00957ABE" w:rsidP="008C590F">
      <w:pPr>
        <w:pStyle w:val="ListParagraph"/>
        <w:numPr>
          <w:ilvl w:val="0"/>
          <w:numId w:val="23"/>
        </w:numPr>
        <w:spacing w:line="240" w:lineRule="auto"/>
        <w:ind w:left="714" w:hanging="357"/>
        <w:contextualSpacing w:val="0"/>
        <w:jc w:val="left"/>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развој услуга у заједници које треба да одговоре на потребе корисника</w:t>
      </w:r>
      <w:r w:rsidR="00462B2A" w:rsidRPr="00171A80">
        <w:rPr>
          <w:rFonts w:asciiTheme="majorHAnsi" w:hAnsiTheme="majorHAnsi"/>
          <w:color w:val="7F7F7F" w:themeColor="text1" w:themeTint="80"/>
          <w:sz w:val="21"/>
          <w:szCs w:val="21"/>
          <w:lang w:val="sr-Cyrl-RS"/>
        </w:rPr>
        <w:t xml:space="preserve">. </w:t>
      </w:r>
    </w:p>
    <w:p w:rsidR="00462B2A" w:rsidRPr="00171A80" w:rsidRDefault="00957ABE" w:rsidP="00827704">
      <w:pPr>
        <w:spacing w:before="120"/>
        <w:ind w:left="714" w:hanging="357"/>
        <w:rPr>
          <w:rFonts w:asciiTheme="majorHAnsi" w:eastAsia="Calibri" w:hAnsiTheme="majorHAnsi"/>
          <w:color w:val="7F7F7F" w:themeColor="text1" w:themeTint="80"/>
          <w:sz w:val="21"/>
          <w:szCs w:val="21"/>
          <w:lang w:val="sr-Cyrl-RS"/>
        </w:rPr>
      </w:pPr>
      <w:r w:rsidRPr="00957ABE">
        <w:rPr>
          <w:rFonts w:asciiTheme="majorHAnsi" w:eastAsia="Calibri" w:hAnsiTheme="majorHAnsi"/>
          <w:color w:val="7F7F7F" w:themeColor="text1" w:themeTint="80"/>
          <w:sz w:val="21"/>
          <w:szCs w:val="21"/>
          <w:lang w:val="sr-Cyrl-RS"/>
        </w:rPr>
        <w:t>Побољшање доступности, обима и квалитета услуга социјалне заштите постићи ће се</w:t>
      </w:r>
      <w:r w:rsidR="00462B2A" w:rsidRPr="00171A80">
        <w:rPr>
          <w:rFonts w:asciiTheme="majorHAnsi" w:eastAsia="Calibri" w:hAnsiTheme="majorHAnsi"/>
          <w:color w:val="7F7F7F" w:themeColor="text1" w:themeTint="80"/>
          <w:sz w:val="21"/>
          <w:szCs w:val="21"/>
          <w:lang w:val="sr-Cyrl-RS"/>
        </w:rPr>
        <w:t xml:space="preserve">: </w:t>
      </w:r>
    </w:p>
    <w:p w:rsidR="003A0BEE" w:rsidRPr="00171A80" w:rsidRDefault="00957ABE" w:rsidP="008C590F">
      <w:pPr>
        <w:pStyle w:val="ListParagraph"/>
        <w:numPr>
          <w:ilvl w:val="0"/>
          <w:numId w:val="23"/>
        </w:numPr>
        <w:spacing w:line="240" w:lineRule="auto"/>
        <w:ind w:left="714" w:hanging="357"/>
        <w:contextualSpacing w:val="0"/>
        <w:jc w:val="left"/>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успостављањем, односно развојем тих услуга у локалним заједницама</w:t>
      </w:r>
      <w:r w:rsidR="00462B2A" w:rsidRPr="00171A80">
        <w:rPr>
          <w:rFonts w:asciiTheme="majorHAnsi" w:hAnsiTheme="majorHAnsi"/>
          <w:color w:val="7F7F7F" w:themeColor="text1" w:themeTint="80"/>
          <w:sz w:val="21"/>
          <w:szCs w:val="21"/>
          <w:lang w:val="sr-Cyrl-RS"/>
        </w:rPr>
        <w:t xml:space="preserve">; </w:t>
      </w:r>
    </w:p>
    <w:p w:rsidR="003A0BEE" w:rsidRPr="00171A80" w:rsidRDefault="00957ABE" w:rsidP="008C590F">
      <w:pPr>
        <w:pStyle w:val="ListParagraph"/>
        <w:numPr>
          <w:ilvl w:val="0"/>
          <w:numId w:val="23"/>
        </w:numPr>
        <w:spacing w:line="240" w:lineRule="auto"/>
        <w:ind w:left="714" w:hanging="357"/>
        <w:contextualSpacing w:val="0"/>
        <w:jc w:val="left"/>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достизањем прописаних стандарда кроз процес лиценцирања, како стручних радника, тако и пружалаца услуга социјалне заштите</w:t>
      </w:r>
      <w:r w:rsidR="008513F8" w:rsidRPr="00171A80">
        <w:rPr>
          <w:rFonts w:asciiTheme="majorHAnsi" w:hAnsiTheme="majorHAnsi"/>
          <w:color w:val="7F7F7F" w:themeColor="text1" w:themeTint="80"/>
          <w:sz w:val="21"/>
          <w:szCs w:val="21"/>
          <w:lang w:val="sr-Cyrl-RS"/>
        </w:rPr>
        <w:t>;</w:t>
      </w:r>
    </w:p>
    <w:p w:rsidR="00462B2A" w:rsidRPr="00171A80" w:rsidRDefault="00957ABE" w:rsidP="008C590F">
      <w:pPr>
        <w:pStyle w:val="ListParagraph"/>
        <w:numPr>
          <w:ilvl w:val="0"/>
          <w:numId w:val="23"/>
        </w:numPr>
        <w:spacing w:line="240" w:lineRule="auto"/>
        <w:ind w:left="714" w:hanging="357"/>
        <w:contextualSpacing w:val="0"/>
        <w:jc w:val="left"/>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јачањем инспекцијских служби на националном нивоу и развојем контролних и регулаторних механизама, мониторинга и евалуације</w:t>
      </w:r>
      <w:r w:rsidR="00462B2A" w:rsidRPr="00171A80">
        <w:rPr>
          <w:rFonts w:asciiTheme="majorHAnsi" w:hAnsiTheme="majorHAnsi"/>
          <w:color w:val="7F7F7F" w:themeColor="text1" w:themeTint="80"/>
          <w:sz w:val="21"/>
          <w:szCs w:val="21"/>
          <w:lang w:val="sr-Cyrl-RS"/>
        </w:rPr>
        <w:t>.</w:t>
      </w:r>
    </w:p>
    <w:p w:rsidR="00462B2A" w:rsidRPr="00171A80" w:rsidRDefault="002A2FE2" w:rsidP="003A0BEE">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Унапређење услуга у систему социјалне заштите постићи ће се планираним уређењем нормативног оквира у области наменских трансфера доношењем Уредбе о наменским трансферима. Наменски трансфери за циљ имају развој услуга социјалне заштите у мање рaзвиjeним и неразвијеним општинама</w:t>
      </w:r>
      <w:r w:rsidR="00462B2A" w:rsidRPr="00171A80">
        <w:rPr>
          <w:rFonts w:asciiTheme="majorHAnsi" w:eastAsia="Calibri" w:hAnsiTheme="majorHAnsi" w:cs="Times New Roman"/>
          <w:color w:val="7F7F7F" w:themeColor="text1" w:themeTint="80"/>
          <w:sz w:val="21"/>
          <w:szCs w:val="21"/>
          <w:lang w:val="sr-Cyrl-RS"/>
        </w:rPr>
        <w:t>.</w:t>
      </w:r>
    </w:p>
    <w:p w:rsidR="00462B2A" w:rsidRPr="00171A80" w:rsidRDefault="00462B2A" w:rsidP="00462B2A">
      <w:pPr>
        <w:ind w:firstLine="0"/>
        <w:rPr>
          <w:rFonts w:asciiTheme="majorHAnsi" w:hAnsiTheme="majorHAnsi"/>
          <w:b/>
          <w:i/>
          <w:color w:val="4F6228" w:themeColor="accent3" w:themeShade="80"/>
          <w:szCs w:val="22"/>
          <w:lang w:val="sr-Cyrl-RS"/>
        </w:rPr>
      </w:pPr>
      <w:r w:rsidRPr="00171A80">
        <w:rPr>
          <w:rFonts w:asciiTheme="majorHAnsi" w:hAnsiTheme="majorHAnsi"/>
          <w:b/>
          <w:i/>
          <w:color w:val="4F6228" w:themeColor="accent3" w:themeShade="80"/>
          <w:szCs w:val="22"/>
          <w:lang w:val="sr-Cyrl-RS"/>
        </w:rPr>
        <w:t>Реформа државне управе</w:t>
      </w:r>
    </w:p>
    <w:p w:rsidR="002A2FE2" w:rsidRPr="002A2FE2"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У периоду спровођења Стратегије реформе државне управе (од 2004. до 2013. године) у највећој мери остварен је основни циљ који се односи на обезбеђење правног оквира неопходног за деловање система државне управе и локалне самоуправе. У том смислу предстојеће реформске активности ће првенствено бити усмерене на спровођење закона и других прописа и јавних политика, уз даљу хармонизацију постојећег законодавства са прописима ЕУ.</w:t>
      </w:r>
    </w:p>
    <w:p w:rsidR="002A2FE2" w:rsidRPr="002A2FE2"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 xml:space="preserve">Стратегијом реформе јавне управе, усвојеном почетком 2014. године, проширени су реформски процеси на целокупну јавну управу, која поред државне управе обухвата и друге државне органе који обављају управне послове и носиоце јавних овлашћења. Општи циљ реформе је даље унапређење рада јавне управе у складу са принципима тзв. Европског административног простора, односно обезбеђивање високог квалитета услуга грађанима и привредним субјектима. </w:t>
      </w:r>
    </w:p>
    <w:p w:rsidR="007625F6" w:rsidRDefault="002A2FE2" w:rsidP="002A2FE2">
      <w:pPr>
        <w:ind w:firstLine="706"/>
        <w:rPr>
          <w:rFonts w:asciiTheme="majorHAnsi" w:eastAsia="Calibri" w:hAnsiTheme="majorHAnsi" w:cs="Times New Roman"/>
          <w:color w:val="7F7F7F" w:themeColor="text1" w:themeTint="80"/>
          <w:sz w:val="21"/>
          <w:szCs w:val="21"/>
          <w:lang w:val="sr-Cyrl-RS"/>
        </w:rPr>
      </w:pPr>
      <w:r w:rsidRPr="002A2FE2">
        <w:rPr>
          <w:rFonts w:asciiTheme="majorHAnsi" w:eastAsia="Calibri" w:hAnsiTheme="majorHAnsi" w:cs="Times New Roman"/>
          <w:color w:val="7F7F7F" w:themeColor="text1" w:themeTint="80"/>
          <w:sz w:val="21"/>
          <w:szCs w:val="21"/>
          <w:lang w:val="sr-Cyrl-RS"/>
        </w:rPr>
        <w:t>Посебни циљеви Стратегије реформе јавне управе, која је усвојена почетком 2014. године, односе се на</w:t>
      </w:r>
      <w:r w:rsidR="007625F6">
        <w:rPr>
          <w:rFonts w:asciiTheme="majorHAnsi" w:eastAsia="Calibri" w:hAnsiTheme="majorHAnsi" w:cs="Times New Roman"/>
          <w:color w:val="7F7F7F" w:themeColor="text1" w:themeTint="80"/>
          <w:sz w:val="21"/>
          <w:szCs w:val="21"/>
          <w:lang w:val="sr-Cyrl-RS"/>
        </w:rPr>
        <w:t xml:space="preserve">: </w:t>
      </w:r>
    </w:p>
    <w:p w:rsidR="007625F6" w:rsidRDefault="00957ABE" w:rsidP="008C590F">
      <w:pPr>
        <w:pStyle w:val="ListParagraph"/>
        <w:numPr>
          <w:ilvl w:val="0"/>
          <w:numId w:val="23"/>
        </w:numPr>
        <w:spacing w:line="240" w:lineRule="auto"/>
        <w:ind w:left="714" w:hanging="357"/>
        <w:contextualSpacing w:val="0"/>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унапређење организационих и функционалних подсистема јавне управе</w:t>
      </w:r>
      <w:r w:rsidR="007625F6">
        <w:rPr>
          <w:rFonts w:asciiTheme="majorHAnsi" w:hAnsiTheme="majorHAnsi"/>
          <w:color w:val="7F7F7F" w:themeColor="text1" w:themeTint="80"/>
          <w:sz w:val="21"/>
          <w:szCs w:val="21"/>
          <w:lang w:val="sr-Cyrl-RS"/>
        </w:rPr>
        <w:t>;</w:t>
      </w:r>
      <w:r w:rsidR="00462B2A" w:rsidRPr="007625F6">
        <w:rPr>
          <w:rFonts w:asciiTheme="majorHAnsi" w:hAnsiTheme="majorHAnsi"/>
          <w:color w:val="7F7F7F" w:themeColor="text1" w:themeTint="80"/>
          <w:sz w:val="21"/>
          <w:szCs w:val="21"/>
          <w:lang w:val="sr-Cyrl-RS"/>
        </w:rPr>
        <w:t xml:space="preserve"> </w:t>
      </w:r>
    </w:p>
    <w:p w:rsidR="007625F6" w:rsidRDefault="00957ABE" w:rsidP="008C590F">
      <w:pPr>
        <w:pStyle w:val="ListParagraph"/>
        <w:numPr>
          <w:ilvl w:val="0"/>
          <w:numId w:val="23"/>
        </w:numPr>
        <w:spacing w:line="240" w:lineRule="auto"/>
        <w:ind w:left="714" w:hanging="357"/>
        <w:contextualSpacing w:val="0"/>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успостављање усклађеног јавно - службеничког система заснованог на заслугама и унапређење управљања људским ресурсима</w:t>
      </w:r>
      <w:r w:rsidR="007625F6">
        <w:rPr>
          <w:rFonts w:asciiTheme="majorHAnsi" w:hAnsiTheme="majorHAnsi"/>
          <w:color w:val="7F7F7F" w:themeColor="text1" w:themeTint="80"/>
          <w:sz w:val="21"/>
          <w:szCs w:val="21"/>
          <w:lang w:val="sr-Cyrl-RS"/>
        </w:rPr>
        <w:t>;</w:t>
      </w:r>
    </w:p>
    <w:p w:rsidR="007625F6" w:rsidRDefault="00957ABE" w:rsidP="008C590F">
      <w:pPr>
        <w:pStyle w:val="ListParagraph"/>
        <w:numPr>
          <w:ilvl w:val="0"/>
          <w:numId w:val="23"/>
        </w:numPr>
        <w:spacing w:line="240" w:lineRule="auto"/>
        <w:ind w:left="714" w:hanging="357"/>
        <w:contextualSpacing w:val="0"/>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унапређење управљања јавним финансијама и јавним набавкама</w:t>
      </w:r>
      <w:r w:rsidR="007625F6">
        <w:rPr>
          <w:rFonts w:asciiTheme="majorHAnsi" w:hAnsiTheme="majorHAnsi"/>
          <w:color w:val="7F7F7F" w:themeColor="text1" w:themeTint="80"/>
          <w:sz w:val="21"/>
          <w:szCs w:val="21"/>
          <w:lang w:val="sr-Cyrl-RS"/>
        </w:rPr>
        <w:t>;</w:t>
      </w:r>
    </w:p>
    <w:p w:rsidR="007625F6" w:rsidRDefault="00957ABE" w:rsidP="008C590F">
      <w:pPr>
        <w:pStyle w:val="ListParagraph"/>
        <w:numPr>
          <w:ilvl w:val="0"/>
          <w:numId w:val="23"/>
        </w:numPr>
        <w:spacing w:line="240" w:lineRule="auto"/>
        <w:ind w:left="714" w:hanging="357"/>
        <w:contextualSpacing w:val="0"/>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 xml:space="preserve">повећање правне сигурности и унапређење пословног окружења и </w:t>
      </w:r>
      <w:r>
        <w:rPr>
          <w:rFonts w:asciiTheme="majorHAnsi" w:hAnsiTheme="majorHAnsi"/>
          <w:bCs/>
          <w:color w:val="7F7F7F" w:themeColor="text1" w:themeTint="80"/>
          <w:sz w:val="21"/>
          <w:szCs w:val="21"/>
          <w:lang w:val="sr-Cyrl-RS"/>
        </w:rPr>
        <w:t>квалитета пружања јавних услуг</w:t>
      </w:r>
      <w:r w:rsidR="007625F6">
        <w:rPr>
          <w:rFonts w:asciiTheme="majorHAnsi" w:hAnsiTheme="majorHAnsi"/>
          <w:color w:val="7F7F7F" w:themeColor="text1" w:themeTint="80"/>
          <w:sz w:val="21"/>
          <w:szCs w:val="21"/>
          <w:lang w:val="sr-Cyrl-RS"/>
        </w:rPr>
        <w:t>а;</w:t>
      </w:r>
    </w:p>
    <w:p w:rsidR="00462B2A" w:rsidRPr="007625F6" w:rsidRDefault="00957ABE" w:rsidP="008C590F">
      <w:pPr>
        <w:pStyle w:val="ListParagraph"/>
        <w:numPr>
          <w:ilvl w:val="0"/>
          <w:numId w:val="23"/>
        </w:numPr>
        <w:spacing w:line="240" w:lineRule="auto"/>
        <w:ind w:left="714" w:hanging="357"/>
        <w:contextualSpacing w:val="0"/>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јачање транспарентности, етичности и одговорности у обављању послова јавне управе</w:t>
      </w:r>
      <w:r w:rsidR="00462B2A" w:rsidRPr="007625F6">
        <w:rPr>
          <w:rFonts w:asciiTheme="majorHAnsi" w:hAnsiTheme="majorHAnsi"/>
          <w:color w:val="7F7F7F" w:themeColor="text1" w:themeTint="80"/>
          <w:sz w:val="21"/>
          <w:szCs w:val="21"/>
          <w:lang w:val="sr-Cyrl-RS"/>
        </w:rPr>
        <w:t>.</w:t>
      </w:r>
    </w:p>
    <w:p w:rsidR="00462B2A" w:rsidRPr="00171A80" w:rsidRDefault="00462B2A" w:rsidP="00462B2A">
      <w:pPr>
        <w:ind w:firstLine="0"/>
        <w:rPr>
          <w:rFonts w:asciiTheme="majorHAnsi" w:hAnsiTheme="majorHAnsi"/>
          <w:i/>
          <w:color w:val="4F6228" w:themeColor="accent3" w:themeShade="80"/>
          <w:szCs w:val="22"/>
          <w:lang w:val="sr-Cyrl-RS"/>
        </w:rPr>
      </w:pPr>
      <w:r w:rsidRPr="00171A80">
        <w:rPr>
          <w:rFonts w:asciiTheme="majorHAnsi" w:hAnsiTheme="majorHAnsi"/>
          <w:b/>
          <w:i/>
          <w:color w:val="4F6228" w:themeColor="accent3" w:themeShade="80"/>
          <w:szCs w:val="22"/>
          <w:lang w:val="sr-Cyrl-RS"/>
        </w:rPr>
        <w:t>Реформе предузећа у реструктурирању, јавних предузећа и јавних друштава капитала</w:t>
      </w:r>
    </w:p>
    <w:p w:rsidR="009D7EA8" w:rsidRDefault="00957ABE" w:rsidP="009D7EA8">
      <w:pPr>
        <w:ind w:firstLine="706"/>
        <w:rPr>
          <w:rFonts w:asciiTheme="majorHAnsi" w:eastAsia="Calibri" w:hAnsiTheme="majorHAnsi" w:cs="Times New Roman"/>
          <w:color w:val="7F7F7F" w:themeColor="text1" w:themeTint="80"/>
          <w:sz w:val="21"/>
          <w:szCs w:val="21"/>
          <w:lang w:val="sr-Cyrl-RS"/>
        </w:rPr>
      </w:pPr>
      <w:r w:rsidRPr="00957ABE">
        <w:rPr>
          <w:rFonts w:asciiTheme="majorHAnsi" w:eastAsia="Calibri" w:hAnsiTheme="majorHAnsi" w:cs="Times New Roman"/>
          <w:color w:val="7F7F7F" w:themeColor="text1" w:themeTint="80"/>
          <w:sz w:val="21"/>
          <w:szCs w:val="21"/>
          <w:lang w:val="sr-Cyrl-RS"/>
        </w:rPr>
        <w:t>У циљу минимизирања фискалних ризика у наредном периоду спровешће се свеобухватне реформе друштвених и државних предузећа. Приоритет је значајно смањење државне помоћи овим предузећима путем</w:t>
      </w:r>
      <w:r w:rsidR="00CA69EA" w:rsidRPr="00CA69EA">
        <w:rPr>
          <w:rFonts w:asciiTheme="majorHAnsi" w:eastAsia="Calibri" w:hAnsiTheme="majorHAnsi" w:cs="Times New Roman"/>
          <w:color w:val="7F7F7F" w:themeColor="text1" w:themeTint="80"/>
          <w:sz w:val="21"/>
          <w:szCs w:val="21"/>
          <w:lang w:val="sr-Cyrl-RS"/>
        </w:rPr>
        <w:t xml:space="preserve">: </w:t>
      </w:r>
    </w:p>
    <w:p w:rsidR="00CA69EA" w:rsidRPr="009D7EA8" w:rsidRDefault="00957ABE" w:rsidP="007164C2">
      <w:pPr>
        <w:pStyle w:val="ListParagraph"/>
        <w:numPr>
          <w:ilvl w:val="0"/>
          <w:numId w:val="23"/>
        </w:numPr>
        <w:spacing w:line="240" w:lineRule="auto"/>
        <w:ind w:left="357" w:firstLine="0"/>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 xml:space="preserve">смањења директних </w:t>
      </w:r>
      <w:r>
        <w:rPr>
          <w:rFonts w:asciiTheme="majorHAnsi" w:hAnsiTheme="majorHAnsi"/>
          <w:bCs/>
          <w:color w:val="7F7F7F" w:themeColor="text1" w:themeTint="80"/>
          <w:sz w:val="21"/>
          <w:szCs w:val="21"/>
          <w:lang w:val="sr-Cyrl-RS"/>
        </w:rPr>
        <w:t>или индиректних субвенциј</w:t>
      </w:r>
      <w:r w:rsidR="00CA69EA" w:rsidRPr="009D7EA8">
        <w:rPr>
          <w:rFonts w:asciiTheme="majorHAnsi" w:hAnsiTheme="majorHAnsi"/>
          <w:color w:val="7F7F7F" w:themeColor="text1" w:themeTint="80"/>
          <w:sz w:val="21"/>
          <w:szCs w:val="21"/>
          <w:lang w:val="sr-Cyrl-RS"/>
        </w:rPr>
        <w:t>а;</w:t>
      </w:r>
    </w:p>
    <w:p w:rsidR="00CA69EA" w:rsidRDefault="00957ABE" w:rsidP="007164C2">
      <w:pPr>
        <w:pStyle w:val="ListParagraph"/>
        <w:numPr>
          <w:ilvl w:val="0"/>
          <w:numId w:val="23"/>
        </w:numPr>
        <w:spacing w:line="240" w:lineRule="auto"/>
        <w:ind w:left="357" w:firstLine="0"/>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lastRenderedPageBreak/>
        <w:t>ограничења издавања нових гаранција</w:t>
      </w:r>
      <w:r w:rsidR="00CA69EA">
        <w:rPr>
          <w:rFonts w:asciiTheme="majorHAnsi" w:hAnsiTheme="majorHAnsi"/>
          <w:color w:val="7F7F7F" w:themeColor="text1" w:themeTint="80"/>
          <w:sz w:val="21"/>
          <w:szCs w:val="21"/>
          <w:lang w:val="sr-Cyrl-RS"/>
        </w:rPr>
        <w:t xml:space="preserve">; </w:t>
      </w:r>
    </w:p>
    <w:p w:rsidR="001067B8" w:rsidRPr="008C590F" w:rsidRDefault="00957ABE" w:rsidP="007164C2">
      <w:pPr>
        <w:pStyle w:val="ListParagraph"/>
        <w:numPr>
          <w:ilvl w:val="0"/>
          <w:numId w:val="23"/>
        </w:numPr>
        <w:spacing w:line="240" w:lineRule="auto"/>
        <w:ind w:left="714" w:hanging="357"/>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појачане одговорности,</w:t>
      </w:r>
      <w:r w:rsidR="002F7677">
        <w:rPr>
          <w:rFonts w:asciiTheme="majorHAnsi" w:hAnsiTheme="majorHAnsi"/>
          <w:bCs/>
          <w:color w:val="7F7F7F" w:themeColor="text1" w:themeTint="80"/>
          <w:sz w:val="21"/>
          <w:szCs w:val="21"/>
          <w:lang w:val="sr-Cyrl-RS"/>
        </w:rPr>
        <w:t xml:space="preserve"> транспарентности и праћења </w:t>
      </w:r>
      <w:r w:rsidRPr="00957ABE">
        <w:rPr>
          <w:rFonts w:asciiTheme="majorHAnsi" w:hAnsiTheme="majorHAnsi"/>
          <w:bCs/>
          <w:color w:val="7F7F7F" w:themeColor="text1" w:themeTint="80"/>
          <w:sz w:val="21"/>
          <w:szCs w:val="21"/>
          <w:lang w:val="sr-Cyrl-RS"/>
        </w:rPr>
        <w:t>пословања ових предузећа</w:t>
      </w:r>
      <w:r w:rsidR="00AA4BAD" w:rsidRPr="00CA69EA">
        <w:rPr>
          <w:rFonts w:asciiTheme="majorHAnsi" w:hAnsiTheme="majorHAnsi"/>
          <w:color w:val="7F7F7F" w:themeColor="text1" w:themeTint="80"/>
          <w:sz w:val="21"/>
          <w:szCs w:val="21"/>
          <w:lang w:val="sr-Cyrl-RS"/>
        </w:rPr>
        <w:t xml:space="preserve">. </w:t>
      </w:r>
    </w:p>
    <w:p w:rsidR="00CA69EA" w:rsidRDefault="00957ABE" w:rsidP="00CA69EA">
      <w:pPr>
        <w:ind w:left="360" w:firstLine="0"/>
        <w:rPr>
          <w:rFonts w:asciiTheme="majorHAnsi" w:eastAsia="Calibri" w:hAnsiTheme="majorHAnsi"/>
          <w:color w:val="7F7F7F" w:themeColor="text1" w:themeTint="80"/>
          <w:sz w:val="21"/>
          <w:szCs w:val="21"/>
          <w:lang w:val="sr-Cyrl-RS"/>
        </w:rPr>
      </w:pPr>
      <w:r w:rsidRPr="00957ABE">
        <w:rPr>
          <w:rFonts w:asciiTheme="majorHAnsi" w:eastAsia="Calibri" w:hAnsiTheme="majorHAnsi"/>
          <w:color w:val="7F7F7F" w:themeColor="text1" w:themeTint="80"/>
          <w:sz w:val="21"/>
          <w:szCs w:val="21"/>
          <w:lang w:val="sr-Cyrl-RS"/>
        </w:rPr>
        <w:t>Потребно је спровести стратегије за две широке категорије државних предузећа</w:t>
      </w:r>
      <w:r w:rsidR="00AA4BAD" w:rsidRPr="00CA69EA">
        <w:rPr>
          <w:rFonts w:asciiTheme="majorHAnsi" w:eastAsia="Calibri" w:hAnsiTheme="majorHAnsi"/>
          <w:color w:val="7F7F7F" w:themeColor="text1" w:themeTint="80"/>
          <w:sz w:val="21"/>
          <w:szCs w:val="21"/>
          <w:lang w:val="sr-Cyrl-RS"/>
        </w:rPr>
        <w:t xml:space="preserve">: </w:t>
      </w:r>
    </w:p>
    <w:p w:rsidR="00CA69EA" w:rsidRDefault="00957ABE" w:rsidP="00BA46F3">
      <w:pPr>
        <w:pStyle w:val="ListParagraph"/>
        <w:numPr>
          <w:ilvl w:val="0"/>
          <w:numId w:val="30"/>
        </w:numPr>
        <w:spacing w:before="0" w:line="240" w:lineRule="auto"/>
        <w:ind w:left="714" w:hanging="357"/>
        <w:contextualSpacing w:val="0"/>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компаније у портфолију Агенције за приватизацију</w:t>
      </w:r>
      <w:r w:rsidR="00CA69EA">
        <w:rPr>
          <w:rFonts w:asciiTheme="majorHAnsi" w:hAnsiTheme="majorHAnsi"/>
          <w:color w:val="7F7F7F" w:themeColor="text1" w:themeTint="80"/>
          <w:sz w:val="21"/>
          <w:szCs w:val="21"/>
          <w:lang w:val="sr-Cyrl-RS"/>
        </w:rPr>
        <w:t>;</w:t>
      </w:r>
    </w:p>
    <w:p w:rsidR="00AA4BAD" w:rsidRPr="00CA69EA" w:rsidRDefault="00957ABE" w:rsidP="007164C2">
      <w:pPr>
        <w:pStyle w:val="ListParagraph"/>
        <w:numPr>
          <w:ilvl w:val="0"/>
          <w:numId w:val="30"/>
        </w:numPr>
        <w:spacing w:before="0" w:line="240" w:lineRule="auto"/>
        <w:ind w:left="714" w:hanging="357"/>
        <w:rPr>
          <w:rFonts w:asciiTheme="majorHAnsi" w:hAnsiTheme="majorHAnsi"/>
          <w:color w:val="7F7F7F" w:themeColor="text1" w:themeTint="80"/>
          <w:sz w:val="21"/>
          <w:szCs w:val="21"/>
          <w:lang w:val="sr-Cyrl-RS"/>
        </w:rPr>
      </w:pPr>
      <w:r w:rsidRPr="00957ABE">
        <w:rPr>
          <w:rFonts w:asciiTheme="majorHAnsi" w:hAnsiTheme="majorHAnsi"/>
          <w:bCs/>
          <w:color w:val="7F7F7F" w:themeColor="text1" w:themeTint="80"/>
          <w:sz w:val="21"/>
          <w:szCs w:val="21"/>
          <w:lang w:val="sr-Cyrl-RS"/>
        </w:rPr>
        <w:t>друга велика државна предузећа, укључујући компаније из области електричне енергије, гаса, железница и путева</w:t>
      </w:r>
      <w:r w:rsidR="00AA4BAD" w:rsidRPr="00CA69EA">
        <w:rPr>
          <w:rFonts w:asciiTheme="majorHAnsi" w:hAnsiTheme="majorHAnsi"/>
          <w:color w:val="7F7F7F" w:themeColor="text1" w:themeTint="80"/>
          <w:sz w:val="21"/>
          <w:szCs w:val="21"/>
          <w:lang w:val="sr-Cyrl-RS"/>
        </w:rPr>
        <w:t>.</w:t>
      </w:r>
    </w:p>
    <w:p w:rsidR="007164C2" w:rsidRPr="007164C2" w:rsidRDefault="007164C2" w:rsidP="007164C2">
      <w:pPr>
        <w:ind w:firstLine="706"/>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Решење за предузећа која се налазе у портфељу Агенције за приватизацију је потребно обезбедити кроз приватизацију или стечај, у складу са недавно усвојеним Законом о приватизацији. Од августа 2014. године кренуло се са прикупљањем писама о заинтересованости за ове компаније за које ће се пронаћи модалитети решења у наредном периоду. За компаније са слабим изгледима за приватизацију биће покренут стечајни поступак, уз обезбеђивање одговарајућег социјалног програма за запослене.</w:t>
      </w:r>
    </w:p>
    <w:p w:rsidR="007164C2" w:rsidRPr="007164C2" w:rsidRDefault="007164C2" w:rsidP="007164C2">
      <w:pPr>
        <w:ind w:firstLine="706"/>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Један од начина решења проблема је проналажење стратешког партнера за државна и друштвена предузећа, док ће се за одређене пројекте решење тражити путем издавања концесија, са циљем да се тако остварени приход пре свега користи за смањење јавног дуга, али ће се, у консултацији са ММФ, радити и на уговарању финансијски одрживих инвестиционих пројеката који обезбеђују високе приносе.</w:t>
      </w:r>
    </w:p>
    <w:p w:rsidR="007164C2" w:rsidRPr="007164C2" w:rsidRDefault="007164C2" w:rsidP="007164C2">
      <w:pPr>
        <w:ind w:firstLine="706"/>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 xml:space="preserve">Као подршка раду телекомуникационог сектора на строго тржишним принципима биће покренут тендер за приватизацију Телекома Србије а.д. током 2015. године. За Железару Смедерево д.о.о. ће бити пронађен већински стратешки партнер до краја јануара 2015. године, чиме ће се побољшати њена финансијска позиција и бити елиминисана потреба за даљом државном помоћи. Истовремено, биће истражена могућност за дугорочна партнерства за одређене компаније по моделу концесија. </w:t>
      </w:r>
    </w:p>
    <w:p w:rsidR="00AA4BAD" w:rsidRPr="00171A80" w:rsidRDefault="007164C2" w:rsidP="007164C2">
      <w:pPr>
        <w:ind w:firstLine="706"/>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 xml:space="preserve">Током 2015. године, у сарадњи са међународним финансијским институцијама, спровешће се реструктурирање великих државних предузећа, и то посебно: ЈП </w:t>
      </w:r>
      <w:r w:rsidR="001044A0" w:rsidRPr="00171A80">
        <w:rPr>
          <w:rFonts w:asciiTheme="majorHAnsi" w:hAnsiTheme="majorHAnsi"/>
          <w:i/>
          <w:color w:val="7F7F7F" w:themeColor="text1" w:themeTint="80"/>
          <w:sz w:val="21"/>
          <w:szCs w:val="21"/>
          <w:lang w:val="sr-Cyrl-RS"/>
        </w:rPr>
        <w:t>„</w:t>
      </w:r>
      <w:r w:rsidRPr="007164C2">
        <w:rPr>
          <w:rFonts w:asciiTheme="majorHAnsi" w:eastAsia="Calibri" w:hAnsiTheme="majorHAnsi" w:cs="Times New Roman"/>
          <w:color w:val="7F7F7F" w:themeColor="text1" w:themeTint="80"/>
          <w:sz w:val="21"/>
          <w:szCs w:val="21"/>
          <w:lang w:val="sr-Cyrl-RS"/>
        </w:rPr>
        <w:t>Електропривреда Србије</w:t>
      </w:r>
      <w:r w:rsidR="001044A0" w:rsidRPr="00DA0879">
        <w:rPr>
          <w:rFonts w:asciiTheme="majorHAnsi" w:hAnsiTheme="majorHAnsi"/>
          <w:bCs w:val="0"/>
          <w:i/>
          <w:color w:val="7F7F7F" w:themeColor="text1" w:themeTint="80"/>
          <w:sz w:val="21"/>
          <w:szCs w:val="21"/>
          <w:lang w:val="sr-Cyrl-RS"/>
        </w:rPr>
        <w:t>”</w:t>
      </w:r>
      <w:r w:rsidRPr="007164C2">
        <w:rPr>
          <w:rFonts w:asciiTheme="majorHAnsi" w:eastAsia="Calibri" w:hAnsiTheme="majorHAnsi" w:cs="Times New Roman"/>
          <w:color w:val="7F7F7F" w:themeColor="text1" w:themeTint="80"/>
          <w:sz w:val="21"/>
          <w:szCs w:val="21"/>
          <w:lang w:val="sr-Cyrl-RS"/>
        </w:rPr>
        <w:t>, „Железнице Србије” а.д, ЈП „Србијагас” и ЈП „Путеви Србије”</w:t>
      </w:r>
      <w:r w:rsidR="00AA4BAD" w:rsidRPr="00171A80">
        <w:rPr>
          <w:rFonts w:asciiTheme="majorHAnsi" w:eastAsia="Calibri" w:hAnsiTheme="majorHAnsi" w:cs="Times New Roman"/>
          <w:color w:val="7F7F7F" w:themeColor="text1" w:themeTint="80"/>
          <w:sz w:val="21"/>
          <w:szCs w:val="21"/>
          <w:lang w:val="sr-Cyrl-RS"/>
        </w:rPr>
        <w:t xml:space="preserve">. </w:t>
      </w:r>
    </w:p>
    <w:p w:rsidR="003A0BEE" w:rsidRPr="007164C2" w:rsidRDefault="00AA4BAD" w:rsidP="001738AF">
      <w:pPr>
        <w:pStyle w:val="ListParagraph"/>
        <w:numPr>
          <w:ilvl w:val="0"/>
          <w:numId w:val="22"/>
        </w:numPr>
        <w:spacing w:line="240" w:lineRule="auto"/>
        <w:ind w:left="0" w:firstLine="357"/>
        <w:contextualSpacing w:val="0"/>
        <w:rPr>
          <w:rFonts w:asciiTheme="majorHAnsi" w:hAnsiTheme="majorHAnsi"/>
          <w:color w:val="7F7F7F" w:themeColor="text1" w:themeTint="80"/>
          <w:sz w:val="21"/>
          <w:szCs w:val="21"/>
          <w:lang w:val="sr-Cyrl-RS"/>
        </w:rPr>
      </w:pPr>
      <w:r w:rsidRPr="007164C2">
        <w:rPr>
          <w:rFonts w:asciiTheme="majorHAnsi" w:hAnsiTheme="majorHAnsi"/>
          <w:i/>
          <w:color w:val="7F7F7F" w:themeColor="text1" w:themeTint="80"/>
          <w:sz w:val="21"/>
          <w:szCs w:val="21"/>
          <w:lang w:val="sr-Cyrl-RS"/>
        </w:rPr>
        <w:t xml:space="preserve">ЈП </w:t>
      </w:r>
      <w:r w:rsidR="001044A0" w:rsidRPr="00171A80">
        <w:rPr>
          <w:rFonts w:asciiTheme="majorHAnsi" w:hAnsiTheme="majorHAnsi"/>
          <w:i/>
          <w:color w:val="7F7F7F" w:themeColor="text1" w:themeTint="80"/>
          <w:sz w:val="21"/>
          <w:szCs w:val="21"/>
          <w:lang w:val="sr-Cyrl-RS"/>
        </w:rPr>
        <w:t>„</w:t>
      </w:r>
      <w:r w:rsidRPr="007164C2">
        <w:rPr>
          <w:rFonts w:asciiTheme="majorHAnsi" w:hAnsiTheme="majorHAnsi"/>
          <w:i/>
          <w:color w:val="7F7F7F" w:themeColor="text1" w:themeTint="80"/>
          <w:sz w:val="21"/>
          <w:szCs w:val="21"/>
          <w:lang w:val="sr-Cyrl-RS"/>
        </w:rPr>
        <w:t>Електропривреда Србије</w:t>
      </w:r>
      <w:r w:rsidR="001044A0" w:rsidRPr="00DA0879">
        <w:rPr>
          <w:rFonts w:asciiTheme="majorHAnsi" w:hAnsiTheme="majorHAnsi"/>
          <w:bCs/>
          <w:i/>
          <w:color w:val="7F7F7F" w:themeColor="text1" w:themeTint="80"/>
          <w:sz w:val="21"/>
          <w:szCs w:val="21"/>
          <w:lang w:val="sr-Cyrl-RS"/>
        </w:rPr>
        <w:t>”</w:t>
      </w:r>
      <w:r w:rsidRPr="007164C2">
        <w:rPr>
          <w:rFonts w:asciiTheme="majorHAnsi" w:hAnsiTheme="majorHAnsi"/>
          <w:i/>
          <w:color w:val="7F7F7F" w:themeColor="text1" w:themeTint="80"/>
          <w:sz w:val="21"/>
          <w:szCs w:val="21"/>
          <w:lang w:val="sr-Cyrl-RS"/>
        </w:rPr>
        <w:t>.</w:t>
      </w:r>
      <w:r w:rsidRPr="007164C2">
        <w:rPr>
          <w:rFonts w:asciiTheme="majorHAnsi" w:hAnsiTheme="majorHAnsi"/>
          <w:color w:val="7F7F7F" w:themeColor="text1" w:themeTint="80"/>
          <w:sz w:val="21"/>
          <w:szCs w:val="21"/>
          <w:lang w:val="sr-Cyrl-RS"/>
        </w:rPr>
        <w:t xml:space="preserve"> </w:t>
      </w:r>
      <w:r w:rsidR="007164C2" w:rsidRPr="007164C2">
        <w:rPr>
          <w:rFonts w:asciiTheme="majorHAnsi" w:hAnsiTheme="majorHAnsi"/>
          <w:bCs/>
          <w:color w:val="7F7F7F" w:themeColor="text1" w:themeTint="80"/>
          <w:sz w:val="21"/>
          <w:szCs w:val="21"/>
          <w:lang w:val="sr-Cyrl-RS"/>
        </w:rPr>
        <w:t>Потребно је усвојити и спровести план корпоративног реструктурирања који се фокусира на поједностављење организационе структуре и управљања и рационализацију броја запослених, како би се избегла потреба за државном помоћи у будућности. План финансијског реструктурирања ће између осталог садржати и мере које имају за циљ побољшање наплате потраживања. Након процеса реструктурирања, кренуће се у проналажење мањинског приватног партнера који би могао додатно да побољша одрживост компаније и обезбеди професионални менаџмент. Процес реструктурирања ће бити припремљен у сарадњи са Светском банком и Европском банком за обнову и развој (у даљем тексту: ЕБРД). Реализација ових планова ће се наставити и у периоду од 2016. до 2017. године</w:t>
      </w:r>
      <w:r w:rsidRPr="007164C2">
        <w:rPr>
          <w:rFonts w:asciiTheme="majorHAnsi" w:hAnsiTheme="majorHAnsi"/>
          <w:color w:val="7F7F7F" w:themeColor="text1" w:themeTint="80"/>
          <w:sz w:val="21"/>
          <w:szCs w:val="21"/>
          <w:lang w:val="sr-Cyrl-RS"/>
        </w:rPr>
        <w:t xml:space="preserve">. </w:t>
      </w:r>
    </w:p>
    <w:p w:rsidR="003A0BEE" w:rsidRPr="00171A80" w:rsidRDefault="00AA4BAD" w:rsidP="00827704">
      <w:pPr>
        <w:pStyle w:val="ListParagraph"/>
        <w:numPr>
          <w:ilvl w:val="0"/>
          <w:numId w:val="22"/>
        </w:numPr>
        <w:spacing w:before="0" w:line="240" w:lineRule="auto"/>
        <w:ind w:left="0" w:firstLine="357"/>
        <w:contextualSpacing w:val="0"/>
        <w:rPr>
          <w:rFonts w:asciiTheme="majorHAnsi" w:hAnsiTheme="majorHAnsi"/>
          <w:color w:val="7F7F7F" w:themeColor="text1" w:themeTint="80"/>
          <w:sz w:val="21"/>
          <w:szCs w:val="21"/>
          <w:lang w:val="sr-Cyrl-RS"/>
        </w:rPr>
      </w:pPr>
      <w:r w:rsidRPr="00171A80">
        <w:rPr>
          <w:rFonts w:asciiTheme="majorHAnsi" w:hAnsiTheme="majorHAnsi"/>
          <w:i/>
          <w:color w:val="7F7F7F" w:themeColor="text1" w:themeTint="80"/>
          <w:sz w:val="21"/>
          <w:szCs w:val="21"/>
          <w:lang w:val="sr-Cyrl-RS"/>
        </w:rPr>
        <w:t>ЈП „Србијагас</w:t>
      </w:r>
      <w:r w:rsidR="00DA0879" w:rsidRPr="00DA0879">
        <w:rPr>
          <w:rFonts w:asciiTheme="majorHAnsi" w:hAnsiTheme="majorHAnsi"/>
          <w:bCs/>
          <w:i/>
          <w:color w:val="7F7F7F" w:themeColor="text1" w:themeTint="80"/>
          <w:sz w:val="21"/>
          <w:szCs w:val="21"/>
          <w:lang w:val="sr-Cyrl-RS"/>
        </w:rPr>
        <w:t>”</w:t>
      </w:r>
      <w:r w:rsidRPr="00171A80">
        <w:rPr>
          <w:rFonts w:asciiTheme="majorHAnsi" w:hAnsiTheme="majorHAnsi"/>
          <w:i/>
          <w:color w:val="7F7F7F" w:themeColor="text1" w:themeTint="80"/>
          <w:sz w:val="21"/>
          <w:szCs w:val="21"/>
          <w:lang w:val="sr-Cyrl-RS"/>
        </w:rPr>
        <w:t xml:space="preserve">. </w:t>
      </w:r>
      <w:r w:rsidR="007164C2" w:rsidRPr="007164C2">
        <w:rPr>
          <w:rFonts w:asciiTheme="majorHAnsi" w:hAnsiTheme="majorHAnsi"/>
          <w:bCs/>
          <w:color w:val="7F7F7F" w:themeColor="text1" w:themeTint="80"/>
          <w:sz w:val="21"/>
          <w:szCs w:val="21"/>
          <w:lang w:val="sr-Cyrl-RS"/>
        </w:rPr>
        <w:t xml:space="preserve">Потребно је извршити организационо и финансијско реструктурирање ЈП „Србијагас”. Планови за реструктурирање предузећа ЈП „Србијагас” обухватају продају имовине која се не користи за обављање основне делатности и усвајање оквира за организационо реструктурирање до краја децембра 2014. године. На плану финансијског реструктурирања, који ће бити спроведен уз подршку Светске банке, нагласак ће бити на побољшању наплате, увођењу таксе на транзит гаса и решавању проблема с компанијама које су главни извор доцњи, укључујући предузећа: ХИП Азотара, ХИП Петрохемија, МСК Кикинда и Железара Смедерево д.о.о. План ће бити усвојен до краја септембра 2015. године. Циљ ових мера је заустављање даљег погоршања финансијског положаја ЈП „Србијагас” и елиминисање потребе за додатном државном помоћи </w:t>
      </w:r>
      <w:r w:rsidR="007164C2">
        <w:rPr>
          <w:rFonts w:asciiTheme="majorHAnsi" w:hAnsiTheme="majorHAnsi"/>
          <w:bCs/>
          <w:color w:val="7F7F7F" w:themeColor="text1" w:themeTint="80"/>
          <w:sz w:val="21"/>
          <w:szCs w:val="21"/>
          <w:lang w:val="sr-Cyrl-RS"/>
        </w:rPr>
        <w:t>у складу са фискалним програмом</w:t>
      </w:r>
      <w:r w:rsidRPr="00171A80">
        <w:rPr>
          <w:rFonts w:asciiTheme="majorHAnsi" w:hAnsiTheme="majorHAnsi"/>
          <w:color w:val="7F7F7F" w:themeColor="text1" w:themeTint="80"/>
          <w:sz w:val="21"/>
          <w:szCs w:val="21"/>
          <w:lang w:val="sr-Cyrl-RS"/>
        </w:rPr>
        <w:t>.</w:t>
      </w:r>
    </w:p>
    <w:p w:rsidR="00E339EB" w:rsidRDefault="00AA4BAD" w:rsidP="00827704">
      <w:pPr>
        <w:pStyle w:val="ListParagraph"/>
        <w:numPr>
          <w:ilvl w:val="0"/>
          <w:numId w:val="22"/>
        </w:numPr>
        <w:spacing w:before="0" w:line="240" w:lineRule="auto"/>
        <w:ind w:left="0" w:firstLine="357"/>
        <w:contextualSpacing w:val="0"/>
        <w:rPr>
          <w:rFonts w:asciiTheme="majorHAnsi" w:hAnsiTheme="majorHAnsi"/>
          <w:color w:val="7F7F7F" w:themeColor="text1" w:themeTint="80"/>
          <w:sz w:val="21"/>
          <w:szCs w:val="21"/>
          <w:lang w:val="sr-Cyrl-RS"/>
        </w:rPr>
      </w:pPr>
      <w:r w:rsidRPr="00E339EB">
        <w:rPr>
          <w:rFonts w:asciiTheme="majorHAnsi" w:hAnsiTheme="majorHAnsi"/>
          <w:i/>
          <w:color w:val="7F7F7F" w:themeColor="text1" w:themeTint="80"/>
          <w:sz w:val="21"/>
          <w:szCs w:val="21"/>
          <w:lang w:val="sr-Cyrl-RS"/>
        </w:rPr>
        <w:t xml:space="preserve">„Железнице </w:t>
      </w:r>
      <w:r w:rsidRPr="00DA0879">
        <w:rPr>
          <w:rFonts w:asciiTheme="majorHAnsi" w:hAnsiTheme="majorHAnsi"/>
          <w:i/>
          <w:color w:val="7F7F7F" w:themeColor="text1" w:themeTint="80"/>
          <w:sz w:val="21"/>
          <w:szCs w:val="21"/>
          <w:lang w:val="sr-Cyrl-RS"/>
        </w:rPr>
        <w:t>Србије” а.д.</w:t>
      </w:r>
      <w:r w:rsidRPr="00E339EB">
        <w:rPr>
          <w:rFonts w:asciiTheme="majorHAnsi" w:hAnsiTheme="majorHAnsi"/>
          <w:color w:val="7F7F7F" w:themeColor="text1" w:themeTint="80"/>
          <w:sz w:val="21"/>
          <w:szCs w:val="21"/>
          <w:lang w:val="sr-Cyrl-RS"/>
        </w:rPr>
        <w:t xml:space="preserve"> </w:t>
      </w:r>
      <w:r w:rsidR="007164C2" w:rsidRPr="007164C2">
        <w:rPr>
          <w:rFonts w:asciiTheme="majorHAnsi" w:hAnsiTheme="majorHAnsi"/>
          <w:bCs/>
          <w:color w:val="7F7F7F" w:themeColor="text1" w:themeTint="80"/>
          <w:sz w:val="21"/>
          <w:szCs w:val="21"/>
          <w:lang w:val="sr-Cyrl-RS"/>
        </w:rPr>
        <w:t xml:space="preserve">План корпоративне и финансијске реорганизације, који ће бити спроведен у наредном периоду, подразумева организационе и статусне промене. Компанија ће бити подељена, у складу са искуствима из земаља ЕУ, на предузећа из области путничког саобраћаја, теретни саобраћај, предузеће које ће се бавити инфраструктуром и на холдинг компанију. Промене ће пратити и реорганизација менаџмента. План реструктурирања ће </w:t>
      </w:r>
      <w:r w:rsidR="007164C2" w:rsidRPr="007164C2">
        <w:rPr>
          <w:rFonts w:asciiTheme="majorHAnsi" w:hAnsiTheme="majorHAnsi"/>
          <w:bCs/>
          <w:color w:val="7F7F7F" w:themeColor="text1" w:themeTint="80"/>
          <w:sz w:val="21"/>
          <w:szCs w:val="21"/>
          <w:lang w:val="sr-Cyrl-RS"/>
        </w:rPr>
        <w:lastRenderedPageBreak/>
        <w:t>обухватити измене у погледу располагања имовином, саобраћајне мреже и рационализације броја запослених. Сектор теретног саобраћаја неће добијати субвенције из буџета и радиће по тржишним принципима</w:t>
      </w:r>
      <w:r w:rsidR="001A233A">
        <w:rPr>
          <w:rFonts w:asciiTheme="majorHAnsi" w:hAnsiTheme="majorHAnsi"/>
          <w:bCs/>
          <w:color w:val="7F7F7F" w:themeColor="text1" w:themeTint="80"/>
          <w:sz w:val="21"/>
          <w:szCs w:val="21"/>
          <w:lang w:val="sr-Cyrl-RS"/>
        </w:rPr>
        <w:t xml:space="preserve"> од јануара 2018. године, у складу са препорукама Светске банке</w:t>
      </w:r>
      <w:r w:rsidR="007164C2" w:rsidRPr="007164C2">
        <w:rPr>
          <w:rFonts w:asciiTheme="majorHAnsi" w:hAnsiTheme="majorHAnsi"/>
          <w:bCs/>
          <w:color w:val="7F7F7F" w:themeColor="text1" w:themeTint="80"/>
          <w:sz w:val="21"/>
          <w:szCs w:val="21"/>
          <w:lang w:val="sr-Cyrl-RS"/>
        </w:rPr>
        <w:t>. Биће уведена накнада за употребу железничке инфраструктуре, у склопу отварања тржишта за железнички транспорт. Такође, биће настављена реорганизација и унапређење пословних планова преосталих државних путничких и инфраструктурних компанија с циљем стриктног ограничавања државне помоћи у средњем року. У целом процесу ће се блиско сарађивати са Светском банком, ЕБРД и ЕУ у одређивању оптималних планова корпоративног и финансијског реструктурирања</w:t>
      </w:r>
      <w:r w:rsidR="00DA0879">
        <w:rPr>
          <w:rFonts w:asciiTheme="majorHAnsi" w:hAnsiTheme="majorHAnsi"/>
          <w:bCs/>
          <w:color w:val="7F7F7F" w:themeColor="text1" w:themeTint="80"/>
          <w:sz w:val="21"/>
          <w:szCs w:val="21"/>
          <w:lang w:val="sr-Latn-RS"/>
        </w:rPr>
        <w:t>.</w:t>
      </w:r>
      <w:r w:rsidRPr="00E339EB">
        <w:rPr>
          <w:rFonts w:asciiTheme="majorHAnsi" w:hAnsiTheme="majorHAnsi"/>
          <w:color w:val="7F7F7F" w:themeColor="text1" w:themeTint="80"/>
          <w:sz w:val="21"/>
          <w:szCs w:val="21"/>
          <w:lang w:val="sr-Cyrl-RS"/>
        </w:rPr>
        <w:t xml:space="preserve"> </w:t>
      </w:r>
    </w:p>
    <w:p w:rsidR="00AA4BAD" w:rsidRPr="00C14383" w:rsidRDefault="00AA4BAD" w:rsidP="00C14383">
      <w:pPr>
        <w:pStyle w:val="ListParagraph"/>
        <w:numPr>
          <w:ilvl w:val="0"/>
          <w:numId w:val="22"/>
        </w:numPr>
        <w:spacing w:before="0" w:line="240" w:lineRule="auto"/>
        <w:ind w:left="0" w:firstLine="360"/>
        <w:rPr>
          <w:rFonts w:asciiTheme="majorHAnsi" w:hAnsiTheme="majorHAnsi"/>
          <w:color w:val="7F7F7F" w:themeColor="text1" w:themeTint="80"/>
          <w:sz w:val="21"/>
          <w:szCs w:val="21"/>
          <w:lang w:val="sr-Cyrl-RS"/>
        </w:rPr>
      </w:pPr>
      <w:r w:rsidRPr="00E339EB">
        <w:rPr>
          <w:rFonts w:asciiTheme="majorHAnsi" w:hAnsiTheme="majorHAnsi"/>
          <w:i/>
          <w:color w:val="7F7F7F" w:themeColor="text1" w:themeTint="80"/>
          <w:sz w:val="21"/>
          <w:szCs w:val="21"/>
          <w:lang w:val="sr-Cyrl-RS"/>
        </w:rPr>
        <w:t xml:space="preserve">ЈП „Путеви Србије”. </w:t>
      </w:r>
      <w:r w:rsidR="007164C2" w:rsidRPr="007164C2">
        <w:rPr>
          <w:rFonts w:asciiTheme="majorHAnsi" w:hAnsiTheme="majorHAnsi"/>
          <w:bCs/>
          <w:color w:val="7F7F7F" w:themeColor="text1" w:themeTint="80"/>
          <w:sz w:val="21"/>
          <w:szCs w:val="21"/>
          <w:lang w:val="sr-Cyrl-RS"/>
        </w:rPr>
        <w:t xml:space="preserve">Очекује се да спајање ЈП „Путеви Србије” са предузећем ,,Коридори Србије” д.о.о. буде завршено до краја </w:t>
      </w:r>
      <w:r w:rsidR="001A233A">
        <w:rPr>
          <w:rFonts w:asciiTheme="majorHAnsi" w:hAnsiTheme="majorHAnsi"/>
          <w:bCs/>
          <w:color w:val="7F7F7F" w:themeColor="text1" w:themeTint="80"/>
          <w:sz w:val="21"/>
          <w:szCs w:val="21"/>
          <w:lang w:val="sr-Cyrl-RS"/>
        </w:rPr>
        <w:t>март</w:t>
      </w:r>
      <w:r w:rsidR="007164C2" w:rsidRPr="007164C2">
        <w:rPr>
          <w:rFonts w:asciiTheme="majorHAnsi" w:hAnsiTheme="majorHAnsi"/>
          <w:bCs/>
          <w:color w:val="7F7F7F" w:themeColor="text1" w:themeTint="80"/>
          <w:sz w:val="21"/>
          <w:szCs w:val="21"/>
          <w:lang w:val="sr-Cyrl-RS"/>
        </w:rPr>
        <w:t>а 201</w:t>
      </w:r>
      <w:r w:rsidR="001A233A">
        <w:rPr>
          <w:rFonts w:asciiTheme="majorHAnsi" w:hAnsiTheme="majorHAnsi"/>
          <w:bCs/>
          <w:color w:val="7F7F7F" w:themeColor="text1" w:themeTint="80"/>
          <w:sz w:val="21"/>
          <w:szCs w:val="21"/>
          <w:lang w:val="sr-Cyrl-RS"/>
        </w:rPr>
        <w:t>5</w:t>
      </w:r>
      <w:r w:rsidR="007164C2" w:rsidRPr="007164C2">
        <w:rPr>
          <w:rFonts w:asciiTheme="majorHAnsi" w:hAnsiTheme="majorHAnsi"/>
          <w:bCs/>
          <w:color w:val="7F7F7F" w:themeColor="text1" w:themeTint="80"/>
          <w:sz w:val="21"/>
          <w:szCs w:val="21"/>
          <w:lang w:val="sr-Cyrl-RS"/>
        </w:rPr>
        <w:t>. године, како би убудуће изградња и одржавање путева у Републици Србији била у надлежности једног предузећа. Очекује се унапређење ефикасности због консолидације пословања. Такође, биће размотрени износи путарина, док ће се радити и на побољшању уговора о одржавању путева. Циљ је остварити уштеде и повећати ефикасност система и на тај начин смањити потребе за субвенцијама из буџета. Разматраће се опције за изградњу и одржавање путева путем концесија. Планови корпоративнoг и финансијског реструктурирања ће се развијати у сарадњи са Светском банком</w:t>
      </w:r>
      <w:r w:rsidRPr="00E339EB">
        <w:rPr>
          <w:rFonts w:asciiTheme="majorHAnsi" w:hAnsiTheme="majorHAnsi"/>
          <w:color w:val="7F7F7F" w:themeColor="text1" w:themeTint="80"/>
          <w:sz w:val="21"/>
          <w:szCs w:val="21"/>
          <w:lang w:val="sr-Cyrl-RS"/>
        </w:rPr>
        <w:t>.</w:t>
      </w:r>
    </w:p>
    <w:p w:rsidR="00462B2A" w:rsidRPr="00171A80" w:rsidRDefault="00462B2A" w:rsidP="00462B2A">
      <w:pPr>
        <w:ind w:firstLine="0"/>
        <w:rPr>
          <w:rFonts w:asciiTheme="majorHAnsi" w:hAnsiTheme="majorHAnsi"/>
          <w:b/>
          <w:i/>
          <w:color w:val="4F6228" w:themeColor="accent3" w:themeShade="80"/>
          <w:szCs w:val="22"/>
          <w:lang w:val="sr-Cyrl-RS"/>
        </w:rPr>
      </w:pPr>
      <w:r w:rsidRPr="00171A80">
        <w:rPr>
          <w:rFonts w:asciiTheme="majorHAnsi" w:hAnsiTheme="majorHAnsi"/>
          <w:b/>
          <w:i/>
          <w:color w:val="4F6228" w:themeColor="accent3" w:themeShade="80"/>
          <w:szCs w:val="22"/>
          <w:lang w:val="sr-Cyrl-RS"/>
        </w:rPr>
        <w:t xml:space="preserve">Реформа </w:t>
      </w:r>
      <w:r w:rsidR="002465E5">
        <w:rPr>
          <w:rFonts w:asciiTheme="majorHAnsi" w:hAnsiTheme="majorHAnsi"/>
          <w:b/>
          <w:i/>
          <w:color w:val="4F6228" w:themeColor="accent3" w:themeShade="80"/>
          <w:szCs w:val="22"/>
          <w:lang w:val="sr-Cyrl-RS"/>
        </w:rPr>
        <w:t xml:space="preserve">система </w:t>
      </w:r>
      <w:r w:rsidRPr="00171A80">
        <w:rPr>
          <w:rFonts w:asciiTheme="majorHAnsi" w:hAnsiTheme="majorHAnsi"/>
          <w:b/>
          <w:i/>
          <w:color w:val="4F6228" w:themeColor="accent3" w:themeShade="80"/>
          <w:szCs w:val="22"/>
          <w:lang w:val="sr-Cyrl-RS"/>
        </w:rPr>
        <w:t>управљања јавним финансијама</w:t>
      </w:r>
    </w:p>
    <w:p w:rsidR="007164C2" w:rsidRPr="007164C2"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У оквиру система управљања јавним финансијама посебан значај имају измене Закона о буџетском систему којима се унапређује систем контроле броја запослених и уређује износ плата у јавном сектору. Успостављање централног регистра запослених у јавном сектору је у завршној фази. Регистар обухвата све директне и индиректне кориснике средстава буџета Републике Србије, локалне самоуправе, организације обавезног социјалног осигурања, јавне агенције и друга правна лица која су под контролом државе, као и сва јавна предузећа на републичком и локалном нивоу. На основу стварног броја запослених из Регистра и спроведене анализе биће утврђен потребан број и структура запослених за сваку област јавног сектора и дефинисани начини запошљавања и система напредовања.</w:t>
      </w:r>
    </w:p>
    <w:p w:rsidR="007164C2" w:rsidRPr="007164C2"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 xml:space="preserve">У 2015. години ће се радити на реформи политике зарада и других примања у јавном сектору кроз увођење јединствених платних разреда, коефицијената и начина напредовања и награђивања запослених. </w:t>
      </w:r>
    </w:p>
    <w:p w:rsidR="007164C2" w:rsidRPr="007164C2"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Процес увођења програмског буџетирања је отпочео на основу утврђене методологије. У наредном периоду интензивираће се послови на даљем унапређењу буџетског процеса.</w:t>
      </w:r>
    </w:p>
    <w:p w:rsidR="007164C2" w:rsidRPr="007164C2"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С циљем унапређења пореског система и боље наплате пореских прихода и других дажбина велики помак је учињен у процесу преласка на електронско подношење пореских пријава, увођења јединствене пореске пријаве за запослене, као и јединственог рачуна за уплату фискалних дажбина које се плаћају на приходе запослених лица. Паралелно са тим, интензивираће се активности на јачању Пореске управе у циљу њене даље модернизације и повећања ефикасности.</w:t>
      </w:r>
    </w:p>
    <w:p w:rsidR="007164C2" w:rsidRPr="007164C2"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 xml:space="preserve">Унапређење система управљања јавним финансијама оствариће се подизањем квалитета и кредибилитета стратешких докумената којима се дефинише економска и фискална политика Владе. То подразумева увођење, развијање и имплементацију нових методолошких приступа и оперативних алата за анализе и пројекције основних макроекономских и фискалних агрегата, као и симулације одређених економских политика и њихових краткорочних и дугорочних ефеката.  У том смислу у наредном периоду јачаће се капацитети Сектора за макроекономске и фискалне анализе и пројекције, како у виду повећања броја запослених тако и кроз њихово стручно усавршавање, како би се на најбољи начин одговорило захтевима међународног окружења, закључења аранжмана са ММФ али и захтевима које у процесу преговора о приступању ЕУ поставља ЕК. </w:t>
      </w:r>
    </w:p>
    <w:p w:rsidR="007164C2" w:rsidRPr="007164C2"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 xml:space="preserve">У циљу боље контроле трошења буџетских средстава у наредном периоду ће се посебна пажња посветити ефикаснијој контроли управљања и трошења јавних средстава. Даље јачање интерне финансијске контроле у јавном сектору, односно увођење финансијског управљања и </w:t>
      </w:r>
      <w:r w:rsidRPr="007164C2">
        <w:rPr>
          <w:rFonts w:asciiTheme="majorHAnsi" w:hAnsiTheme="majorHAnsi"/>
          <w:color w:val="7F7F7F" w:themeColor="text1" w:themeTint="80"/>
          <w:sz w:val="21"/>
          <w:szCs w:val="21"/>
          <w:lang w:val="sr-Cyrl-RS"/>
        </w:rPr>
        <w:lastRenderedPageBreak/>
        <w:t xml:space="preserve">контроле и интерне ревизије код корисника јавних средстава на централном и локалном нивоу, као и функционално унапређење рада буџетске инспекције представљају два кључна реформска приоритета у области управљања јавним финансијама. </w:t>
      </w:r>
    </w:p>
    <w:p w:rsidR="00462B2A" w:rsidRPr="00171A80"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У наредном периоду ће се наставити са процесом јачања фискалне одговорности локалних самоуправа, с циљем да се повећа фискални капацитет локалних самоуправа, обезбеди боља наплата изворних прихода, већи квалитет пружених услуга, већа ефикасност локалних комуналних предузећа, ограничавање запошљавања и ефикасније трошење средстава и тиме смањи потреба за трансферима из буџета Републике Србије</w:t>
      </w:r>
      <w:r w:rsidR="00462B2A" w:rsidRPr="00171A80">
        <w:rPr>
          <w:rFonts w:asciiTheme="majorHAnsi" w:hAnsiTheme="majorHAnsi"/>
          <w:color w:val="7F7F7F" w:themeColor="text1" w:themeTint="80"/>
          <w:sz w:val="21"/>
          <w:szCs w:val="21"/>
          <w:lang w:val="sr-Cyrl-RS"/>
        </w:rPr>
        <w:t>.</w:t>
      </w:r>
    </w:p>
    <w:p w:rsidR="00462B2A" w:rsidRPr="00C14383" w:rsidRDefault="00462B2A" w:rsidP="00462B2A">
      <w:pPr>
        <w:ind w:firstLine="0"/>
        <w:rPr>
          <w:rFonts w:asciiTheme="majorHAnsi" w:hAnsiTheme="majorHAnsi"/>
          <w:b/>
          <w:i/>
          <w:color w:val="4F6228" w:themeColor="accent3" w:themeShade="80"/>
          <w:szCs w:val="22"/>
          <w:lang w:val="sr-Cyrl-RS"/>
        </w:rPr>
      </w:pPr>
      <w:r w:rsidRPr="00C14383">
        <w:rPr>
          <w:rFonts w:asciiTheme="majorHAnsi" w:hAnsiTheme="majorHAnsi"/>
          <w:b/>
          <w:i/>
          <w:color w:val="4F6228" w:themeColor="accent3" w:themeShade="80"/>
          <w:szCs w:val="22"/>
          <w:lang w:val="sr-Cyrl-RS"/>
        </w:rPr>
        <w:t>Реформа пензионог система</w:t>
      </w:r>
    </w:p>
    <w:p w:rsidR="00462B2A" w:rsidRPr="00171A80" w:rsidRDefault="007164C2" w:rsidP="003A0BEE">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Током 2014. године, измењен је Закон о пензијском и инвалидском осигурању, који укључује следеће промене: (1) повећање законске старосне границе за одлазак у пензију за жене са 60 на 65 година до 2032. године (6 месеци годишње до 2020. године, и 2 месеца годишње након тога); (2) повећање минималне старосне границе са 58 на 60 година до 2023. године, и (3) увођење пенала од 4% годишње за одлазак у превремену пензију. За период од 2015. до 2017. године планирају се следеће активности</w:t>
      </w:r>
      <w:r w:rsidR="00462B2A" w:rsidRPr="00171A80">
        <w:rPr>
          <w:rFonts w:asciiTheme="majorHAnsi" w:hAnsiTheme="majorHAnsi"/>
          <w:color w:val="7F7F7F" w:themeColor="text1" w:themeTint="80"/>
          <w:sz w:val="21"/>
          <w:szCs w:val="21"/>
          <w:lang w:val="sr-Cyrl-RS"/>
        </w:rPr>
        <w:t>:</w:t>
      </w:r>
    </w:p>
    <w:p w:rsidR="00462B2A" w:rsidRPr="00171A80" w:rsidRDefault="007164C2" w:rsidP="00557233">
      <w:pPr>
        <w:numPr>
          <w:ilvl w:val="0"/>
          <w:numId w:val="17"/>
        </w:numPr>
        <w:spacing w:before="120"/>
        <w:ind w:left="714" w:hanging="357"/>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Наставак реформе права на стаж осигурања са увећаним трајањем (тзв. бенефицираног стажа). Лица која раде на посебно тешким и за здравље опасним пословима или на пословима који се не могу обављати на задовољавајући начин у каснијем животном добу, остварују право на стаж осигурања са увећаним трајањем (тзв. бенефицирани стаж), а по том основу имају право и на повољније услове за одлазак у пензију. Право на бенефицирани стаж уређено је Законом о ПИО и различитим правилницима. За ова лица плаћа се додатни допринос. Преиспитаће се област бенефицираног стажа, тако да ово питање буде уређено на јединствен начин (једна од могућих опција је доношење посебног закона), уз унапређене критеријуме за остваривање права на бенефицирани стаж, адекватно и праведно одређену висину доприноса и услове за одлазак у пензију ових категорија осигураника. Предлог је да се спроведе анализа ове области и сачини предлог за измену прописа</w:t>
      </w:r>
      <w:r w:rsidR="00462B2A" w:rsidRPr="00171A80">
        <w:rPr>
          <w:rFonts w:asciiTheme="majorHAnsi" w:eastAsia="Calibri" w:hAnsiTheme="majorHAnsi" w:cs="Times New Roman"/>
          <w:color w:val="7F7F7F" w:themeColor="text1" w:themeTint="80"/>
          <w:sz w:val="21"/>
          <w:szCs w:val="21"/>
          <w:lang w:val="sr-Cyrl-RS"/>
        </w:rPr>
        <w:t xml:space="preserve">. </w:t>
      </w:r>
    </w:p>
    <w:p w:rsidR="00462B2A" w:rsidRPr="00C14383" w:rsidRDefault="007164C2" w:rsidP="00C14383">
      <w:pPr>
        <w:numPr>
          <w:ilvl w:val="0"/>
          <w:numId w:val="17"/>
        </w:numPr>
        <w:spacing w:before="120"/>
        <w:ind w:left="714" w:hanging="357"/>
        <w:rPr>
          <w:rFonts w:asciiTheme="majorHAnsi" w:eastAsia="Calibri" w:hAnsiTheme="majorHAnsi" w:cs="Times New Roman"/>
          <w:bCs w:val="0"/>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Анализа пензијског и инвалидског осигурања пољопривредника са предлогом мера у циљу реалног обухвата пољопривредника у складу са њиховим економским положајем (катастарски приход и др.). Област пензијско-инвалидског осигурања пољопривредника је већ годинама суочена са великим проблемима (мали број осигураника у односу на број пензионера, ниска наплата доприноса, финансирање највећим делом из буџета, ниски износи пензија итд.). Са друге стране, овим видом пензијског осигурања, значајно је смањен ризик од сиромаштва старијег руралног становништва, које је иначе више изложено том ризику. Анализираће се опције за будућност овог система, у циљу оцене његове одрживости и у складу са резултатом студије, сачинити предлог за измене прописа</w:t>
      </w:r>
      <w:r w:rsidR="00462B2A" w:rsidRPr="00171A80">
        <w:rPr>
          <w:rFonts w:asciiTheme="majorHAnsi" w:eastAsia="Calibri" w:hAnsiTheme="majorHAnsi" w:cs="Times New Roman"/>
          <w:color w:val="7F7F7F" w:themeColor="text1" w:themeTint="80"/>
          <w:sz w:val="21"/>
          <w:szCs w:val="21"/>
          <w:lang w:val="sr-Cyrl-RS"/>
        </w:rPr>
        <w:t xml:space="preserve">. </w:t>
      </w:r>
    </w:p>
    <w:p w:rsidR="00462B2A" w:rsidRPr="00C14383" w:rsidRDefault="00462B2A" w:rsidP="00462B2A">
      <w:pPr>
        <w:ind w:firstLine="0"/>
        <w:rPr>
          <w:rFonts w:asciiTheme="majorHAnsi" w:hAnsiTheme="majorHAnsi"/>
          <w:b/>
          <w:i/>
          <w:color w:val="4F6228" w:themeColor="accent3" w:themeShade="80"/>
          <w:szCs w:val="22"/>
          <w:lang w:val="sr-Cyrl-RS"/>
        </w:rPr>
      </w:pPr>
      <w:r w:rsidRPr="00C14383">
        <w:rPr>
          <w:rFonts w:asciiTheme="majorHAnsi" w:hAnsiTheme="majorHAnsi"/>
          <w:b/>
          <w:i/>
          <w:color w:val="4F6228" w:themeColor="accent3" w:themeShade="80"/>
          <w:szCs w:val="22"/>
          <w:lang w:val="sr-Cyrl-RS"/>
        </w:rPr>
        <w:t>Реформа система образовања</w:t>
      </w:r>
    </w:p>
    <w:p w:rsidR="00462B2A" w:rsidRPr="00171A80" w:rsidRDefault="007164C2" w:rsidP="00462B2A">
      <w:pPr>
        <w:ind w:firstLine="708"/>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Структура издатака за образовање у Републици Србији је неадекватна (око 80% чине плате запослених), иако укупна издвајања за образовање нису мала, тако да постоји значајан простор за унапређење резултата (обухвата и квалитета). У складу са донетим стратешким документима и економском ситуацијом, извесно је да ће се издвајања за образовање усклађивати са реалним буџетским могућностима. Реформа система образовања у Републици Србији у наредном периоду биће фокусирана на</w:t>
      </w:r>
      <w:r w:rsidR="00462B2A" w:rsidRPr="00171A80">
        <w:rPr>
          <w:rFonts w:asciiTheme="majorHAnsi" w:hAnsiTheme="majorHAnsi"/>
          <w:color w:val="7F7F7F" w:themeColor="text1" w:themeTint="80"/>
          <w:sz w:val="21"/>
          <w:szCs w:val="21"/>
          <w:lang w:val="sr-Cyrl-RS"/>
        </w:rPr>
        <w:t>:</w:t>
      </w:r>
    </w:p>
    <w:p w:rsidR="00462B2A" w:rsidRPr="00171A80" w:rsidRDefault="007164C2" w:rsidP="00557233">
      <w:pPr>
        <w:numPr>
          <w:ilvl w:val="0"/>
          <w:numId w:val="17"/>
        </w:numPr>
        <w:spacing w:before="120" w:after="0"/>
        <w:ind w:left="714" w:hanging="357"/>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Уштеде на расходима, кроз рационализацију школске мреже која је застарела и не одговара постојећим потребама</w:t>
      </w:r>
      <w:r w:rsidR="00C70975">
        <w:rPr>
          <w:rFonts w:asciiTheme="majorHAnsi" w:eastAsia="Calibri" w:hAnsiTheme="majorHAnsi" w:cs="Times New Roman"/>
          <w:color w:val="7F7F7F" w:themeColor="text1" w:themeTint="80"/>
          <w:sz w:val="21"/>
          <w:szCs w:val="21"/>
          <w:lang w:val="sr-Cyrl-RS"/>
        </w:rPr>
        <w:t>, а у складу са Стратегијом развоја образовања у Србији до 2020. године</w:t>
      </w:r>
      <w:r w:rsidRPr="007164C2">
        <w:rPr>
          <w:rFonts w:asciiTheme="majorHAnsi" w:eastAsia="Calibri" w:hAnsiTheme="majorHAnsi" w:cs="Times New Roman"/>
          <w:color w:val="7F7F7F" w:themeColor="text1" w:themeTint="80"/>
          <w:sz w:val="21"/>
          <w:szCs w:val="21"/>
          <w:lang w:val="sr-Cyrl-RS"/>
        </w:rPr>
        <w:t xml:space="preserve">. Сходно томе, број одељења и број наставног и ваннаставног особља усклађиваће се са стопом уписа ученика у </w:t>
      </w:r>
      <w:r w:rsidR="00C70975">
        <w:rPr>
          <w:rFonts w:asciiTheme="majorHAnsi" w:eastAsia="Calibri" w:hAnsiTheme="majorHAnsi" w:cs="Times New Roman"/>
          <w:color w:val="7F7F7F" w:themeColor="text1" w:themeTint="80"/>
          <w:sz w:val="21"/>
          <w:szCs w:val="21"/>
          <w:lang w:val="sr-Cyrl-RS"/>
        </w:rPr>
        <w:t>складу са стручним упутством за формирање одељења у основним и средњим школама</w:t>
      </w:r>
      <w:r w:rsidRPr="007164C2">
        <w:rPr>
          <w:rFonts w:asciiTheme="majorHAnsi" w:eastAsia="Calibri" w:hAnsiTheme="majorHAnsi" w:cs="Times New Roman"/>
          <w:color w:val="7F7F7F" w:themeColor="text1" w:themeTint="80"/>
          <w:sz w:val="21"/>
          <w:szCs w:val="21"/>
          <w:lang w:val="sr-Cyrl-RS"/>
        </w:rPr>
        <w:t xml:space="preserve">. Остварене уштеде ће се искористити за повећање издвајања за </w:t>
      </w:r>
      <w:r w:rsidR="00C70975">
        <w:rPr>
          <w:rFonts w:asciiTheme="majorHAnsi" w:eastAsia="Calibri" w:hAnsiTheme="majorHAnsi" w:cs="Times New Roman"/>
          <w:color w:val="7F7F7F" w:themeColor="text1" w:themeTint="80"/>
          <w:sz w:val="21"/>
          <w:szCs w:val="21"/>
          <w:lang w:val="sr-Cyrl-RS"/>
        </w:rPr>
        <w:t>предуниверзитетско</w:t>
      </w:r>
      <w:r w:rsidRPr="007164C2">
        <w:rPr>
          <w:rFonts w:asciiTheme="majorHAnsi" w:eastAsia="Calibri" w:hAnsiTheme="majorHAnsi" w:cs="Times New Roman"/>
          <w:color w:val="7F7F7F" w:themeColor="text1" w:themeTint="80"/>
          <w:sz w:val="21"/>
          <w:szCs w:val="21"/>
          <w:lang w:val="sr-Cyrl-RS"/>
        </w:rPr>
        <w:t xml:space="preserve"> образовање, у циљу </w:t>
      </w:r>
      <w:r w:rsidR="00C70975">
        <w:rPr>
          <w:rFonts w:asciiTheme="majorHAnsi" w:eastAsia="Calibri" w:hAnsiTheme="majorHAnsi" w:cs="Times New Roman"/>
          <w:color w:val="7F7F7F" w:themeColor="text1" w:themeTint="80"/>
          <w:sz w:val="21"/>
          <w:szCs w:val="21"/>
          <w:lang w:val="sr-Cyrl-RS"/>
        </w:rPr>
        <w:t>побољшања услова рада запослених у овом делу система</w:t>
      </w:r>
      <w:r w:rsidR="00462B2A" w:rsidRPr="00171A80">
        <w:rPr>
          <w:rFonts w:asciiTheme="majorHAnsi" w:eastAsia="Calibri" w:hAnsiTheme="majorHAnsi" w:cs="Times New Roman"/>
          <w:color w:val="7F7F7F" w:themeColor="text1" w:themeTint="80"/>
          <w:sz w:val="21"/>
          <w:szCs w:val="21"/>
          <w:lang w:val="sr-Cyrl-RS"/>
        </w:rPr>
        <w:t>;</w:t>
      </w:r>
    </w:p>
    <w:p w:rsidR="00462B2A" w:rsidRPr="00171A80" w:rsidRDefault="007164C2" w:rsidP="00557233">
      <w:pPr>
        <w:numPr>
          <w:ilvl w:val="0"/>
          <w:numId w:val="17"/>
        </w:numPr>
        <w:spacing w:before="120"/>
        <w:ind w:left="714" w:hanging="357"/>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lastRenderedPageBreak/>
        <w:t>Подизање компетенција кроз прилагођавање наставних и студијских програма захтевима савременог тржишта рада. Посебан значај за активно укључивање у тржиште рада има унапређење квалитета средњошколског и универзитетског јавног и приватног образовања, као и усклађивање тражње за квалификованом радном снагом са понудом. У том смислу, улога државе ће бити да системски подстиче унапређење квалитета наставних програма и наставника у систему јавног образовања и да значајно појача превентивну регулаторну функцију код приватног образовања</w:t>
      </w:r>
      <w:r w:rsidR="00462B2A" w:rsidRPr="00171A80">
        <w:rPr>
          <w:rFonts w:asciiTheme="majorHAnsi" w:eastAsia="Calibri" w:hAnsiTheme="majorHAnsi" w:cs="Times New Roman"/>
          <w:color w:val="7F7F7F" w:themeColor="text1" w:themeTint="80"/>
          <w:sz w:val="21"/>
          <w:szCs w:val="21"/>
          <w:lang w:val="sr-Cyrl-RS"/>
        </w:rPr>
        <w:t>;</w:t>
      </w:r>
    </w:p>
    <w:p w:rsidR="00615173" w:rsidRPr="00557233" w:rsidRDefault="007164C2" w:rsidP="00557233">
      <w:pPr>
        <w:numPr>
          <w:ilvl w:val="0"/>
          <w:numId w:val="17"/>
        </w:numPr>
        <w:spacing w:before="120"/>
        <w:ind w:left="714" w:hanging="357"/>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Остале активности којима се повећава квалитет система образовања – развој информационих система, увођење полудневног предшколског програма у трајању од једне школске године за сву децу између 3 и 5 и по година, јединствени систем награда и награђивања ученика средњих школа, оспособљавање наставника за коришћење нових метода рада и информационих технологија, увођење студија уз рад, превенцијa раног напуштања образовања и др</w:t>
      </w:r>
      <w:r w:rsidR="00462B2A" w:rsidRPr="00171A80">
        <w:rPr>
          <w:rFonts w:asciiTheme="majorHAnsi" w:eastAsia="Calibri" w:hAnsiTheme="majorHAnsi" w:cs="Times New Roman"/>
          <w:color w:val="7F7F7F" w:themeColor="text1" w:themeTint="80"/>
          <w:sz w:val="21"/>
          <w:szCs w:val="21"/>
          <w:lang w:val="sr-Cyrl-RS"/>
        </w:rPr>
        <w:t>.</w:t>
      </w:r>
    </w:p>
    <w:p w:rsidR="00462B2A" w:rsidRPr="00C14383" w:rsidRDefault="00462B2A" w:rsidP="00615173">
      <w:pPr>
        <w:keepNext/>
        <w:keepLines/>
        <w:ind w:firstLine="0"/>
        <w:rPr>
          <w:rFonts w:asciiTheme="majorHAnsi" w:hAnsiTheme="majorHAnsi"/>
          <w:b/>
          <w:i/>
          <w:color w:val="4F6228" w:themeColor="accent3" w:themeShade="80"/>
          <w:szCs w:val="22"/>
          <w:lang w:val="sr-Cyrl-RS"/>
        </w:rPr>
      </w:pPr>
      <w:r w:rsidRPr="00C14383">
        <w:rPr>
          <w:rFonts w:asciiTheme="majorHAnsi" w:hAnsiTheme="majorHAnsi"/>
          <w:b/>
          <w:i/>
          <w:color w:val="4F6228" w:themeColor="accent3" w:themeShade="80"/>
          <w:szCs w:val="22"/>
          <w:lang w:val="sr-Cyrl-RS"/>
        </w:rPr>
        <w:t>Реформа система здравствене заштите</w:t>
      </w:r>
    </w:p>
    <w:p w:rsidR="007164C2" w:rsidRPr="007164C2" w:rsidRDefault="007164C2" w:rsidP="007164C2">
      <w:pPr>
        <w:ind w:firstLine="502"/>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 xml:space="preserve">У складу са донетим стратешким документима и системским законима у области здравства наставиће се реформе којима се обезбеђује повећање ефикасности здравственог система, повећање финансијске одрживости система здравствене заштите, унапређење здравља становништва и повећање квалитета здравствене заштите. Ове циљеве могуће је остварити преусмеравањем са куративне на превентивну медицину и унапређењем система акредитације и сертификације здравствених установа, уз успостављање система обавезног сертификовања минималних стандарда (нпр. безбедност пацијента). </w:t>
      </w:r>
    </w:p>
    <w:p w:rsidR="007164C2" w:rsidRPr="007164C2" w:rsidRDefault="007164C2" w:rsidP="007164C2">
      <w:pPr>
        <w:ind w:firstLine="502"/>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 xml:space="preserve">У склопу фискалне консолидације спровешће се рационализација здравственог система првенствено кроз смањење броја немедицинског особља, рационализацију броја болничких постеља, унапређење механизама за одабир приоритета у погледу набавки нове опреме и бољу контролу расхода за медицинске услуге. Тиме ће се повећати ефикасност здравствених установа, обезбедити вредновање њихових стварних учинака и повећати квалитет здравствене заштите. По том основу очекују се значајне уштеде и смањење корупције у здравству. </w:t>
      </w:r>
    </w:p>
    <w:p w:rsidR="00462B2A" w:rsidRPr="00171A80" w:rsidRDefault="007164C2" w:rsidP="007164C2">
      <w:pPr>
        <w:ind w:firstLine="502"/>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Планиране структурне реформе у области здравствене заштите, у периоду од 2015. до 2017. године су</w:t>
      </w:r>
      <w:r w:rsidR="00462B2A" w:rsidRPr="00171A80">
        <w:rPr>
          <w:rFonts w:asciiTheme="majorHAnsi" w:hAnsiTheme="majorHAnsi"/>
          <w:color w:val="7F7F7F" w:themeColor="text1" w:themeTint="80"/>
          <w:sz w:val="21"/>
          <w:szCs w:val="21"/>
          <w:lang w:val="sr-Cyrl-RS"/>
        </w:rPr>
        <w:t>:</w:t>
      </w:r>
    </w:p>
    <w:p w:rsidR="00462B2A" w:rsidRPr="00171A80" w:rsidRDefault="007164C2" w:rsidP="00557233">
      <w:pPr>
        <w:numPr>
          <w:ilvl w:val="0"/>
          <w:numId w:val="17"/>
        </w:numPr>
        <w:spacing w:before="120"/>
        <w:ind w:left="714" w:hanging="357"/>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Унапређење закона и подзаконских аката у циљу планиране реформе здравственог система Републике Србије доношењем стратешког документа - Плана развоја којим се дефинише политика здравствене заштите и здравственог осигурања</w:t>
      </w:r>
      <w:r w:rsidR="00462B2A" w:rsidRPr="00171A80">
        <w:rPr>
          <w:rFonts w:asciiTheme="majorHAnsi" w:eastAsia="Calibri" w:hAnsiTheme="majorHAnsi" w:cs="Times New Roman"/>
          <w:color w:val="7F7F7F" w:themeColor="text1" w:themeTint="80"/>
          <w:sz w:val="21"/>
          <w:szCs w:val="21"/>
          <w:lang w:val="sr-Cyrl-RS"/>
        </w:rPr>
        <w:t xml:space="preserve">. </w:t>
      </w:r>
    </w:p>
    <w:p w:rsidR="00462B2A" w:rsidRPr="00171A80" w:rsidRDefault="007164C2" w:rsidP="00557233">
      <w:pPr>
        <w:numPr>
          <w:ilvl w:val="0"/>
          <w:numId w:val="17"/>
        </w:numPr>
        <w:spacing w:before="120"/>
        <w:ind w:left="714" w:hanging="357"/>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Унапређење квалитета пружања здравствене заштите ради одрживог здравственог система - јачање примарне, односно секундарне и терцијарне здравствене заштите са нагласком на увођење нових, високоразвијених здравствених технологија у циљу достизања стандарда ЕУ. Такође, неопходно је унапређење постојећих и формирање нових центара за лечење оболелих од малигних болести које су у порасту у свету па и код нас</w:t>
      </w:r>
      <w:r w:rsidR="00462B2A" w:rsidRPr="00171A80">
        <w:rPr>
          <w:rFonts w:asciiTheme="majorHAnsi" w:eastAsia="Calibri" w:hAnsiTheme="majorHAnsi" w:cs="Times New Roman"/>
          <w:color w:val="7F7F7F" w:themeColor="text1" w:themeTint="80"/>
          <w:sz w:val="21"/>
          <w:szCs w:val="21"/>
          <w:lang w:val="sr-Cyrl-RS"/>
        </w:rPr>
        <w:t xml:space="preserve">. </w:t>
      </w:r>
    </w:p>
    <w:p w:rsidR="00462B2A" w:rsidRPr="00171A80" w:rsidRDefault="007164C2" w:rsidP="00557233">
      <w:pPr>
        <w:numPr>
          <w:ilvl w:val="0"/>
          <w:numId w:val="17"/>
        </w:numPr>
        <w:spacing w:before="120"/>
        <w:ind w:left="714" w:hanging="357"/>
        <w:rPr>
          <w:rFonts w:asciiTheme="majorHAnsi" w:eastAsia="Calibri" w:hAnsiTheme="majorHAnsi" w:cs="Times New Roman"/>
          <w:color w:val="7F7F7F" w:themeColor="text1" w:themeTint="80"/>
          <w:sz w:val="21"/>
          <w:szCs w:val="21"/>
          <w:lang w:val="sr-Cyrl-RS"/>
        </w:rPr>
      </w:pPr>
      <w:r w:rsidRPr="007164C2">
        <w:rPr>
          <w:rFonts w:asciiTheme="majorHAnsi" w:eastAsia="Calibri" w:hAnsiTheme="majorHAnsi" w:cs="Times New Roman"/>
          <w:color w:val="7F7F7F" w:themeColor="text1" w:themeTint="80"/>
          <w:sz w:val="21"/>
          <w:szCs w:val="21"/>
          <w:lang w:val="sr-Cyrl-RS"/>
        </w:rPr>
        <w:t>Унапређење финансирања здравственог система кроз увођење система за успостављање Националног здравственог рачуна (у даљем тексту: НЗР) - који обезбеђује поуздане информације о финансијским средствима издвојеним за здравствену заштиту и начинима њиховог коришћења за сваког појединца. НЗР је инструмент за јасно праћење протока новца кроз здравствени систем земље, повећање ефикасности здравствених услуга и равноправне расподеле расположивих средстава у здравственом систему Републике Србије</w:t>
      </w:r>
      <w:r w:rsidR="00462B2A" w:rsidRPr="00171A80">
        <w:rPr>
          <w:rFonts w:asciiTheme="majorHAnsi" w:eastAsia="Calibri" w:hAnsiTheme="majorHAnsi" w:cs="Times New Roman"/>
          <w:color w:val="7F7F7F" w:themeColor="text1" w:themeTint="80"/>
          <w:sz w:val="21"/>
          <w:szCs w:val="21"/>
          <w:lang w:val="sr-Cyrl-RS"/>
        </w:rPr>
        <w:t xml:space="preserve">. </w:t>
      </w:r>
    </w:p>
    <w:p w:rsidR="00462B2A" w:rsidRPr="00171A80" w:rsidRDefault="00DA0879" w:rsidP="00557233">
      <w:pPr>
        <w:numPr>
          <w:ilvl w:val="0"/>
          <w:numId w:val="17"/>
        </w:numPr>
        <w:spacing w:before="120"/>
        <w:ind w:left="714" w:hanging="357"/>
        <w:rPr>
          <w:rFonts w:asciiTheme="majorHAnsi" w:eastAsia="Calibri" w:hAnsiTheme="majorHAnsi" w:cs="Times New Roman"/>
          <w:color w:val="7F7F7F" w:themeColor="text1" w:themeTint="80"/>
          <w:sz w:val="21"/>
          <w:szCs w:val="21"/>
          <w:lang w:val="sr-Cyrl-RS"/>
        </w:rPr>
      </w:pPr>
      <w:r w:rsidRPr="00DA0879">
        <w:rPr>
          <w:rFonts w:asciiTheme="majorHAnsi" w:eastAsia="Calibri" w:hAnsiTheme="majorHAnsi" w:cs="Times New Roman"/>
          <w:color w:val="7F7F7F" w:themeColor="text1" w:themeTint="80"/>
          <w:sz w:val="21"/>
          <w:szCs w:val="21"/>
          <w:lang w:val="sr-Cyrl-RS"/>
        </w:rPr>
        <w:t>Информатизација здравственог система која се састоји у повезивању 335 здравствених установа у јединствен информациони систем без обзира на ниво здравствене заштите</w:t>
      </w:r>
      <w:r w:rsidR="00462B2A" w:rsidRPr="00171A80">
        <w:rPr>
          <w:rFonts w:asciiTheme="majorHAnsi" w:eastAsia="Calibri" w:hAnsiTheme="majorHAnsi" w:cs="Times New Roman"/>
          <w:color w:val="7F7F7F" w:themeColor="text1" w:themeTint="80"/>
          <w:sz w:val="21"/>
          <w:szCs w:val="21"/>
          <w:lang w:val="sr-Cyrl-RS"/>
        </w:rPr>
        <w:t xml:space="preserve">. </w:t>
      </w:r>
    </w:p>
    <w:p w:rsidR="00462B2A" w:rsidRPr="00171A80" w:rsidRDefault="00DA0879" w:rsidP="00557233">
      <w:pPr>
        <w:numPr>
          <w:ilvl w:val="0"/>
          <w:numId w:val="17"/>
        </w:numPr>
        <w:spacing w:before="120"/>
        <w:ind w:left="714" w:hanging="357"/>
        <w:rPr>
          <w:rFonts w:asciiTheme="majorHAnsi" w:eastAsia="Calibri" w:hAnsiTheme="majorHAnsi" w:cs="Times New Roman"/>
          <w:color w:val="7F7F7F" w:themeColor="text1" w:themeTint="80"/>
          <w:sz w:val="21"/>
          <w:szCs w:val="21"/>
          <w:lang w:val="sr-Cyrl-RS"/>
        </w:rPr>
      </w:pPr>
      <w:r w:rsidRPr="00DA0879">
        <w:rPr>
          <w:rFonts w:asciiTheme="majorHAnsi" w:eastAsia="Calibri" w:hAnsiTheme="majorHAnsi" w:cs="Times New Roman"/>
          <w:color w:val="7F7F7F" w:themeColor="text1" w:themeTint="80"/>
          <w:sz w:val="21"/>
          <w:szCs w:val="21"/>
          <w:lang w:val="sr-Cyrl-RS"/>
        </w:rPr>
        <w:t>Унапређење базе кадрова из Плана мреже здравствених установа и успостављање базе за приватну праксу</w:t>
      </w:r>
      <w:r w:rsidR="00D15AEB" w:rsidRPr="00171A80">
        <w:rPr>
          <w:rFonts w:asciiTheme="majorHAnsi" w:eastAsia="Calibri" w:hAnsiTheme="majorHAnsi" w:cs="Times New Roman"/>
          <w:color w:val="7F7F7F" w:themeColor="text1" w:themeTint="80"/>
          <w:sz w:val="21"/>
          <w:szCs w:val="21"/>
          <w:lang w:val="sr-Cyrl-RS"/>
        </w:rPr>
        <w:t>.</w:t>
      </w:r>
      <w:r w:rsidR="00462B2A" w:rsidRPr="00171A80">
        <w:rPr>
          <w:rFonts w:asciiTheme="majorHAnsi" w:eastAsia="Calibri" w:hAnsiTheme="majorHAnsi" w:cs="Times New Roman"/>
          <w:color w:val="7F7F7F" w:themeColor="text1" w:themeTint="80"/>
          <w:sz w:val="21"/>
          <w:szCs w:val="21"/>
          <w:lang w:val="sr-Cyrl-RS"/>
        </w:rPr>
        <w:t xml:space="preserve"> </w:t>
      </w:r>
    </w:p>
    <w:p w:rsidR="00C14383" w:rsidRPr="009D02F0" w:rsidRDefault="00DA0879" w:rsidP="009D02F0">
      <w:pPr>
        <w:numPr>
          <w:ilvl w:val="0"/>
          <w:numId w:val="17"/>
        </w:numPr>
        <w:spacing w:before="120"/>
        <w:ind w:left="714" w:hanging="357"/>
        <w:rPr>
          <w:rFonts w:asciiTheme="majorHAnsi" w:eastAsia="Calibri" w:hAnsiTheme="majorHAnsi" w:cs="Times New Roman"/>
          <w:color w:val="7F7F7F" w:themeColor="text1" w:themeTint="80"/>
          <w:sz w:val="21"/>
          <w:szCs w:val="21"/>
          <w:lang w:val="sr-Cyrl-RS"/>
        </w:rPr>
      </w:pPr>
      <w:r w:rsidRPr="00DA0879">
        <w:rPr>
          <w:rFonts w:asciiTheme="majorHAnsi" w:eastAsia="Calibri" w:hAnsiTheme="majorHAnsi" w:cs="Times New Roman"/>
          <w:color w:val="7F7F7F" w:themeColor="text1" w:themeTint="80"/>
          <w:sz w:val="21"/>
          <w:szCs w:val="21"/>
          <w:lang w:val="sr-Cyrl-RS"/>
        </w:rPr>
        <w:lastRenderedPageBreak/>
        <w:t>Дефинисање улоге приватног сектора у пружању здравствених услуга становништву</w:t>
      </w:r>
      <w:r w:rsidR="00462B2A" w:rsidRPr="00171A80">
        <w:rPr>
          <w:rFonts w:asciiTheme="majorHAnsi" w:eastAsia="Calibri" w:hAnsiTheme="majorHAnsi" w:cs="Times New Roman"/>
          <w:color w:val="7F7F7F" w:themeColor="text1" w:themeTint="80"/>
          <w:sz w:val="21"/>
          <w:szCs w:val="21"/>
          <w:lang w:val="sr-Cyrl-RS"/>
        </w:rPr>
        <w:t>.</w:t>
      </w:r>
    </w:p>
    <w:p w:rsidR="00462B2A" w:rsidRPr="00C14383" w:rsidRDefault="00462B2A" w:rsidP="00462B2A">
      <w:pPr>
        <w:ind w:firstLine="0"/>
        <w:rPr>
          <w:rFonts w:asciiTheme="majorHAnsi" w:hAnsiTheme="majorHAnsi"/>
          <w:i/>
          <w:color w:val="4F6228" w:themeColor="accent3" w:themeShade="80"/>
          <w:szCs w:val="22"/>
          <w:lang w:val="sr-Cyrl-RS"/>
        </w:rPr>
      </w:pPr>
      <w:r w:rsidRPr="00C14383">
        <w:rPr>
          <w:rFonts w:asciiTheme="majorHAnsi" w:hAnsiTheme="majorHAnsi"/>
          <w:b/>
          <w:i/>
          <w:color w:val="4F6228" w:themeColor="accent3" w:themeShade="80"/>
          <w:szCs w:val="22"/>
          <w:lang w:val="sr-Cyrl-RS"/>
        </w:rPr>
        <w:t>Финансијска стабилност</w:t>
      </w:r>
    </w:p>
    <w:p w:rsidR="007164C2" w:rsidRPr="009D02F0" w:rsidRDefault="007164C2" w:rsidP="007164C2">
      <w:pPr>
        <w:ind w:firstLine="706"/>
        <w:rPr>
          <w:rFonts w:asciiTheme="majorHAnsi" w:hAnsiTheme="majorHAnsi"/>
          <w:color w:val="7F7F7F" w:themeColor="text1" w:themeTint="80"/>
          <w:sz w:val="21"/>
          <w:szCs w:val="21"/>
          <w:lang w:val="sr-Latn-RS"/>
        </w:rPr>
      </w:pPr>
      <w:r w:rsidRPr="007164C2">
        <w:rPr>
          <w:rFonts w:asciiTheme="majorHAnsi" w:hAnsiTheme="majorHAnsi"/>
          <w:color w:val="7F7F7F" w:themeColor="text1" w:themeTint="80"/>
          <w:sz w:val="21"/>
          <w:szCs w:val="21"/>
          <w:lang w:val="sr-Cyrl-RS"/>
        </w:rPr>
        <w:t>Изменама законских решења која се тичу разрешења проблематичних банака омогућиће се брже интервенисање у случају погоршања солвентности банака и биће омогућена примена инструмената попут bail - in, односно конверзије обавеза према необезбеђеним повериоцима, чиме ће се смањити трошкови реструктурирања угрожених системски битних банака, уколико буде потребно. Ове измене су у складу са Директивом ЕУ - Bank Re</w:t>
      </w:r>
      <w:r w:rsidR="009D02F0">
        <w:rPr>
          <w:rFonts w:asciiTheme="majorHAnsi" w:hAnsiTheme="majorHAnsi"/>
          <w:color w:val="7F7F7F" w:themeColor="text1" w:themeTint="80"/>
          <w:sz w:val="21"/>
          <w:szCs w:val="21"/>
          <w:lang w:val="sr-Cyrl-RS"/>
        </w:rPr>
        <w:t>solution and Recovery Directive</w:t>
      </w:r>
      <w:r w:rsidR="009D02F0">
        <w:rPr>
          <w:rFonts w:asciiTheme="majorHAnsi" w:hAnsiTheme="majorHAnsi"/>
          <w:color w:val="7F7F7F" w:themeColor="text1" w:themeTint="80"/>
          <w:sz w:val="21"/>
          <w:szCs w:val="21"/>
          <w:lang w:val="sr-Latn-RS"/>
        </w:rPr>
        <w:t>.</w:t>
      </w:r>
    </w:p>
    <w:p w:rsidR="007164C2" w:rsidRPr="007164C2"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Активности на приватизацији државног и друштвеног капитала у финансијским институцијама (банкама и осигуравајућим друштвима) ће бити настављене како би се обезбедило боље корпоративно управљање и одрживо пословање.</w:t>
      </w:r>
    </w:p>
    <w:p w:rsidR="007164C2" w:rsidRPr="007164C2"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Унапређење законског оквира који се тиче процене вредности колатерала, првенствено некретнина, као и Закона о хипотеци, који ће обезбедити реалнију процену вредности имовине и капитала банака као и бржу реализацију колатерала. Ове измене би требало да имају за резултат смањење или елиминисање коришћењ</w:t>
      </w:r>
      <w:r w:rsidRPr="007164C2">
        <w:rPr>
          <w:rFonts w:asciiTheme="majorHAnsi" w:hAnsiTheme="majorHAnsi"/>
          <w:color w:val="7F7F7F" w:themeColor="text1" w:themeTint="80"/>
          <w:sz w:val="21"/>
          <w:szCs w:val="21"/>
          <w:lang w:val="en-US"/>
        </w:rPr>
        <w:t>a</w:t>
      </w:r>
      <w:r w:rsidRPr="007164C2">
        <w:rPr>
          <w:rFonts w:asciiTheme="majorHAnsi" w:hAnsiTheme="majorHAnsi"/>
          <w:color w:val="7F7F7F" w:themeColor="text1" w:themeTint="80"/>
          <w:sz w:val="21"/>
          <w:szCs w:val="21"/>
          <w:lang w:val="sr-Cyrl-RS"/>
        </w:rPr>
        <w:t xml:space="preserve"> јавних средстава за одржавање финансијске стабилности.</w:t>
      </w:r>
    </w:p>
    <w:p w:rsidR="007164C2" w:rsidRPr="007164C2" w:rsidRDefault="007164C2" w:rsidP="007164C2">
      <w:pPr>
        <w:ind w:firstLine="706"/>
        <w:rPr>
          <w:rFonts w:asciiTheme="majorHAnsi" w:hAnsiTheme="majorHAnsi"/>
          <w:color w:val="7F7F7F" w:themeColor="text1" w:themeTint="80"/>
          <w:sz w:val="21"/>
          <w:szCs w:val="21"/>
        </w:rPr>
      </w:pPr>
      <w:r w:rsidRPr="007164C2">
        <w:rPr>
          <w:rFonts w:asciiTheme="majorHAnsi" w:hAnsiTheme="majorHAnsi"/>
          <w:color w:val="7F7F7F" w:themeColor="text1" w:themeTint="80"/>
          <w:sz w:val="21"/>
          <w:szCs w:val="21"/>
          <w:lang w:val="sr-Cyrl-RS"/>
        </w:rPr>
        <w:t>Након већ реализованих активности на стабилизацији пословања Агенције за осигурање депозита, као једног од најбитнијих чинилаца одржавања и унапређења стабилности финансијског система, у процедури су измене и допуне регулаторног оквира система осигурања депозита. Основни циљ ових измена је унапређење организације и ефикасности пословања Агенције, ради ефикасније реализације стечајних и ликвидационих поступака над банкама и друштвима за осигурање.</w:t>
      </w:r>
    </w:p>
    <w:p w:rsidR="007164C2" w:rsidRPr="007164C2"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Унапређен је Закон о стечају чиме је унапређен поступак намирења поверилаца, укључујући и банке, кроз поступак реорганизације или банкротства дужника. Очекује се да ће на основу тога бити повећана наплата лоших пласмана, а тиме и побољшано пословање банака.</w:t>
      </w:r>
    </w:p>
    <w:p w:rsidR="007164C2" w:rsidRPr="007164C2" w:rsidRDefault="007164C2" w:rsidP="007164C2">
      <w:pPr>
        <w:ind w:firstLine="706"/>
        <w:rPr>
          <w:rFonts w:asciiTheme="majorHAnsi" w:hAnsiTheme="majorHAnsi"/>
          <w:color w:val="7F7F7F" w:themeColor="text1" w:themeTint="80"/>
          <w:sz w:val="21"/>
          <w:szCs w:val="21"/>
          <w:lang w:val="sr-Cyrl-RS"/>
        </w:rPr>
      </w:pPr>
      <w:r w:rsidRPr="007164C2">
        <w:rPr>
          <w:rFonts w:asciiTheme="majorHAnsi" w:hAnsiTheme="majorHAnsi"/>
          <w:color w:val="7F7F7F" w:themeColor="text1" w:themeTint="80"/>
          <w:sz w:val="21"/>
          <w:szCs w:val="21"/>
          <w:lang w:val="sr-Cyrl-RS"/>
        </w:rPr>
        <w:t>У сарадњи са другим државним институцијама утврдиће се и отклонити, уколико постоје, баријере ка решавању проблема ненаплативих кредита. То би требало да омогући бржи процес решавања ненаплативих кредита кроз продају таквих кредита, специјализованим инвеститорима или кроз процес реструктурирања кредита било у оквиру реорганизације или добровољног вансудског финансијског реструктурирања.</w:t>
      </w:r>
    </w:p>
    <w:p w:rsidR="00C36923" w:rsidRPr="00DA0879" w:rsidRDefault="007164C2" w:rsidP="007164C2">
      <w:pPr>
        <w:ind w:firstLine="706"/>
        <w:rPr>
          <w:rFonts w:asciiTheme="majorHAnsi" w:hAnsiTheme="majorHAnsi"/>
          <w:color w:val="7F7F7F" w:themeColor="text1" w:themeTint="80"/>
          <w:sz w:val="21"/>
          <w:szCs w:val="21"/>
          <w:lang w:val="sr-Latn-RS"/>
        </w:rPr>
      </w:pPr>
      <w:r w:rsidRPr="007164C2">
        <w:rPr>
          <w:rFonts w:asciiTheme="majorHAnsi" w:hAnsiTheme="majorHAnsi"/>
          <w:color w:val="7F7F7F" w:themeColor="text1" w:themeTint="80"/>
          <w:sz w:val="21"/>
          <w:szCs w:val="21"/>
          <w:lang w:val="sr-Cyrl-RS"/>
        </w:rPr>
        <w:t>НБС има у плану или је већ започела неколико активности у циљу стабилизације финансијског система, од којих је најважнија унапређење оквира за дефинисање системски битних банака. Разматрају се и друге могућности за брже решавање статуса ненаплативих кредита</w:t>
      </w:r>
      <w:r>
        <w:rPr>
          <w:rFonts w:asciiTheme="majorHAnsi" w:hAnsiTheme="majorHAnsi"/>
          <w:color w:val="7F7F7F" w:themeColor="text1" w:themeTint="80"/>
          <w:sz w:val="21"/>
          <w:szCs w:val="21"/>
          <w:lang w:val="sr-Cyrl-RS"/>
        </w:rPr>
        <w:t>.</w:t>
      </w:r>
    </w:p>
    <w:p w:rsidR="00F446B4" w:rsidRPr="00171A80" w:rsidRDefault="00F446B4" w:rsidP="00B777B2">
      <w:pPr>
        <w:spacing w:before="120"/>
        <w:ind w:firstLine="708"/>
        <w:rPr>
          <w:rFonts w:asciiTheme="majorHAnsi" w:hAnsiTheme="majorHAnsi" w:cs="Times New Roman"/>
          <w:color w:val="7F7F7F" w:themeColor="text1" w:themeTint="80"/>
          <w:sz w:val="21"/>
          <w:szCs w:val="21"/>
          <w:lang w:val="sr-Cyrl-RS"/>
        </w:rPr>
      </w:pPr>
    </w:p>
    <w:p w:rsidR="00F446B4" w:rsidRPr="00171A80" w:rsidRDefault="00F446B4" w:rsidP="00B777B2">
      <w:pPr>
        <w:spacing w:before="120"/>
        <w:ind w:firstLine="708"/>
        <w:rPr>
          <w:rFonts w:asciiTheme="majorHAnsi" w:hAnsiTheme="majorHAnsi" w:cs="Times New Roman"/>
          <w:color w:val="7F7F7F" w:themeColor="text1" w:themeTint="80"/>
          <w:sz w:val="21"/>
          <w:szCs w:val="21"/>
          <w:lang w:val="sr-Cyrl-RS"/>
        </w:rPr>
      </w:pPr>
    </w:p>
    <w:p w:rsidR="00F446B4" w:rsidRPr="00171A80" w:rsidRDefault="00F446B4" w:rsidP="00557233">
      <w:pPr>
        <w:spacing w:before="120"/>
        <w:ind w:firstLine="0"/>
        <w:rPr>
          <w:rFonts w:asciiTheme="majorHAnsi" w:hAnsiTheme="majorHAnsi" w:cs="Times New Roman"/>
          <w:color w:val="7F7F7F" w:themeColor="text1" w:themeTint="80"/>
          <w:sz w:val="21"/>
          <w:szCs w:val="21"/>
          <w:lang w:val="sr-Cyrl-RS"/>
        </w:rPr>
      </w:pPr>
    </w:p>
    <w:p w:rsidR="00F446B4" w:rsidRPr="00171A80" w:rsidRDefault="00F446B4" w:rsidP="00B777B2">
      <w:pPr>
        <w:spacing w:before="120"/>
        <w:ind w:firstLine="708"/>
        <w:rPr>
          <w:rFonts w:asciiTheme="majorHAnsi" w:hAnsiTheme="majorHAnsi" w:cs="Times New Roman"/>
          <w:color w:val="7F7F7F" w:themeColor="text1" w:themeTint="80"/>
          <w:sz w:val="21"/>
          <w:szCs w:val="21"/>
          <w:lang w:val="sr-Cyrl-RS"/>
        </w:rPr>
      </w:pPr>
    </w:p>
    <w:p w:rsidR="00F446B4" w:rsidRPr="00171A80" w:rsidRDefault="00F446B4" w:rsidP="00B777B2">
      <w:pPr>
        <w:spacing w:before="120"/>
        <w:ind w:firstLine="708"/>
        <w:rPr>
          <w:rFonts w:asciiTheme="majorHAnsi" w:hAnsiTheme="majorHAnsi" w:cs="Times New Roman"/>
          <w:color w:val="7F7F7F" w:themeColor="text1" w:themeTint="80"/>
          <w:sz w:val="21"/>
          <w:szCs w:val="21"/>
          <w:lang w:val="sr-Cyrl-RS"/>
        </w:rPr>
      </w:pPr>
    </w:p>
    <w:p w:rsidR="00F446B4" w:rsidRPr="00171A80" w:rsidRDefault="00F446B4" w:rsidP="00B777B2">
      <w:pPr>
        <w:spacing w:before="120"/>
        <w:ind w:firstLine="708"/>
        <w:rPr>
          <w:rFonts w:asciiTheme="majorHAnsi" w:hAnsiTheme="majorHAnsi" w:cs="Times New Roman"/>
          <w:color w:val="7F7F7F" w:themeColor="text1" w:themeTint="80"/>
          <w:sz w:val="21"/>
          <w:szCs w:val="21"/>
          <w:lang w:val="sr-Cyrl-RS"/>
        </w:rPr>
      </w:pPr>
    </w:p>
    <w:p w:rsidR="00F446B4" w:rsidRPr="00171A80" w:rsidRDefault="00F446B4" w:rsidP="00B777B2">
      <w:pPr>
        <w:spacing w:before="120"/>
        <w:ind w:firstLine="708"/>
        <w:rPr>
          <w:rFonts w:asciiTheme="majorHAnsi" w:hAnsiTheme="majorHAnsi" w:cs="Times New Roman"/>
          <w:color w:val="7F7F7F" w:themeColor="text1" w:themeTint="80"/>
          <w:sz w:val="21"/>
          <w:szCs w:val="21"/>
          <w:lang w:val="sr-Cyrl-RS"/>
        </w:rPr>
      </w:pPr>
    </w:p>
    <w:p w:rsidR="000A2F9D" w:rsidRPr="00171A80" w:rsidRDefault="000A2F9D" w:rsidP="001C4F44">
      <w:pPr>
        <w:spacing w:before="120"/>
        <w:ind w:firstLine="0"/>
        <w:rPr>
          <w:rFonts w:asciiTheme="majorHAnsi" w:hAnsiTheme="majorHAnsi" w:cs="Times New Roman"/>
          <w:color w:val="7F7F7F" w:themeColor="text1" w:themeTint="80"/>
          <w:sz w:val="21"/>
          <w:szCs w:val="21"/>
          <w:lang w:val="sr-Cyrl-RS"/>
        </w:rPr>
      </w:pPr>
    </w:p>
    <w:p w:rsidR="00F446B4" w:rsidRPr="00171A80" w:rsidRDefault="00F446B4" w:rsidP="00B777B2">
      <w:pPr>
        <w:spacing w:before="120"/>
        <w:ind w:firstLine="708"/>
        <w:rPr>
          <w:rFonts w:asciiTheme="majorHAnsi" w:hAnsiTheme="majorHAnsi" w:cs="Times New Roman"/>
          <w:color w:val="7F7F7F" w:themeColor="text1" w:themeTint="80"/>
          <w:sz w:val="21"/>
          <w:szCs w:val="21"/>
          <w:lang w:val="sr-Cyrl-RS"/>
        </w:rPr>
      </w:pPr>
    </w:p>
    <w:p w:rsidR="00F446B4" w:rsidRPr="00171A80" w:rsidRDefault="00F446B4" w:rsidP="00B777B2">
      <w:pPr>
        <w:spacing w:before="120"/>
        <w:ind w:firstLine="708"/>
        <w:rPr>
          <w:rFonts w:asciiTheme="majorHAnsi" w:hAnsiTheme="majorHAnsi" w:cs="Times New Roman"/>
          <w:color w:val="7F7F7F" w:themeColor="text1" w:themeTint="80"/>
          <w:sz w:val="21"/>
          <w:szCs w:val="21"/>
          <w:lang w:val="sr-Cyrl-RS"/>
        </w:rPr>
      </w:pPr>
    </w:p>
    <w:p w:rsidR="00F11BA3" w:rsidRPr="00171A80" w:rsidRDefault="00BD20C8" w:rsidP="00C14383">
      <w:pPr>
        <w:ind w:firstLine="0"/>
        <w:jc w:val="left"/>
        <w:rPr>
          <w:rFonts w:asciiTheme="majorHAnsi" w:hAnsiTheme="majorHAnsi" w:cs="Times New Roman"/>
          <w:b/>
          <w:i/>
          <w:color w:val="7F7F7F" w:themeColor="text1" w:themeTint="80"/>
          <w:sz w:val="21"/>
          <w:szCs w:val="21"/>
          <w:lang w:val="sr-Cyrl-RS"/>
        </w:rPr>
      </w:pPr>
      <w:r w:rsidRPr="00171A80">
        <w:rPr>
          <w:rFonts w:asciiTheme="majorHAnsi" w:hAnsiTheme="majorHAnsi" w:cs="Times New Roman"/>
          <w:b/>
          <w:i/>
          <w:color w:val="7F7F7F" w:themeColor="text1" w:themeTint="80"/>
          <w:sz w:val="21"/>
          <w:szCs w:val="21"/>
          <w:lang w:val="sr-Cyrl-RS"/>
        </w:rPr>
        <w:br w:type="page"/>
      </w:r>
      <w:r w:rsidR="000A2F9D" w:rsidRPr="00171A80">
        <w:rPr>
          <w:rFonts w:asciiTheme="majorHAnsi" w:hAnsiTheme="majorHAnsi" w:cs="Times New Roman"/>
          <w:b/>
          <w:i/>
          <w:color w:val="7F7F7F" w:themeColor="text1" w:themeTint="80"/>
          <w:sz w:val="21"/>
          <w:szCs w:val="21"/>
          <w:lang w:val="sr-Cyrl-RS"/>
        </w:rPr>
        <w:lastRenderedPageBreak/>
        <w:t>Прилог 1:</w:t>
      </w:r>
      <w:r w:rsidR="00951652" w:rsidRPr="00171A80">
        <w:rPr>
          <w:rFonts w:asciiTheme="majorHAnsi" w:hAnsiTheme="majorHAnsi" w:cs="Times New Roman"/>
          <w:b/>
          <w:i/>
          <w:color w:val="7F7F7F" w:themeColor="text1" w:themeTint="80"/>
          <w:sz w:val="21"/>
          <w:szCs w:val="21"/>
          <w:lang w:val="sr-Cyrl-RS"/>
        </w:rPr>
        <w:t xml:space="preserve"> Пројекција основних макроекономских индикатора</w:t>
      </w:r>
    </w:p>
    <w:tbl>
      <w:tblPr>
        <w:tblStyle w:val="LightShading-Accent331"/>
        <w:tblW w:w="0" w:type="auto"/>
        <w:jc w:val="center"/>
        <w:tblLook w:val="04A0" w:firstRow="1" w:lastRow="0" w:firstColumn="1" w:lastColumn="0" w:noHBand="0" w:noVBand="1"/>
      </w:tblPr>
      <w:tblGrid>
        <w:gridCol w:w="4104"/>
        <w:gridCol w:w="1225"/>
        <w:gridCol w:w="1225"/>
        <w:gridCol w:w="1225"/>
        <w:gridCol w:w="1225"/>
      </w:tblGrid>
      <w:tr w:rsidR="00F11BA3" w:rsidRPr="00EE5FC0" w:rsidTr="00AD388A">
        <w:trPr>
          <w:cnfStyle w:val="100000000000" w:firstRow="1" w:lastRow="0" w:firstColumn="0" w:lastColumn="0" w:oddVBand="0" w:evenVBand="0" w:oddHBand="0" w:evenHBand="0" w:firstRowFirstColumn="0" w:firstRowLastColumn="0" w:lastRowFirstColumn="0" w:lastRowLastColumn="0"/>
          <w:trHeight w:val="599"/>
          <w:tblHeader/>
          <w:jc w:val="center"/>
        </w:trPr>
        <w:tc>
          <w:tcPr>
            <w:cnfStyle w:val="001000000000" w:firstRow="0" w:lastRow="0" w:firstColumn="1" w:lastColumn="0" w:oddVBand="0" w:evenVBand="0" w:oddHBand="0" w:evenHBand="0" w:firstRowFirstColumn="0" w:firstRowLastColumn="0" w:lastRowFirstColumn="0" w:lastRowLastColumn="0"/>
            <w:tcW w:w="4104" w:type="dxa"/>
            <w:hideMark/>
          </w:tcPr>
          <w:p w:rsidR="00F11BA3" w:rsidRPr="00EE5FC0" w:rsidRDefault="00F11BA3" w:rsidP="00F11BA3">
            <w:pPr>
              <w:spacing w:after="0"/>
              <w:ind w:firstLine="0"/>
              <w:rPr>
                <w:rFonts w:asciiTheme="majorHAnsi" w:eastAsia="Calibri" w:hAnsiTheme="majorHAnsi" w:cs="Times New Roman"/>
                <w:b w:val="0"/>
                <w:i/>
                <w:iCs/>
                <w:color w:val="808080" w:themeColor="background1" w:themeShade="80"/>
                <w:sz w:val="20"/>
                <w:szCs w:val="20"/>
                <w:lang w:val="sr-Cyrl-RS"/>
              </w:rPr>
            </w:pPr>
            <w:bookmarkStart w:id="75" w:name="RANGE!A1:I56"/>
            <w:bookmarkEnd w:id="68"/>
            <w:bookmarkEnd w:id="69"/>
            <w:bookmarkEnd w:id="70"/>
            <w:r w:rsidRPr="00EE5FC0">
              <w:rPr>
                <w:rFonts w:asciiTheme="majorHAnsi" w:eastAsia="Calibri" w:hAnsiTheme="majorHAnsi" w:cs="Times New Roman"/>
                <w:b w:val="0"/>
                <w:i/>
                <w:iCs/>
                <w:color w:val="808080" w:themeColor="background1" w:themeShade="80"/>
                <w:sz w:val="20"/>
                <w:szCs w:val="20"/>
                <w:lang w:val="sr-Cyrl-RS"/>
              </w:rPr>
              <w:t>Исказано у процентима осим ако није другачије назначено</w:t>
            </w:r>
            <w:bookmarkEnd w:id="75"/>
          </w:p>
        </w:tc>
        <w:tc>
          <w:tcPr>
            <w:tcW w:w="1225" w:type="dxa"/>
            <w:noWrap/>
            <w:hideMark/>
          </w:tcPr>
          <w:p w:rsidR="00F11BA3" w:rsidRPr="00EE5FC0" w:rsidRDefault="00F11BA3" w:rsidP="00F11BA3">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i/>
                <w:i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2014</w:t>
            </w:r>
          </w:p>
        </w:tc>
        <w:tc>
          <w:tcPr>
            <w:tcW w:w="1225" w:type="dxa"/>
            <w:noWrap/>
            <w:hideMark/>
          </w:tcPr>
          <w:p w:rsidR="00F11BA3" w:rsidRPr="00EE5FC0" w:rsidRDefault="00F11BA3" w:rsidP="00F11BA3">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i/>
                <w:i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2015</w:t>
            </w:r>
          </w:p>
        </w:tc>
        <w:tc>
          <w:tcPr>
            <w:tcW w:w="1225" w:type="dxa"/>
            <w:noWrap/>
            <w:hideMark/>
          </w:tcPr>
          <w:p w:rsidR="00F11BA3" w:rsidRPr="00EE5FC0" w:rsidRDefault="00F11BA3" w:rsidP="00F11BA3">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i/>
                <w:i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2016</w:t>
            </w:r>
          </w:p>
        </w:tc>
        <w:tc>
          <w:tcPr>
            <w:tcW w:w="1225" w:type="dxa"/>
            <w:noWrap/>
            <w:hideMark/>
          </w:tcPr>
          <w:p w:rsidR="00F11BA3" w:rsidRPr="00EE5FC0" w:rsidRDefault="00F11BA3" w:rsidP="00F11BA3">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i/>
                <w:i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2017</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Стопа реалног раста БДП</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-2,0</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-0,5</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1,5</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2,0</w:t>
            </w:r>
          </w:p>
        </w:tc>
      </w:tr>
      <w:tr w:rsidR="00522235"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БДП по текућим тржишним ценама (у милионима динара)</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3.884.000</w:t>
            </w:r>
            <w:r w:rsidRPr="00522235">
              <w:rPr>
                <w:rFonts w:ascii="Times New Roman" w:eastAsia="Calibri" w:hAnsi="Times New Roman" w:cs="Times New Roman"/>
                <w:color w:val="808080" w:themeColor="background1" w:themeShade="80"/>
                <w:sz w:val="20"/>
                <w:szCs w:val="20"/>
                <w:lang w:val="en-US"/>
              </w:rPr>
              <w:t>,</w:t>
            </w:r>
            <w:r w:rsidRPr="00522235">
              <w:rPr>
                <w:rFonts w:ascii="Times New Roman" w:eastAsia="Calibri" w:hAnsi="Times New Roman" w:cs="Times New Roman"/>
                <w:color w:val="808080" w:themeColor="background1" w:themeShade="80"/>
                <w:sz w:val="20"/>
                <w:szCs w:val="20"/>
                <w:lang w:val="sr-Cyrl-RS"/>
              </w:rPr>
              <w:t>0</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3.970.469,5</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4.195.257,6</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4.454.608,4</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БДП у еврима (у милионима)</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33.193</w:t>
            </w:r>
            <w:r w:rsidRPr="00522235">
              <w:rPr>
                <w:rFonts w:ascii="Times New Roman" w:eastAsia="Calibri" w:hAnsi="Times New Roman" w:cs="Times New Roman"/>
                <w:color w:val="808080" w:themeColor="background1" w:themeShade="80"/>
                <w:sz w:val="20"/>
                <w:szCs w:val="20"/>
                <w:lang w:val="en-US"/>
              </w:rPr>
              <w:t>,</w:t>
            </w:r>
            <w:r w:rsidRPr="00522235">
              <w:rPr>
                <w:rFonts w:ascii="Times New Roman" w:eastAsia="Calibri" w:hAnsi="Times New Roman" w:cs="Times New Roman"/>
                <w:color w:val="808080" w:themeColor="background1" w:themeShade="80"/>
                <w:sz w:val="20"/>
                <w:szCs w:val="20"/>
                <w:lang w:val="sr-Cyrl-RS"/>
              </w:rPr>
              <w:t>5</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33.076,8</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34.528,8</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36.245,8</w:t>
            </w:r>
          </w:p>
        </w:tc>
      </w:tr>
      <w:tr w:rsidR="00F11BA3"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9004" w:type="dxa"/>
            <w:gridSpan w:val="5"/>
            <w:noWrap/>
            <w:hideMark/>
          </w:tcPr>
          <w:p w:rsidR="00F11BA3" w:rsidRPr="00EE5FC0" w:rsidRDefault="00F11BA3" w:rsidP="00F11BA3">
            <w:pPr>
              <w:spacing w:after="0"/>
              <w:ind w:firstLine="0"/>
              <w:jc w:val="left"/>
              <w:rPr>
                <w:rFonts w:asciiTheme="majorHAnsi" w:eastAsia="Calibri" w:hAnsiTheme="majorHAnsi" w:cs="Times New Roman"/>
                <w:b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Извори раста: процентне промене у константним ценама</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Лична потрошња</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-1,5</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-3,0</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1,0</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1,5</w:t>
            </w:r>
          </w:p>
        </w:tc>
      </w:tr>
      <w:tr w:rsidR="00522235"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Државна потрошња</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-2,8</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-7,4</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-5,8</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-4,0</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Инвестиције у фиксни капитал</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-1,8</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4,7</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5,5</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5,5</w:t>
            </w:r>
          </w:p>
        </w:tc>
      </w:tr>
      <w:tr w:rsidR="00522235"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Промена залиха као % БДП</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0,0</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0,0</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0,0</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0,0</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Извоз робе и услуга</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3,7</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3,1</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5,0</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6,6</w:t>
            </w:r>
          </w:p>
        </w:tc>
      </w:tr>
      <w:tr w:rsidR="00522235"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Увоз робе и услуга</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2,8</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-1,5</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2,9</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4,6</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Cs/>
                <w:i/>
                <w:i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Допринос расту БДП</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808080" w:themeColor="background1" w:themeShade="80"/>
                <w:sz w:val="20"/>
                <w:szCs w:val="20"/>
                <w:lang w:val="sr-Cyrl-RS"/>
              </w:rPr>
            </w:pP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r>
      <w:tr w:rsidR="00522235"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Финална домаћа тражња</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-2,0</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-2,7</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0,9</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1,6</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i/>
                <w:iCs/>
                <w:color w:val="808080" w:themeColor="background1" w:themeShade="80"/>
                <w:sz w:val="20"/>
                <w:szCs w:val="20"/>
                <w:lang w:val="sr-Cyrl-RS"/>
              </w:rPr>
            </w:pPr>
            <w:r w:rsidRPr="00EE5FC0">
              <w:rPr>
                <w:rFonts w:asciiTheme="majorHAnsi" w:eastAsia="Calibri" w:hAnsiTheme="majorHAnsi" w:cs="Times New Roman"/>
                <w:b w:val="0"/>
                <w:bCs/>
                <w:i/>
                <w:iCs/>
                <w:color w:val="808080" w:themeColor="background1" w:themeShade="80"/>
                <w:sz w:val="20"/>
                <w:szCs w:val="20"/>
                <w:lang w:val="sr-Cyrl-RS"/>
              </w:rPr>
              <w:t>Инвестициона потрошња</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-0,4</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0,9</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1,2</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1,2</w:t>
            </w:r>
          </w:p>
        </w:tc>
      </w:tr>
      <w:tr w:rsidR="00522235"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i/>
                <w:iCs/>
                <w:color w:val="808080" w:themeColor="background1" w:themeShade="80"/>
                <w:sz w:val="20"/>
                <w:szCs w:val="20"/>
                <w:lang w:val="sr-Cyrl-RS"/>
              </w:rPr>
            </w:pPr>
            <w:r w:rsidRPr="00EE5FC0">
              <w:rPr>
                <w:rFonts w:asciiTheme="majorHAnsi" w:eastAsia="Calibri" w:hAnsiTheme="majorHAnsi" w:cs="Times New Roman"/>
                <w:b w:val="0"/>
                <w:bCs/>
                <w:i/>
                <w:iCs/>
                <w:color w:val="808080" w:themeColor="background1" w:themeShade="80"/>
                <w:sz w:val="20"/>
                <w:szCs w:val="20"/>
                <w:lang w:val="sr-Cyrl-RS"/>
              </w:rPr>
              <w:t>Лична потрошња</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-1,1</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-2,3</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0,7</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1,1</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i/>
                <w:iCs/>
                <w:color w:val="808080" w:themeColor="background1" w:themeShade="80"/>
                <w:sz w:val="20"/>
                <w:szCs w:val="20"/>
                <w:lang w:val="sr-Cyrl-RS"/>
              </w:rPr>
            </w:pPr>
            <w:r w:rsidRPr="00EE5FC0">
              <w:rPr>
                <w:rFonts w:asciiTheme="majorHAnsi" w:eastAsia="Calibri" w:hAnsiTheme="majorHAnsi" w:cs="Times New Roman"/>
                <w:b w:val="0"/>
                <w:bCs/>
                <w:i/>
                <w:iCs/>
                <w:color w:val="808080" w:themeColor="background1" w:themeShade="80"/>
                <w:sz w:val="20"/>
                <w:szCs w:val="20"/>
                <w:lang w:val="sr-Cyrl-RS"/>
              </w:rPr>
              <w:t>Државна потрошња</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-0,5</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-1,3</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-1,0</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-0,6</w:t>
            </w:r>
          </w:p>
        </w:tc>
      </w:tr>
      <w:tr w:rsidR="00522235"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Промена у залихама</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0,0</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0,0</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0,0</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0,0</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Спољно-трговински биланс робe и услуга</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0,0</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2,2</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0,6</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0,4</w:t>
            </w:r>
          </w:p>
        </w:tc>
      </w:tr>
      <w:tr w:rsidR="00F11BA3"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9004" w:type="dxa"/>
            <w:gridSpan w:val="5"/>
            <w:noWrap/>
            <w:hideMark/>
          </w:tcPr>
          <w:p w:rsidR="00F11BA3" w:rsidRPr="00EE5FC0" w:rsidRDefault="00F11BA3" w:rsidP="00F11BA3">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Раст бруто додате вредности делатности</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Пољопривреда</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1,4</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1,7</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1,7</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1,8</w:t>
            </w:r>
          </w:p>
        </w:tc>
      </w:tr>
      <w:tr w:rsidR="00522235"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Индустрија</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-5,7</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3,7</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2,0</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2,5</w:t>
            </w:r>
          </w:p>
        </w:tc>
      </w:tr>
      <w:tr w:rsidR="00522235"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Грађевинарство</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-7,3</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16,8</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6,4</w:t>
            </w:r>
          </w:p>
        </w:tc>
        <w:tc>
          <w:tcPr>
            <w:tcW w:w="1225" w:type="dxa"/>
            <w:noWrap/>
            <w:hideMark/>
          </w:tcPr>
          <w:p w:rsidR="00522235" w:rsidRPr="00522235" w:rsidRDefault="00522235" w:rsidP="00522235">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6,8</w:t>
            </w:r>
          </w:p>
        </w:tc>
      </w:tr>
      <w:tr w:rsidR="00522235"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522235" w:rsidRPr="00EE5FC0" w:rsidRDefault="00522235" w:rsidP="00522235">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Услуге</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-0,6</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-3,9</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0,7</w:t>
            </w:r>
          </w:p>
        </w:tc>
        <w:tc>
          <w:tcPr>
            <w:tcW w:w="1225" w:type="dxa"/>
            <w:noWrap/>
            <w:hideMark/>
          </w:tcPr>
          <w:p w:rsidR="00522235" w:rsidRPr="00522235" w:rsidRDefault="00522235" w:rsidP="00522235">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522235">
              <w:rPr>
                <w:rFonts w:ascii="Times New Roman" w:eastAsia="Calibri" w:hAnsi="Times New Roman" w:cs="Times New Roman"/>
                <w:color w:val="808080" w:themeColor="background1" w:themeShade="80"/>
                <w:sz w:val="20"/>
                <w:szCs w:val="20"/>
                <w:lang w:val="sr-Cyrl-RS"/>
              </w:rPr>
              <w:t>1,4</w:t>
            </w:r>
          </w:p>
        </w:tc>
      </w:tr>
      <w:tr w:rsidR="00F11BA3"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9004" w:type="dxa"/>
            <w:gridSpan w:val="5"/>
            <w:noWrap/>
            <w:hideMark/>
          </w:tcPr>
          <w:p w:rsidR="00F11BA3" w:rsidRPr="00EE5FC0" w:rsidRDefault="00F11BA3" w:rsidP="00F11BA3">
            <w:pPr>
              <w:spacing w:after="0"/>
              <w:ind w:firstLine="0"/>
              <w:jc w:val="left"/>
              <w:rPr>
                <w:rFonts w:asciiTheme="majorHAnsi" w:eastAsia="Calibri" w:hAnsiTheme="majorHAnsi" w:cs="Times New Roman"/>
                <w:b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Допринос расту бруто додате вредности по делатностима</w:t>
            </w: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Раст бруто додате вредности</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-2,0</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-0,5</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1,5</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2,0</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Пољопривреда</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0,1</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0,2</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0,2</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0,2</w:t>
            </w: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Индустрија</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-1,4</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0,9</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0,5</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0,6</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Грађевинарство</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-0,4</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0,8</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0,4</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0,4</w:t>
            </w: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Услуге</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-0,3</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-2,4</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0,4</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0,8</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Cs/>
                <w:i/>
                <w:i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Кретање цена</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808080" w:themeColor="background1" w:themeShade="80"/>
                <w:sz w:val="20"/>
                <w:szCs w:val="20"/>
                <w:lang w:val="sr-Cyrl-RS"/>
              </w:rPr>
            </w:pP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БДП дефлатор</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2,2</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2,7</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4,1</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4,1</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Потрошачке цене(годишњи просек)</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2,1</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2,7</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4,0</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4,0</w:t>
            </w: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Потрошачке цене(крај периода)</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2,2</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4,2</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4,0</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4,0</w:t>
            </w:r>
          </w:p>
        </w:tc>
      </w:tr>
      <w:tr w:rsidR="00F11BA3"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F11BA3" w:rsidRPr="00EE5FC0" w:rsidRDefault="00F11BA3" w:rsidP="00F11BA3">
            <w:pPr>
              <w:spacing w:after="0"/>
              <w:ind w:firstLine="0"/>
              <w:jc w:val="left"/>
              <w:rPr>
                <w:rFonts w:asciiTheme="majorHAnsi" w:eastAsia="Calibri" w:hAnsiTheme="majorHAnsi" w:cs="Times New Roman"/>
                <w:bCs/>
                <w:i/>
                <w:i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Кретања у спољнoм сектору</w:t>
            </w:r>
          </w:p>
        </w:tc>
        <w:tc>
          <w:tcPr>
            <w:tcW w:w="1225" w:type="dxa"/>
            <w:noWrap/>
            <w:hideMark/>
          </w:tcPr>
          <w:p w:rsidR="00F11BA3" w:rsidRPr="00EE5FC0" w:rsidRDefault="00F11BA3" w:rsidP="00F11BA3">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i/>
                <w:iCs/>
                <w:color w:val="808080" w:themeColor="background1" w:themeShade="80"/>
                <w:sz w:val="20"/>
                <w:szCs w:val="20"/>
                <w:lang w:val="sr-Cyrl-RS"/>
              </w:rPr>
            </w:pPr>
          </w:p>
        </w:tc>
        <w:tc>
          <w:tcPr>
            <w:tcW w:w="1225" w:type="dxa"/>
            <w:noWrap/>
            <w:hideMark/>
          </w:tcPr>
          <w:p w:rsidR="00F11BA3" w:rsidRPr="00EE5FC0" w:rsidRDefault="00F11BA3" w:rsidP="00F11BA3">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20"/>
                <w:szCs w:val="20"/>
                <w:lang w:val="sr-Cyrl-RS"/>
              </w:rPr>
            </w:pPr>
          </w:p>
        </w:tc>
        <w:tc>
          <w:tcPr>
            <w:tcW w:w="1225" w:type="dxa"/>
            <w:noWrap/>
            <w:hideMark/>
          </w:tcPr>
          <w:p w:rsidR="00F11BA3" w:rsidRPr="00EE5FC0" w:rsidRDefault="00F11BA3" w:rsidP="00F11BA3">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20"/>
                <w:szCs w:val="20"/>
                <w:lang w:val="sr-Cyrl-RS"/>
              </w:rPr>
            </w:pPr>
          </w:p>
        </w:tc>
        <w:tc>
          <w:tcPr>
            <w:tcW w:w="1225" w:type="dxa"/>
            <w:noWrap/>
            <w:hideMark/>
          </w:tcPr>
          <w:p w:rsidR="00F11BA3" w:rsidRPr="00EE5FC0" w:rsidRDefault="00F11BA3" w:rsidP="00F11BA3">
            <w:pPr>
              <w:spacing w:after="0"/>
              <w:ind w:firstLine="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808080" w:themeColor="background1" w:themeShade="80"/>
                <w:sz w:val="20"/>
                <w:szCs w:val="20"/>
                <w:lang w:val="sr-Cyrl-RS"/>
              </w:rPr>
            </w:pP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Извоз робe (ф.о.б) у мил. евра</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10.760</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11.006</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11.558</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12.366</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Увоз робe (ф.о.б) у мил. евра</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14.920</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14.629</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15.088</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15.835</w:t>
            </w: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 xml:space="preserve">Салдо трговинског рачуна </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-4.160</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-3.624</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-3.530</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-3.469</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 xml:space="preserve">Извоз робe и услуга (% БДП) </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43,1</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44,2</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44,5</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45,3</w:t>
            </w: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Увоз робe и услуга (% БДП)</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54,5</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53,6</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52,9</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52,9</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bookmarkStart w:id="76" w:name="RANGE!A41"/>
            <w:r w:rsidRPr="00EE5FC0">
              <w:rPr>
                <w:rFonts w:asciiTheme="majorHAnsi" w:eastAsia="Calibri" w:hAnsiTheme="majorHAnsi" w:cs="Times New Roman"/>
                <w:b w:val="0"/>
                <w:bCs/>
                <w:color w:val="808080" w:themeColor="background1" w:themeShade="80"/>
                <w:sz w:val="20"/>
                <w:szCs w:val="20"/>
                <w:lang w:val="sr-Cyrl-RS"/>
              </w:rPr>
              <w:t>Нето извоз добара и услуга (% БДП)</w:t>
            </w:r>
            <w:bookmarkEnd w:id="76"/>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-11,4</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-9,4</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-8,5</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-7,6</w:t>
            </w: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Салдо текућег рачуна (% БДП)</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-6,1</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-4,7</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-4,5</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-4,3</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Национална штедња (% БДП)</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11,4</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13,8</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14,4</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15,0</w:t>
            </w:r>
          </w:p>
        </w:tc>
      </w:tr>
      <w:tr w:rsidR="00062277" w:rsidRPr="00EE5FC0" w:rsidTr="00AD388A">
        <w:trPr>
          <w:trHeight w:val="321"/>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lastRenderedPageBreak/>
              <w:t>Домаћа штедња (% БДП)</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6,1</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9,1</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10,5</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11,7</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Домаће јавне инвестиције (% БДП)</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2,6</w:t>
            </w:r>
          </w:p>
        </w:tc>
        <w:tc>
          <w:tcPr>
            <w:tcW w:w="1225" w:type="dxa"/>
            <w:noWrap/>
            <w:hideMark/>
          </w:tcPr>
          <w:p w:rsidR="00062277" w:rsidRPr="006247C7" w:rsidRDefault="006247C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Latn-RS"/>
              </w:rPr>
            </w:pPr>
            <w:r>
              <w:rPr>
                <w:rFonts w:ascii="Times New Roman" w:eastAsia="Calibri" w:hAnsi="Times New Roman" w:cs="Times New Roman"/>
                <w:color w:val="808080" w:themeColor="background1" w:themeShade="80"/>
                <w:sz w:val="20"/>
                <w:szCs w:val="20"/>
                <w:lang w:val="sr-Latn-RS"/>
              </w:rPr>
              <w:t>3,1</w:t>
            </w:r>
          </w:p>
        </w:tc>
        <w:tc>
          <w:tcPr>
            <w:tcW w:w="1225" w:type="dxa"/>
            <w:noWrap/>
            <w:hideMark/>
          </w:tcPr>
          <w:p w:rsidR="00062277" w:rsidRPr="006247C7" w:rsidRDefault="006247C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Latn-RS"/>
              </w:rPr>
            </w:pPr>
            <w:r>
              <w:rPr>
                <w:rFonts w:ascii="Times New Roman" w:eastAsia="Calibri" w:hAnsi="Times New Roman" w:cs="Times New Roman"/>
                <w:color w:val="808080" w:themeColor="background1" w:themeShade="80"/>
                <w:sz w:val="20"/>
                <w:szCs w:val="20"/>
                <w:lang w:val="sr-Latn-RS"/>
              </w:rPr>
              <w:t>3,1</w:t>
            </w:r>
          </w:p>
        </w:tc>
        <w:tc>
          <w:tcPr>
            <w:tcW w:w="1225" w:type="dxa"/>
            <w:noWrap/>
            <w:hideMark/>
          </w:tcPr>
          <w:p w:rsidR="00062277" w:rsidRPr="006247C7" w:rsidRDefault="006247C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Latn-RS"/>
              </w:rPr>
            </w:pPr>
            <w:r>
              <w:rPr>
                <w:rFonts w:ascii="Times New Roman" w:eastAsia="Calibri" w:hAnsi="Times New Roman" w:cs="Times New Roman"/>
                <w:color w:val="808080" w:themeColor="background1" w:themeShade="80"/>
                <w:sz w:val="20"/>
                <w:szCs w:val="20"/>
                <w:lang w:val="sr-Latn-RS"/>
              </w:rPr>
              <w:t>3,0</w:t>
            </w: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Инвестициони рацио (% БДП)</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17,3</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18,5</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19,3</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19,8</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Cs/>
                <w:i/>
                <w:iCs/>
                <w:color w:val="808080" w:themeColor="background1" w:themeShade="80"/>
                <w:sz w:val="20"/>
                <w:szCs w:val="20"/>
                <w:lang w:val="sr-Cyrl-RS"/>
              </w:rPr>
            </w:pPr>
            <w:r w:rsidRPr="00EE5FC0">
              <w:rPr>
                <w:rFonts w:asciiTheme="majorHAnsi" w:eastAsia="Calibri" w:hAnsiTheme="majorHAnsi" w:cs="Times New Roman"/>
                <w:i/>
                <w:iCs/>
                <w:color w:val="808080" w:themeColor="background1" w:themeShade="80"/>
                <w:sz w:val="20"/>
                <w:szCs w:val="20"/>
                <w:lang w:val="sr-Cyrl-RS"/>
              </w:rPr>
              <w:t>Фискални индикатори</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808080" w:themeColor="background1" w:themeShade="80"/>
                <w:sz w:val="20"/>
                <w:szCs w:val="20"/>
                <w:lang w:val="sr-Cyrl-RS"/>
              </w:rPr>
            </w:pP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Дефицит сектора опште државе (%БДП)</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-7,9</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-5,8</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-4,7</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-3,8</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Консолидовани приходи(% БДП)</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40,9</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40,3</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39,1</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38,2</w:t>
            </w: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Консолидовани расходи (%БДП)</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48,9</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46,1</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43,8</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41,9</w:t>
            </w: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Бруто дуг сектора опште државе (% БДП)</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69,9</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77,7</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79,2</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78,2</w:t>
            </w:r>
          </w:p>
        </w:tc>
      </w:tr>
      <w:tr w:rsidR="00062277" w:rsidRPr="00EE5FC0" w:rsidTr="00AD388A">
        <w:trPr>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i/>
                <w:iCs/>
                <w:color w:val="808080" w:themeColor="background1" w:themeShade="80"/>
                <w:sz w:val="20"/>
                <w:szCs w:val="20"/>
                <w:lang w:val="sr-Cyrl-RS"/>
              </w:rPr>
            </w:pPr>
            <w:r w:rsidRPr="00EE5FC0">
              <w:rPr>
                <w:rFonts w:asciiTheme="majorHAnsi" w:eastAsia="Calibri" w:hAnsiTheme="majorHAnsi" w:cs="Times New Roman"/>
                <w:b w:val="0"/>
                <w:i/>
                <w:iCs/>
                <w:color w:val="808080" w:themeColor="background1" w:themeShade="80"/>
                <w:sz w:val="20"/>
                <w:szCs w:val="20"/>
                <w:lang w:val="sr-Cyrl-RS"/>
              </w:rPr>
              <w:t xml:space="preserve">Запосленост </w:t>
            </w: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color w:val="808080" w:themeColor="background1" w:themeShade="80"/>
                <w:sz w:val="20"/>
                <w:szCs w:val="20"/>
                <w:lang w:val="sr-Cyrl-RS"/>
              </w:rPr>
            </w:pP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c>
          <w:tcPr>
            <w:tcW w:w="1225" w:type="dxa"/>
            <w:noWrap/>
            <w:hideMark/>
          </w:tcPr>
          <w:p w:rsidR="00062277" w:rsidRPr="00062277" w:rsidRDefault="00062277" w:rsidP="00062277">
            <w:pPr>
              <w:spacing w:after="0"/>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p>
        </w:tc>
      </w:tr>
      <w:tr w:rsidR="00062277" w:rsidRPr="00EE5FC0" w:rsidTr="00AD388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104" w:type="dxa"/>
            <w:noWrap/>
            <w:hideMark/>
          </w:tcPr>
          <w:p w:rsidR="00062277" w:rsidRPr="00EE5FC0" w:rsidRDefault="00062277" w:rsidP="00062277">
            <w:pPr>
              <w:spacing w:after="0"/>
              <w:ind w:firstLine="0"/>
              <w:jc w:val="left"/>
              <w:rPr>
                <w:rFonts w:asciiTheme="majorHAnsi" w:eastAsia="Calibri" w:hAnsiTheme="majorHAnsi" w:cs="Times New Roman"/>
                <w:b w:val="0"/>
                <w:bCs/>
                <w:color w:val="808080" w:themeColor="background1" w:themeShade="80"/>
                <w:sz w:val="20"/>
                <w:szCs w:val="20"/>
                <w:lang w:val="sr-Cyrl-RS"/>
              </w:rPr>
            </w:pPr>
            <w:r w:rsidRPr="00EE5FC0">
              <w:rPr>
                <w:rFonts w:asciiTheme="majorHAnsi" w:eastAsia="Calibri" w:hAnsiTheme="majorHAnsi" w:cs="Times New Roman"/>
                <w:b w:val="0"/>
                <w:bCs/>
                <w:color w:val="808080" w:themeColor="background1" w:themeShade="80"/>
                <w:sz w:val="20"/>
                <w:szCs w:val="20"/>
                <w:lang w:val="sr-Cyrl-RS"/>
              </w:rPr>
              <w:t>Стопа незапослености, 15+</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20,0</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21,3</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20,9</w:t>
            </w:r>
          </w:p>
        </w:tc>
        <w:tc>
          <w:tcPr>
            <w:tcW w:w="1225" w:type="dxa"/>
            <w:noWrap/>
            <w:hideMark/>
          </w:tcPr>
          <w:p w:rsidR="00062277" w:rsidRPr="00062277" w:rsidRDefault="00062277" w:rsidP="00062277">
            <w:pPr>
              <w:spacing w:after="0"/>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themeColor="background1" w:themeShade="80"/>
                <w:sz w:val="20"/>
                <w:szCs w:val="20"/>
                <w:lang w:val="sr-Cyrl-RS"/>
              </w:rPr>
            </w:pPr>
            <w:r w:rsidRPr="00062277">
              <w:rPr>
                <w:rFonts w:ascii="Times New Roman" w:eastAsia="Calibri" w:hAnsi="Times New Roman" w:cs="Times New Roman"/>
                <w:color w:val="808080" w:themeColor="background1" w:themeShade="80"/>
                <w:sz w:val="20"/>
                <w:szCs w:val="20"/>
                <w:lang w:val="sr-Cyrl-RS"/>
              </w:rPr>
              <w:t>19,8</w:t>
            </w:r>
          </w:p>
        </w:tc>
      </w:tr>
    </w:tbl>
    <w:p w:rsidR="000A2F9D" w:rsidRPr="00171A80" w:rsidRDefault="000A2F9D" w:rsidP="000A2F9D">
      <w:pPr>
        <w:spacing w:after="0"/>
        <w:ind w:firstLine="0"/>
        <w:rPr>
          <w:rFonts w:asciiTheme="majorHAnsi" w:eastAsia="Calibri" w:hAnsiTheme="majorHAnsi" w:cs="Times New Roman"/>
          <w:color w:val="auto"/>
          <w:sz w:val="24"/>
          <w:lang w:val="sr-Cyrl-RS"/>
        </w:rPr>
      </w:pPr>
    </w:p>
    <w:p w:rsidR="000A2F9D" w:rsidRPr="00171A80" w:rsidRDefault="000A2F9D" w:rsidP="000A2F9D">
      <w:pPr>
        <w:spacing w:after="0"/>
        <w:ind w:firstLine="0"/>
        <w:rPr>
          <w:rFonts w:asciiTheme="majorHAnsi" w:eastAsia="Calibri" w:hAnsiTheme="majorHAnsi" w:cs="Times New Roman"/>
          <w:color w:val="auto"/>
          <w:sz w:val="24"/>
          <w:lang w:val="sr-Cyrl-RS"/>
        </w:rPr>
      </w:pPr>
    </w:p>
    <w:p w:rsidR="000A2F9D" w:rsidRPr="00171A80" w:rsidRDefault="000A2F9D" w:rsidP="000A2F9D">
      <w:pPr>
        <w:spacing w:after="0"/>
        <w:ind w:firstLine="0"/>
        <w:rPr>
          <w:rFonts w:asciiTheme="majorHAnsi" w:eastAsia="Calibri" w:hAnsiTheme="majorHAnsi" w:cs="Times New Roman"/>
          <w:color w:val="auto"/>
          <w:sz w:val="24"/>
          <w:lang w:val="sr-Cyrl-RS"/>
        </w:rPr>
      </w:pPr>
    </w:p>
    <w:p w:rsidR="000A2F9D" w:rsidRPr="00171A80" w:rsidRDefault="005B2916" w:rsidP="005B2916">
      <w:pPr>
        <w:spacing w:after="0"/>
        <w:ind w:firstLine="0"/>
        <w:jc w:val="left"/>
        <w:rPr>
          <w:rFonts w:asciiTheme="majorHAnsi" w:eastAsiaTheme="minorHAnsi" w:hAnsiTheme="majorHAnsi" w:cstheme="minorBidi"/>
          <w:bCs w:val="0"/>
          <w:color w:val="auto"/>
          <w:sz w:val="20"/>
          <w:szCs w:val="20"/>
          <w:lang w:val="sr-Cyrl-RS" w:bidi="en-US"/>
        </w:rPr>
      </w:pPr>
      <w:r w:rsidRPr="00171A80">
        <w:rPr>
          <w:rFonts w:asciiTheme="majorHAnsi" w:eastAsiaTheme="minorHAnsi" w:hAnsiTheme="majorHAnsi" w:cstheme="minorBidi"/>
          <w:bCs w:val="0"/>
          <w:color w:val="auto"/>
          <w:sz w:val="20"/>
          <w:szCs w:val="20"/>
          <w:lang w:val="sr-Cyrl-RS" w:bidi="en-US"/>
        </w:rPr>
        <w:t xml:space="preserve"> </w:t>
      </w:r>
    </w:p>
    <w:p w:rsidR="000A2F9D" w:rsidRPr="00171A80" w:rsidRDefault="000A2F9D" w:rsidP="00265292">
      <w:pPr>
        <w:pStyle w:val="IFS2012tekst"/>
        <w:rPr>
          <w:rFonts w:asciiTheme="majorHAnsi" w:hAnsiTheme="majorHAnsi"/>
          <w:color w:val="7F7F7F" w:themeColor="text1" w:themeTint="80"/>
          <w:szCs w:val="21"/>
          <w:lang w:val="sr-Cyrl-RS"/>
        </w:rPr>
      </w:pPr>
    </w:p>
    <w:p w:rsidR="005E6304" w:rsidRPr="00171A80" w:rsidRDefault="005E6304" w:rsidP="00265292">
      <w:pPr>
        <w:rPr>
          <w:rFonts w:asciiTheme="majorHAnsi" w:hAnsiTheme="majorHAnsi"/>
          <w:color w:val="7F7F7F" w:themeColor="text1" w:themeTint="80"/>
          <w:sz w:val="21"/>
          <w:szCs w:val="21"/>
          <w:lang w:val="sr-Cyrl-RS"/>
        </w:rPr>
      </w:pPr>
    </w:p>
    <w:sectPr w:rsidR="005E6304" w:rsidRPr="00171A80" w:rsidSect="007453E3">
      <w:headerReference w:type="default" r:id="rId48"/>
      <w:footerReference w:type="default" r:id="rId49"/>
      <w:pgSz w:w="11906" w:h="16838" w:code="9"/>
      <w:pgMar w:top="851" w:right="1440" w:bottom="1440" w:left="1440" w:header="567" w:footer="708"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FAF" w:rsidRDefault="00B95FAF" w:rsidP="00265292">
      <w:r>
        <w:separator/>
      </w:r>
    </w:p>
    <w:p w:rsidR="00B95FAF" w:rsidRDefault="00B95FAF" w:rsidP="00265292"/>
    <w:p w:rsidR="00B95FAF" w:rsidRDefault="00B95FAF"/>
  </w:endnote>
  <w:endnote w:type="continuationSeparator" w:id="0">
    <w:p w:rsidR="00B95FAF" w:rsidRDefault="00B95FAF" w:rsidP="00265292">
      <w:r>
        <w:continuationSeparator/>
      </w:r>
    </w:p>
    <w:p w:rsidR="00B95FAF" w:rsidRDefault="00B95FAF" w:rsidP="00265292"/>
    <w:p w:rsidR="00B95FAF" w:rsidRDefault="00B95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695308"/>
      <w:docPartObj>
        <w:docPartGallery w:val="Page Numbers (Bottom of Page)"/>
        <w:docPartUnique/>
      </w:docPartObj>
    </w:sdtPr>
    <w:sdtEndPr>
      <w:rPr>
        <w:noProof/>
        <w:color w:val="76923C" w:themeColor="accent3" w:themeShade="BF"/>
      </w:rPr>
    </w:sdtEndPr>
    <w:sdtContent>
      <w:p w:rsidR="00F74EED" w:rsidRPr="00556079" w:rsidRDefault="00F74EED">
        <w:pPr>
          <w:pStyle w:val="Footer"/>
          <w:jc w:val="center"/>
          <w:rPr>
            <w:color w:val="76923C" w:themeColor="accent3" w:themeShade="BF"/>
          </w:rPr>
        </w:pPr>
        <w:r w:rsidRPr="00556079">
          <w:rPr>
            <w:color w:val="76923C" w:themeColor="accent3" w:themeShade="BF"/>
          </w:rPr>
          <w:fldChar w:fldCharType="begin"/>
        </w:r>
        <w:r w:rsidRPr="00556079">
          <w:rPr>
            <w:color w:val="76923C" w:themeColor="accent3" w:themeShade="BF"/>
          </w:rPr>
          <w:instrText xml:space="preserve"> PAGE   \* MERGEFORMAT </w:instrText>
        </w:r>
        <w:r w:rsidRPr="00556079">
          <w:rPr>
            <w:color w:val="76923C" w:themeColor="accent3" w:themeShade="BF"/>
          </w:rPr>
          <w:fldChar w:fldCharType="separate"/>
        </w:r>
        <w:r w:rsidR="00494CDF">
          <w:rPr>
            <w:noProof/>
            <w:color w:val="76923C" w:themeColor="accent3" w:themeShade="BF"/>
          </w:rPr>
          <w:t>59</w:t>
        </w:r>
        <w:r w:rsidRPr="00556079">
          <w:rPr>
            <w:noProof/>
            <w:color w:val="76923C" w:themeColor="accent3" w:themeShade="BF"/>
          </w:rPr>
          <w:fldChar w:fldCharType="end"/>
        </w:r>
      </w:p>
    </w:sdtContent>
  </w:sdt>
  <w:p w:rsidR="00F74EED" w:rsidRPr="00556079" w:rsidRDefault="00F74EED" w:rsidP="00D829C6">
    <w:pPr>
      <w:ind w:firstLine="0"/>
      <w:rPr>
        <w:color w:val="76923C" w:themeColor="accent3"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FAF" w:rsidRDefault="00B95FAF" w:rsidP="00265292">
      <w:r>
        <w:separator/>
      </w:r>
    </w:p>
    <w:p w:rsidR="00B95FAF" w:rsidRDefault="00B95FAF" w:rsidP="00265292"/>
    <w:p w:rsidR="00B95FAF" w:rsidRDefault="00B95FAF"/>
  </w:footnote>
  <w:footnote w:type="continuationSeparator" w:id="0">
    <w:p w:rsidR="00B95FAF" w:rsidRDefault="00B95FAF" w:rsidP="00265292">
      <w:r>
        <w:continuationSeparator/>
      </w:r>
    </w:p>
    <w:p w:rsidR="00B95FAF" w:rsidRDefault="00B95FAF" w:rsidP="00265292"/>
    <w:p w:rsidR="00B95FAF" w:rsidRDefault="00B95FAF"/>
  </w:footnote>
  <w:footnote w:id="1">
    <w:p w:rsidR="00F74EED" w:rsidRPr="009D02F0" w:rsidRDefault="00F74EED" w:rsidP="00DA4377">
      <w:pPr>
        <w:pStyle w:val="FootnoteText"/>
        <w:ind w:firstLine="0"/>
        <w:rPr>
          <w:rFonts w:asciiTheme="majorHAnsi" w:eastAsia="Calibri" w:hAnsiTheme="majorHAnsi" w:cs="Times New Roman"/>
          <w:bCs w:val="0"/>
          <w:color w:val="7F7F7F" w:themeColor="text1" w:themeTint="80"/>
          <w:sz w:val="18"/>
          <w:szCs w:val="18"/>
        </w:rPr>
      </w:pPr>
      <w:r w:rsidRPr="009D02F0">
        <w:rPr>
          <w:rStyle w:val="FootnoteReference"/>
          <w:rFonts w:asciiTheme="majorHAnsi" w:hAnsiTheme="majorHAnsi" w:cs="Times New Roman"/>
          <w:color w:val="7F7F7F" w:themeColor="text1" w:themeTint="80"/>
          <w:sz w:val="18"/>
          <w:szCs w:val="18"/>
        </w:rPr>
        <w:footnoteRef/>
      </w:r>
      <w:r w:rsidRPr="009D02F0">
        <w:rPr>
          <w:rFonts w:asciiTheme="majorHAnsi" w:hAnsiTheme="majorHAnsi" w:cs="Times New Roman"/>
          <w:color w:val="7F7F7F" w:themeColor="text1" w:themeTint="80"/>
          <w:sz w:val="18"/>
          <w:szCs w:val="18"/>
        </w:rPr>
        <w:t xml:space="preserve"> </w:t>
      </w:r>
      <w:r w:rsidRPr="009D02F0">
        <w:rPr>
          <w:rFonts w:asciiTheme="majorHAnsi" w:eastAsia="Calibri" w:hAnsiTheme="majorHAnsi" w:cs="Times New Roman"/>
          <w:bCs w:val="0"/>
          <w:color w:val="7F7F7F" w:themeColor="text1" w:themeTint="80"/>
          <w:sz w:val="18"/>
          <w:szCs w:val="18"/>
        </w:rPr>
        <w:t>У 2013. години остварен је раст изнад потенцијалног, пре свега као последица добре пољопривредне сезоне и отварања нових капацитета у аутомобилској индустрији. Ту годину карактерише и намера да се, услед подбачаја на приходној страни, веће уштеде остваре на страни расхода, па долази до пада стварног и примарног дефицита.</w:t>
      </w:r>
    </w:p>
  </w:footnote>
  <w:footnote w:id="2">
    <w:p w:rsidR="00F74EED" w:rsidRPr="004414E9" w:rsidRDefault="00F74EED" w:rsidP="00DA4377">
      <w:pPr>
        <w:pStyle w:val="FootnoteText"/>
        <w:ind w:firstLine="0"/>
        <w:rPr>
          <w:rFonts w:ascii="Times New Roman" w:hAnsi="Times New Roman" w:cs="Times New Roman"/>
          <w:color w:val="auto"/>
          <w:szCs w:val="16"/>
        </w:rPr>
      </w:pPr>
      <w:r w:rsidRPr="009D02F0">
        <w:rPr>
          <w:rStyle w:val="FootnoteReference"/>
          <w:rFonts w:asciiTheme="majorHAnsi" w:hAnsiTheme="majorHAnsi" w:cs="Times New Roman"/>
          <w:color w:val="7F7F7F" w:themeColor="text1" w:themeTint="80"/>
          <w:sz w:val="18"/>
          <w:szCs w:val="18"/>
        </w:rPr>
        <w:footnoteRef/>
      </w:r>
      <w:r w:rsidRPr="009D02F0">
        <w:rPr>
          <w:rFonts w:asciiTheme="majorHAnsi" w:hAnsiTheme="majorHAnsi" w:cs="Times New Roman"/>
          <w:color w:val="7F7F7F" w:themeColor="text1" w:themeTint="80"/>
          <w:sz w:val="18"/>
          <w:szCs w:val="18"/>
        </w:rPr>
        <w:t xml:space="preserve"> </w:t>
      </w:r>
      <w:r w:rsidRPr="009D02F0">
        <w:rPr>
          <w:rFonts w:asciiTheme="majorHAnsi" w:eastAsia="Calibri" w:hAnsiTheme="majorHAnsi" w:cs="Times New Roman"/>
          <w:bCs w:val="0"/>
          <w:color w:val="7F7F7F" w:themeColor="text1" w:themeTint="80"/>
          <w:sz w:val="18"/>
          <w:szCs w:val="18"/>
        </w:rPr>
        <w:t>Треба напоменути да би из обрачуна структурног дефицита требало искључити све привремене и једнократне мере што у овом случају представљају и расходи за отпремнине.</w:t>
      </w:r>
    </w:p>
  </w:footnote>
  <w:footnote w:id="3">
    <w:p w:rsidR="00F74EED" w:rsidRPr="0016788F" w:rsidRDefault="00F74EED" w:rsidP="00DA4377">
      <w:pPr>
        <w:pStyle w:val="FootnoteText"/>
        <w:spacing w:after="0"/>
        <w:ind w:firstLine="0"/>
        <w:rPr>
          <w:sz w:val="18"/>
          <w:szCs w:val="18"/>
          <w:lang w:val="sr-Cyrl-RS"/>
        </w:rPr>
      </w:pPr>
      <w:r w:rsidRPr="0064076F">
        <w:rPr>
          <w:rStyle w:val="FootnoteReference"/>
          <w:color w:val="7F7F7F" w:themeColor="text1" w:themeTint="80"/>
          <w:sz w:val="18"/>
          <w:szCs w:val="18"/>
        </w:rPr>
        <w:footnoteRef/>
      </w:r>
      <w:r>
        <w:rPr>
          <w:color w:val="7F7F7F" w:themeColor="text1" w:themeTint="80"/>
          <w:sz w:val="18"/>
          <w:szCs w:val="18"/>
          <w:lang w:val="sr-Cyrl-RS"/>
        </w:rPr>
        <w:t xml:space="preserve"> </w:t>
      </w:r>
      <w:r w:rsidRPr="002436E0">
        <w:rPr>
          <w:color w:val="7F7F7F" w:themeColor="text1" w:themeTint="80"/>
          <w:sz w:val="18"/>
          <w:szCs w:val="18"/>
        </w:rPr>
        <w:t xml:space="preserve">За потребе састављања ове </w:t>
      </w:r>
      <w:r>
        <w:rPr>
          <w:color w:val="7F7F7F" w:themeColor="text1" w:themeTint="80"/>
          <w:sz w:val="18"/>
          <w:szCs w:val="18"/>
          <w:lang w:val="sr-Cyrl-RS"/>
        </w:rPr>
        <w:t>с</w:t>
      </w:r>
      <w:r w:rsidRPr="002436E0">
        <w:rPr>
          <w:color w:val="7F7F7F" w:themeColor="text1" w:themeTint="80"/>
          <w:sz w:val="18"/>
          <w:szCs w:val="18"/>
        </w:rPr>
        <w:t>тратегије, на стање јавног дуга централне државе (методологија коју дефинише Закон о јавном дугу) додате су и негарантоване обавезе јединица локалне самоуправе</w:t>
      </w:r>
      <w:r w:rsidRPr="002436E0">
        <w:rPr>
          <w:color w:val="7F7F7F" w:themeColor="text1" w:themeTint="80"/>
          <w:sz w:val="18"/>
          <w:szCs w:val="18"/>
          <w:lang w:val="sr-Cyrl-RS"/>
        </w:rPr>
        <w:t>, као и негарантоване обавезе Фонда за развој Републике Србије и ЈП „Путеви Србије</w:t>
      </w:r>
      <w:r>
        <w:rPr>
          <w:color w:val="7F7F7F" w:themeColor="text1" w:themeTint="80"/>
          <w:sz w:val="18"/>
          <w:szCs w:val="18"/>
          <w:lang w:val="sr-Cyrl-RS"/>
        </w:rPr>
        <w:t>”</w:t>
      </w:r>
      <w:r w:rsidRPr="00A9763F">
        <w:rPr>
          <w:color w:val="7F7F7F" w:themeColor="text1" w:themeTint="80"/>
          <w:sz w:val="18"/>
          <w:szCs w:val="18"/>
          <w:lang w:val="sr-Cyrl-RS"/>
        </w:rPr>
        <w:t>.</w:t>
      </w:r>
    </w:p>
  </w:footnote>
  <w:footnote w:id="4">
    <w:p w:rsidR="00F74EED" w:rsidRPr="009D02F0" w:rsidRDefault="00F74EED" w:rsidP="00DA4377">
      <w:pPr>
        <w:pStyle w:val="FootnoteText"/>
        <w:ind w:firstLine="0"/>
        <w:rPr>
          <w:rFonts w:asciiTheme="majorHAnsi" w:hAnsiTheme="majorHAnsi" w:cs="Times New Roman"/>
          <w:color w:val="7F7F7F" w:themeColor="text1" w:themeTint="80"/>
          <w:lang w:val="sr-Cyrl-RS"/>
        </w:rPr>
      </w:pPr>
      <w:r w:rsidRPr="009D02F0">
        <w:rPr>
          <w:rStyle w:val="FootnoteReference"/>
          <w:rFonts w:asciiTheme="majorHAnsi" w:hAnsiTheme="majorHAnsi" w:cs="Times New Roman"/>
          <w:color w:val="7F7F7F" w:themeColor="text1" w:themeTint="80"/>
          <w:sz w:val="18"/>
        </w:rPr>
        <w:footnoteRef/>
      </w:r>
      <w:r w:rsidRPr="009D02F0">
        <w:rPr>
          <w:rFonts w:asciiTheme="majorHAnsi" w:hAnsiTheme="majorHAnsi" w:cs="Times New Roman"/>
          <w:color w:val="7F7F7F" w:themeColor="text1" w:themeTint="80"/>
          <w:sz w:val="18"/>
        </w:rPr>
        <w:t xml:space="preserve"> </w:t>
      </w:r>
      <w:r w:rsidRPr="009D02F0">
        <w:rPr>
          <w:rFonts w:asciiTheme="majorHAnsi" w:hAnsiTheme="majorHAnsi" w:cs="Times New Roman"/>
          <w:color w:val="7F7F7F" w:themeColor="text1" w:themeTint="80"/>
          <w:sz w:val="18"/>
          <w:lang w:val="sr-Cyrl-RS"/>
        </w:rPr>
        <w:t>Укључујући негарантовани дуг јединица локалне власти, као и негарантовани дуг Фонда за развој и ЈП ,,Путеви Србије”.</w:t>
      </w:r>
    </w:p>
  </w:footnote>
  <w:footnote w:id="5">
    <w:p w:rsidR="00F74EED" w:rsidRPr="004E6DFF" w:rsidRDefault="00F74EED" w:rsidP="00BE6C21">
      <w:pPr>
        <w:pStyle w:val="FootnoteText"/>
        <w:spacing w:after="0"/>
        <w:ind w:firstLine="0"/>
        <w:rPr>
          <w:rStyle w:val="FootnoteReference"/>
          <w:rFonts w:ascii="Times New Roman" w:hAnsi="Times New Roman" w:cs="Times New Roman"/>
          <w:color w:val="auto"/>
          <w:sz w:val="18"/>
          <w:szCs w:val="18"/>
          <w:lang w:val="sr-Cyrl-RS" w:eastAsia="ko-KR"/>
        </w:rPr>
      </w:pPr>
      <w:r w:rsidRPr="009D02F0">
        <w:rPr>
          <w:rStyle w:val="FootnoteReference"/>
          <w:rFonts w:asciiTheme="majorHAnsi" w:hAnsiTheme="majorHAnsi" w:cs="Times New Roman"/>
          <w:color w:val="7F7F7F" w:themeColor="text1" w:themeTint="80"/>
          <w:sz w:val="18"/>
          <w:szCs w:val="18"/>
          <w:lang w:eastAsia="ko-KR"/>
        </w:rPr>
        <w:footnoteRef/>
      </w:r>
      <w:r w:rsidRPr="009D02F0">
        <w:rPr>
          <w:rFonts w:asciiTheme="majorHAnsi" w:hAnsiTheme="majorHAnsi" w:cs="Times New Roman"/>
          <w:color w:val="7F7F7F" w:themeColor="text1" w:themeTint="80"/>
          <w:sz w:val="18"/>
          <w:szCs w:val="18"/>
          <w:lang w:val="sr-Cyrl-RS"/>
        </w:rPr>
        <w:t xml:space="preserve"> </w:t>
      </w:r>
      <w:r w:rsidRPr="009D02F0">
        <w:rPr>
          <w:rFonts w:asciiTheme="majorHAnsi" w:hAnsiTheme="majorHAnsi" w:cs="Times New Roman"/>
          <w:color w:val="7F7F7F" w:themeColor="text1" w:themeTint="80"/>
          <w:sz w:val="18"/>
          <w:szCs w:val="18"/>
        </w:rPr>
        <w:t>Процена БДП обрачунатог по методологији ESA 2010</w:t>
      </w:r>
      <w:r w:rsidRPr="009D02F0">
        <w:rPr>
          <w:rFonts w:asciiTheme="majorHAnsi" w:hAnsiTheme="majorHAnsi" w:cs="Times New Roman"/>
          <w:color w:val="7F7F7F" w:themeColor="text1" w:themeTint="80"/>
          <w:sz w:val="18"/>
          <w:szCs w:val="18"/>
          <w:lang w:val="sr-Cyrl-RS"/>
        </w:rPr>
        <w:t xml:space="preserve"> – процена БДП за 2014. годину износи 3.884,0 млрд динара.</w:t>
      </w:r>
    </w:p>
  </w:footnote>
  <w:footnote w:id="6">
    <w:p w:rsidR="00F74EED" w:rsidRPr="00EB3261" w:rsidRDefault="00F74EED" w:rsidP="00171A80">
      <w:pPr>
        <w:pStyle w:val="FootnoteText"/>
        <w:spacing w:after="0"/>
        <w:ind w:firstLine="0"/>
        <w:rPr>
          <w:rFonts w:cs="Times New Roman"/>
          <w:color w:val="7F7F7F" w:themeColor="text1" w:themeTint="80"/>
          <w:sz w:val="18"/>
          <w:szCs w:val="18"/>
        </w:rPr>
      </w:pPr>
      <w:r w:rsidRPr="00EB3261">
        <w:rPr>
          <w:rStyle w:val="FootnoteReference"/>
          <w:rFonts w:cs="Times New Roman"/>
          <w:color w:val="7F7F7F" w:themeColor="text1" w:themeTint="80"/>
          <w:sz w:val="18"/>
          <w:szCs w:val="18"/>
        </w:rPr>
        <w:footnoteRef/>
      </w:r>
      <w:r>
        <w:rPr>
          <w:color w:val="7F7F7F" w:themeColor="text1" w:themeTint="80"/>
          <w:sz w:val="18"/>
          <w:szCs w:val="18"/>
          <w:lang w:val="sr-Cyrl-RS"/>
        </w:rPr>
        <w:t xml:space="preserve"> </w:t>
      </w:r>
      <w:r w:rsidRPr="00EB3261">
        <w:rPr>
          <w:color w:val="7F7F7F" w:themeColor="text1" w:themeTint="80"/>
          <w:sz w:val="18"/>
          <w:szCs w:val="18"/>
        </w:rPr>
        <w:t>Централни ниво власти укључује буџет Републике Србије, фондове обавезног социјалног осигурања и ЈП „Путев</w:t>
      </w:r>
      <w:r>
        <w:rPr>
          <w:color w:val="7F7F7F" w:themeColor="text1" w:themeTint="80"/>
          <w:sz w:val="18"/>
          <w:szCs w:val="18"/>
          <w:lang w:val="sr-Cyrl-RS"/>
        </w:rPr>
        <w:t>и</w:t>
      </w:r>
      <w:r w:rsidRPr="00EB3261">
        <w:rPr>
          <w:color w:val="7F7F7F" w:themeColor="text1" w:themeTint="80"/>
          <w:sz w:val="18"/>
          <w:szCs w:val="18"/>
        </w:rPr>
        <w:t xml:space="preserve"> Србије</w:t>
      </w:r>
      <w:r w:rsidRPr="00EB3261">
        <w:rPr>
          <w:color w:val="7F7F7F" w:themeColor="text1" w:themeTint="80"/>
          <w:sz w:val="18"/>
          <w:szCs w:val="18"/>
          <w:lang w:val="sr-Latn-CS"/>
        </w:rPr>
        <w:t>“</w:t>
      </w:r>
      <w:r w:rsidRPr="00EB3261">
        <w:rPr>
          <w:color w:val="7F7F7F" w:themeColor="text1" w:themeTint="80"/>
          <w:sz w:val="18"/>
          <w:szCs w:val="18"/>
        </w:rPr>
        <w:t>.</w:t>
      </w:r>
    </w:p>
  </w:footnote>
  <w:footnote w:id="7">
    <w:p w:rsidR="00F74EED" w:rsidRDefault="00F74EED" w:rsidP="00171A80">
      <w:pPr>
        <w:pStyle w:val="FootnoteText"/>
        <w:spacing w:after="0"/>
        <w:ind w:firstLine="0"/>
        <w:rPr>
          <w:color w:val="7F7F7F" w:themeColor="text1" w:themeTint="80"/>
          <w:sz w:val="18"/>
          <w:szCs w:val="18"/>
        </w:rPr>
      </w:pPr>
      <w:r>
        <w:rPr>
          <w:rStyle w:val="FootnoteReference"/>
          <w:color w:val="7F7F7F" w:themeColor="text1" w:themeTint="80"/>
          <w:sz w:val="18"/>
          <w:szCs w:val="18"/>
        </w:rPr>
        <w:footnoteRef/>
      </w:r>
      <w:r>
        <w:rPr>
          <w:color w:val="7F7F7F" w:themeColor="text1" w:themeTint="80"/>
          <w:sz w:val="18"/>
          <w:szCs w:val="18"/>
        </w:rPr>
        <w:t xml:space="preserve"> АТМ (</w:t>
      </w:r>
      <w:r>
        <w:rPr>
          <w:i/>
          <w:color w:val="7F7F7F" w:themeColor="text1" w:themeTint="80"/>
          <w:sz w:val="18"/>
          <w:szCs w:val="18"/>
        </w:rPr>
        <w:t>Average Time to Maturity</w:t>
      </w:r>
      <w:r>
        <w:rPr>
          <w:color w:val="7F7F7F" w:themeColor="text1" w:themeTint="80"/>
          <w:sz w:val="18"/>
          <w:szCs w:val="18"/>
        </w:rPr>
        <w:t>) - енглеска скраћеница за просечно време до доспећа.</w:t>
      </w:r>
    </w:p>
  </w:footnote>
  <w:footnote w:id="8">
    <w:p w:rsidR="00F74EED" w:rsidRDefault="00F74EED" w:rsidP="00171A80">
      <w:pPr>
        <w:pStyle w:val="FootnoteText"/>
        <w:spacing w:after="0"/>
        <w:ind w:firstLine="0"/>
      </w:pPr>
      <w:r>
        <w:rPr>
          <w:rStyle w:val="FootnoteReference"/>
          <w:color w:val="7F7F7F" w:themeColor="text1" w:themeTint="80"/>
          <w:sz w:val="18"/>
          <w:szCs w:val="18"/>
        </w:rPr>
        <w:footnoteRef/>
      </w:r>
      <w:r>
        <w:rPr>
          <w:color w:val="7F7F7F" w:themeColor="text1" w:themeTint="80"/>
          <w:sz w:val="18"/>
          <w:szCs w:val="18"/>
        </w:rPr>
        <w:t xml:space="preserve"> АТR (</w:t>
      </w:r>
      <w:r>
        <w:rPr>
          <w:i/>
          <w:color w:val="7F7F7F" w:themeColor="text1" w:themeTint="80"/>
          <w:sz w:val="18"/>
          <w:szCs w:val="18"/>
        </w:rPr>
        <w:t>Average Time to Refixing</w:t>
      </w:r>
      <w:r>
        <w:rPr>
          <w:color w:val="7F7F7F" w:themeColor="text1" w:themeTint="80"/>
          <w:sz w:val="18"/>
          <w:szCs w:val="18"/>
        </w:rPr>
        <w:t>) - енглеска скраћеница за просечно време до промене каматних стопа.</w:t>
      </w:r>
    </w:p>
  </w:footnote>
  <w:footnote w:id="9">
    <w:p w:rsidR="00F74EED" w:rsidRPr="009D02F0" w:rsidRDefault="00F74EED" w:rsidP="002A2FE2">
      <w:pPr>
        <w:pStyle w:val="FootnoteText"/>
        <w:spacing w:after="0"/>
        <w:ind w:firstLine="0"/>
        <w:rPr>
          <w:rFonts w:asciiTheme="majorHAnsi" w:hAnsiTheme="majorHAnsi" w:cs="Times New Roman"/>
          <w:color w:val="auto"/>
          <w:sz w:val="18"/>
          <w:szCs w:val="18"/>
          <w:lang w:val="sr-Cyrl-RS"/>
        </w:rPr>
      </w:pPr>
      <w:r w:rsidRPr="009D02F0">
        <w:rPr>
          <w:rStyle w:val="FootnoteReference"/>
          <w:rFonts w:asciiTheme="majorHAnsi" w:hAnsiTheme="majorHAnsi" w:cs="Times New Roman"/>
          <w:color w:val="7F7F7F" w:themeColor="text1" w:themeTint="80"/>
          <w:sz w:val="18"/>
          <w:szCs w:val="18"/>
        </w:rPr>
        <w:footnoteRef/>
      </w:r>
      <w:r w:rsidRPr="009D02F0">
        <w:rPr>
          <w:rFonts w:asciiTheme="majorHAnsi" w:hAnsiTheme="majorHAnsi" w:cs="Times New Roman"/>
          <w:color w:val="7F7F7F" w:themeColor="text1" w:themeTint="80"/>
          <w:sz w:val="18"/>
          <w:szCs w:val="18"/>
        </w:rPr>
        <w:t xml:space="preserve"> Неуједначен положај запослених на тржишту рада (нпр. формално и неформално запослени, радни однос на неодређено и одређено време итд.).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EED" w:rsidRPr="001B3484" w:rsidRDefault="00F74EED">
    <w:pPr>
      <w:pStyle w:val="Header"/>
      <w:tabs>
        <w:tab w:val="left" w:pos="2580"/>
        <w:tab w:val="left" w:pos="2985"/>
      </w:tabs>
      <w:spacing w:line="276" w:lineRule="auto"/>
      <w:jc w:val="right"/>
      <w:rPr>
        <w:b/>
        <w:bCs w:val="0"/>
        <w:color w:val="4F6228" w:themeColor="accent3" w:themeShade="80"/>
        <w:sz w:val="28"/>
        <w:szCs w:val="28"/>
      </w:rPr>
    </w:pPr>
    <w:r w:rsidRPr="001B3484">
      <w:rPr>
        <w:b/>
        <w:bCs w:val="0"/>
        <w:color w:val="4F6228" w:themeColor="accent3" w:themeShade="80"/>
        <w:sz w:val="28"/>
        <w:szCs w:val="28"/>
        <w:lang w:val="sr-Latn-CS"/>
      </w:rPr>
      <w:t>ФИСКАЛНА СТРАТЕГИЈА</w:t>
    </w:r>
  </w:p>
  <w:p w:rsidR="00F74EED" w:rsidRPr="00D829C6" w:rsidRDefault="00F74EED" w:rsidP="00D829C6">
    <w:pPr>
      <w:pStyle w:val="Header"/>
      <w:tabs>
        <w:tab w:val="left" w:pos="2580"/>
        <w:tab w:val="left" w:pos="2985"/>
      </w:tabs>
      <w:spacing w:line="276" w:lineRule="auto"/>
      <w:jc w:val="right"/>
      <w:rPr>
        <w:rFonts w:cs="Times New Roman"/>
        <w:b/>
        <w:bCs w:val="0"/>
        <w:color w:val="4F6228" w:themeColor="accent3" w:themeShade="80"/>
        <w:sz w:val="24"/>
        <w:lang w:bidi="en-US"/>
      </w:rPr>
    </w:pPr>
    <w:r w:rsidRPr="001B3484">
      <w:rPr>
        <w:rFonts w:cs="Times New Roman"/>
        <w:b/>
        <w:bCs w:val="0"/>
        <w:color w:val="4F6228" w:themeColor="accent3" w:themeShade="80"/>
        <w:sz w:val="24"/>
        <w:lang w:bidi="en-US"/>
      </w:rPr>
      <w:t>ЗА 2015. ГОДИНУ СА ПРОЈЕКЦИЈАМА ЗА 2016. И 2017. ГО</w:t>
    </w:r>
    <w:r>
      <w:rPr>
        <w:rFonts w:cs="Times New Roman"/>
        <w:b/>
        <w:bCs w:val="0"/>
        <w:color w:val="4F6228" w:themeColor="accent3" w:themeShade="80"/>
        <w:sz w:val="24"/>
        <w:lang w:bidi="en-US"/>
      </w:rPr>
      <w:t>ДИНУ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60D1"/>
    <w:multiLevelType w:val="hybridMultilevel"/>
    <w:tmpl w:val="DBE6CA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F7BFC"/>
    <w:multiLevelType w:val="hybridMultilevel"/>
    <w:tmpl w:val="B300A002"/>
    <w:lvl w:ilvl="0" w:tplc="01C8956E">
      <w:start w:val="1"/>
      <w:numFmt w:val="decimal"/>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D49FF"/>
    <w:multiLevelType w:val="hybridMultilevel"/>
    <w:tmpl w:val="20E0AD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C3F99"/>
    <w:multiLevelType w:val="hybridMultilevel"/>
    <w:tmpl w:val="47FAA5FC"/>
    <w:lvl w:ilvl="0" w:tplc="613215EA">
      <w:start w:val="1"/>
      <w:numFmt w:val="decimal"/>
      <w:lvlText w:val="%1)"/>
      <w:lvlJc w:val="left"/>
      <w:pPr>
        <w:ind w:left="1077" w:hanging="360"/>
      </w:pPr>
      <w:rPr>
        <w:rFonts w:asciiTheme="majorHAnsi" w:eastAsia="Times New Roman" w:hAnsiTheme="majorHAnsi" w:cs="Tahoma"/>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nsid w:val="1F2C0B78"/>
    <w:multiLevelType w:val="multilevel"/>
    <w:tmpl w:val="4A00635C"/>
    <w:lvl w:ilvl="0">
      <w:start w:val="1"/>
      <w:numFmt w:val="upperRoman"/>
      <w:pStyle w:val="Heading1"/>
      <w:lvlText w:val="%1."/>
      <w:lvlJc w:val="right"/>
      <w:pPr>
        <w:ind w:left="360" w:hanging="360"/>
      </w:pPr>
      <w:rPr>
        <w:b/>
        <w:color w:val="4F6228" w:themeColor="accent3" w:themeShade="8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F31591C"/>
    <w:multiLevelType w:val="hybridMultilevel"/>
    <w:tmpl w:val="FEC42968"/>
    <w:lvl w:ilvl="0" w:tplc="CF801F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5E6B4B"/>
    <w:multiLevelType w:val="hybridMultilevel"/>
    <w:tmpl w:val="B0DC5E86"/>
    <w:lvl w:ilvl="0" w:tplc="4A8E8B30">
      <w:start w:val="1"/>
      <w:numFmt w:val="decimal"/>
      <w:pStyle w:val="Heading3"/>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7E2B14"/>
    <w:multiLevelType w:val="hybridMultilevel"/>
    <w:tmpl w:val="D2D6EC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95C9F"/>
    <w:multiLevelType w:val="hybridMultilevel"/>
    <w:tmpl w:val="27C03B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4E0040"/>
    <w:multiLevelType w:val="hybridMultilevel"/>
    <w:tmpl w:val="A6301D36"/>
    <w:lvl w:ilvl="0" w:tplc="04090003">
      <w:start w:val="1"/>
      <w:numFmt w:val="bullet"/>
      <w:lvlText w:val="o"/>
      <w:lvlJc w:val="left"/>
      <w:pPr>
        <w:ind w:left="2146" w:hanging="360"/>
      </w:pPr>
      <w:rPr>
        <w:rFonts w:ascii="Courier New" w:hAnsi="Courier New" w:cs="Courier New" w:hint="default"/>
      </w:rPr>
    </w:lvl>
    <w:lvl w:ilvl="1" w:tplc="04090003" w:tentative="1">
      <w:start w:val="1"/>
      <w:numFmt w:val="bullet"/>
      <w:lvlText w:val="o"/>
      <w:lvlJc w:val="left"/>
      <w:pPr>
        <w:ind w:left="2866" w:hanging="360"/>
      </w:pPr>
      <w:rPr>
        <w:rFonts w:ascii="Courier New" w:hAnsi="Courier New" w:cs="Courier New" w:hint="default"/>
      </w:rPr>
    </w:lvl>
    <w:lvl w:ilvl="2" w:tplc="04090005" w:tentative="1">
      <w:start w:val="1"/>
      <w:numFmt w:val="bullet"/>
      <w:lvlText w:val=""/>
      <w:lvlJc w:val="left"/>
      <w:pPr>
        <w:ind w:left="3586" w:hanging="360"/>
      </w:pPr>
      <w:rPr>
        <w:rFonts w:ascii="Wingdings" w:hAnsi="Wingdings" w:hint="default"/>
      </w:rPr>
    </w:lvl>
    <w:lvl w:ilvl="3" w:tplc="04090001" w:tentative="1">
      <w:start w:val="1"/>
      <w:numFmt w:val="bullet"/>
      <w:lvlText w:val=""/>
      <w:lvlJc w:val="left"/>
      <w:pPr>
        <w:ind w:left="4306" w:hanging="360"/>
      </w:pPr>
      <w:rPr>
        <w:rFonts w:ascii="Symbol" w:hAnsi="Symbol" w:hint="default"/>
      </w:rPr>
    </w:lvl>
    <w:lvl w:ilvl="4" w:tplc="04090003" w:tentative="1">
      <w:start w:val="1"/>
      <w:numFmt w:val="bullet"/>
      <w:lvlText w:val="o"/>
      <w:lvlJc w:val="left"/>
      <w:pPr>
        <w:ind w:left="5026" w:hanging="360"/>
      </w:pPr>
      <w:rPr>
        <w:rFonts w:ascii="Courier New" w:hAnsi="Courier New" w:cs="Courier New" w:hint="default"/>
      </w:rPr>
    </w:lvl>
    <w:lvl w:ilvl="5" w:tplc="04090005" w:tentative="1">
      <w:start w:val="1"/>
      <w:numFmt w:val="bullet"/>
      <w:lvlText w:val=""/>
      <w:lvlJc w:val="left"/>
      <w:pPr>
        <w:ind w:left="5746" w:hanging="360"/>
      </w:pPr>
      <w:rPr>
        <w:rFonts w:ascii="Wingdings" w:hAnsi="Wingdings" w:hint="default"/>
      </w:rPr>
    </w:lvl>
    <w:lvl w:ilvl="6" w:tplc="04090001" w:tentative="1">
      <w:start w:val="1"/>
      <w:numFmt w:val="bullet"/>
      <w:lvlText w:val=""/>
      <w:lvlJc w:val="left"/>
      <w:pPr>
        <w:ind w:left="6466" w:hanging="360"/>
      </w:pPr>
      <w:rPr>
        <w:rFonts w:ascii="Symbol" w:hAnsi="Symbol" w:hint="default"/>
      </w:rPr>
    </w:lvl>
    <w:lvl w:ilvl="7" w:tplc="04090003" w:tentative="1">
      <w:start w:val="1"/>
      <w:numFmt w:val="bullet"/>
      <w:lvlText w:val="o"/>
      <w:lvlJc w:val="left"/>
      <w:pPr>
        <w:ind w:left="7186" w:hanging="360"/>
      </w:pPr>
      <w:rPr>
        <w:rFonts w:ascii="Courier New" w:hAnsi="Courier New" w:cs="Courier New" w:hint="default"/>
      </w:rPr>
    </w:lvl>
    <w:lvl w:ilvl="8" w:tplc="04090005" w:tentative="1">
      <w:start w:val="1"/>
      <w:numFmt w:val="bullet"/>
      <w:lvlText w:val=""/>
      <w:lvlJc w:val="left"/>
      <w:pPr>
        <w:ind w:left="7906" w:hanging="360"/>
      </w:pPr>
      <w:rPr>
        <w:rFonts w:ascii="Wingdings" w:hAnsi="Wingdings" w:hint="default"/>
      </w:rPr>
    </w:lvl>
  </w:abstractNum>
  <w:abstractNum w:abstractNumId="10">
    <w:nsid w:val="38FE286B"/>
    <w:multiLevelType w:val="hybridMultilevel"/>
    <w:tmpl w:val="D81644AA"/>
    <w:lvl w:ilvl="0" w:tplc="8D461734">
      <w:start w:val="1"/>
      <w:numFmt w:val="upperRoman"/>
      <w:pStyle w:val="IFS2012naslov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8D5360"/>
    <w:multiLevelType w:val="hybridMultilevel"/>
    <w:tmpl w:val="93BC02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D141B6"/>
    <w:multiLevelType w:val="hybridMultilevel"/>
    <w:tmpl w:val="699010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F52F0E"/>
    <w:multiLevelType w:val="multilevel"/>
    <w:tmpl w:val="F020B718"/>
    <w:lvl w:ilvl="0">
      <w:start w:val="1"/>
      <w:numFmt w:val="decimal"/>
      <w:pStyle w:val="Heading2"/>
      <w:lvlText w:val="%1."/>
      <w:lvlJc w:val="left"/>
      <w:pPr>
        <w:ind w:left="720" w:hanging="360"/>
      </w:pPr>
      <w:rPr>
        <w:rFonts w:ascii="Cambria" w:hAnsi="Cambria" w:cs="Times New Roman" w:hint="default"/>
        <w:b w:val="0"/>
        <w:bCs w:val="0"/>
        <w:i w:val="0"/>
        <w:iCs w:val="0"/>
        <w:caps w:val="0"/>
        <w:smallCaps w:val="0"/>
        <w:strike w:val="0"/>
        <w:dstrike w:val="0"/>
        <w:noProof w:val="0"/>
        <w:snapToGrid w:val="0"/>
        <w:vanish w:val="0"/>
        <w:color w:val="9BBB59" w:themeColor="accent3"/>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D2A0BDB"/>
    <w:multiLevelType w:val="hybridMultilevel"/>
    <w:tmpl w:val="293C40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E86480"/>
    <w:multiLevelType w:val="hybridMultilevel"/>
    <w:tmpl w:val="83C0F9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2B7286"/>
    <w:multiLevelType w:val="hybridMultilevel"/>
    <w:tmpl w:val="78A011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8BB52CA"/>
    <w:multiLevelType w:val="hybridMultilevel"/>
    <w:tmpl w:val="CA0E0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40771A"/>
    <w:multiLevelType w:val="hybridMultilevel"/>
    <w:tmpl w:val="FB4072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790E7C"/>
    <w:multiLevelType w:val="hybridMultilevel"/>
    <w:tmpl w:val="D61C85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1967C1"/>
    <w:multiLevelType w:val="hybridMultilevel"/>
    <w:tmpl w:val="6EA4ED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1368C2"/>
    <w:multiLevelType w:val="hybridMultilevel"/>
    <w:tmpl w:val="6108FC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E2090C"/>
    <w:multiLevelType w:val="hybridMultilevel"/>
    <w:tmpl w:val="78A4AA84"/>
    <w:lvl w:ilvl="0" w:tplc="04090003">
      <w:start w:val="1"/>
      <w:numFmt w:val="bullet"/>
      <w:lvlText w:val="o"/>
      <w:lvlJc w:val="left"/>
      <w:pPr>
        <w:ind w:left="720" w:hanging="360"/>
      </w:pPr>
      <w:rPr>
        <w:rFonts w:ascii="Courier New" w:hAnsi="Courier New" w:cs="Courier New" w:hint="default"/>
      </w:rPr>
    </w:lvl>
    <w:lvl w:ilvl="1" w:tplc="1BE45D64">
      <w:numFmt w:val="bullet"/>
      <w:lvlText w:val="•"/>
      <w:lvlJc w:val="left"/>
      <w:pPr>
        <w:ind w:left="1785" w:hanging="705"/>
      </w:pPr>
      <w:rPr>
        <w:rFonts w:ascii="Cambria" w:eastAsia="Calibri" w:hAnsi="Cambri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6E3C76"/>
    <w:multiLevelType w:val="hybridMultilevel"/>
    <w:tmpl w:val="5F04860E"/>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768E6A0F"/>
    <w:multiLevelType w:val="hybridMultilevel"/>
    <w:tmpl w:val="454021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7653A56"/>
    <w:multiLevelType w:val="hybridMultilevel"/>
    <w:tmpl w:val="CE4001F8"/>
    <w:lvl w:ilvl="0" w:tplc="F650F4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D63C40"/>
    <w:multiLevelType w:val="hybridMultilevel"/>
    <w:tmpl w:val="66B6E1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A90295"/>
    <w:multiLevelType w:val="hybridMultilevel"/>
    <w:tmpl w:val="6122B0FA"/>
    <w:lvl w:ilvl="0" w:tplc="04090003">
      <w:start w:val="1"/>
      <w:numFmt w:val="bullet"/>
      <w:lvlText w:val="o"/>
      <w:lvlJc w:val="left"/>
      <w:pPr>
        <w:ind w:left="1426" w:hanging="360"/>
      </w:pPr>
      <w:rPr>
        <w:rFonts w:ascii="Courier New" w:hAnsi="Courier New" w:cs="Courier New"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num w:numId="1">
    <w:abstractNumId w:val="4"/>
  </w:num>
  <w:num w:numId="2">
    <w:abstractNumId w:val="13"/>
  </w:num>
  <w:num w:numId="3">
    <w:abstractNumId w:val="6"/>
  </w:num>
  <w:num w:numId="4">
    <w:abstractNumId w:val="20"/>
  </w:num>
  <w:num w:numId="5">
    <w:abstractNumId w:val="18"/>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
  </w:num>
  <w:num w:numId="9">
    <w:abstractNumId w:val="1"/>
  </w:num>
  <w:num w:numId="10">
    <w:abstractNumId w:val="25"/>
  </w:num>
  <w:num w:numId="11">
    <w:abstractNumId w:val="7"/>
  </w:num>
  <w:num w:numId="12">
    <w:abstractNumId w:val="14"/>
  </w:num>
  <w:num w:numId="13">
    <w:abstractNumId w:val="11"/>
  </w:num>
  <w:num w:numId="14">
    <w:abstractNumId w:val="22"/>
  </w:num>
  <w:num w:numId="15">
    <w:abstractNumId w:val="24"/>
  </w:num>
  <w:num w:numId="16">
    <w:abstractNumId w:val="23"/>
  </w:num>
  <w:num w:numId="17">
    <w:abstractNumId w:val="15"/>
  </w:num>
  <w:num w:numId="18">
    <w:abstractNumId w:val="5"/>
  </w:num>
  <w:num w:numId="19">
    <w:abstractNumId w:val="17"/>
  </w:num>
  <w:num w:numId="20">
    <w:abstractNumId w:val="10"/>
  </w:num>
  <w:num w:numId="21">
    <w:abstractNumId w:val="26"/>
  </w:num>
  <w:num w:numId="22">
    <w:abstractNumId w:val="3"/>
  </w:num>
  <w:num w:numId="23">
    <w:abstractNumId w:val="12"/>
  </w:num>
  <w:num w:numId="24">
    <w:abstractNumId w:val="9"/>
  </w:num>
  <w:num w:numId="25">
    <w:abstractNumId w:val="27"/>
  </w:num>
  <w:num w:numId="26">
    <w:abstractNumId w:val="8"/>
  </w:num>
  <w:num w:numId="27">
    <w:abstractNumId w:val="0"/>
  </w:num>
  <w:num w:numId="28">
    <w:abstractNumId w:val="19"/>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efaultTableStyle w:val="LightShading-Accent1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F22"/>
    <w:rsid w:val="00000508"/>
    <w:rsid w:val="000010F4"/>
    <w:rsid w:val="00002CF9"/>
    <w:rsid w:val="0000310B"/>
    <w:rsid w:val="000035AB"/>
    <w:rsid w:val="00003BDB"/>
    <w:rsid w:val="00003F06"/>
    <w:rsid w:val="0000401E"/>
    <w:rsid w:val="00004E67"/>
    <w:rsid w:val="0000541D"/>
    <w:rsid w:val="00005A67"/>
    <w:rsid w:val="00005E89"/>
    <w:rsid w:val="00006302"/>
    <w:rsid w:val="00007312"/>
    <w:rsid w:val="0001020D"/>
    <w:rsid w:val="00011173"/>
    <w:rsid w:val="0001184D"/>
    <w:rsid w:val="00011884"/>
    <w:rsid w:val="000123A2"/>
    <w:rsid w:val="0001287D"/>
    <w:rsid w:val="00012E08"/>
    <w:rsid w:val="00012F21"/>
    <w:rsid w:val="000132E2"/>
    <w:rsid w:val="000138A3"/>
    <w:rsid w:val="000145F7"/>
    <w:rsid w:val="00015F1F"/>
    <w:rsid w:val="00016574"/>
    <w:rsid w:val="00016A3B"/>
    <w:rsid w:val="00016F4F"/>
    <w:rsid w:val="00017A0D"/>
    <w:rsid w:val="00022308"/>
    <w:rsid w:val="00022A2B"/>
    <w:rsid w:val="00023486"/>
    <w:rsid w:val="000239E5"/>
    <w:rsid w:val="00023D28"/>
    <w:rsid w:val="000249DE"/>
    <w:rsid w:val="00025026"/>
    <w:rsid w:val="00025512"/>
    <w:rsid w:val="00025FB1"/>
    <w:rsid w:val="00026538"/>
    <w:rsid w:val="0002681A"/>
    <w:rsid w:val="00026FB8"/>
    <w:rsid w:val="000270A8"/>
    <w:rsid w:val="0003072A"/>
    <w:rsid w:val="0003336E"/>
    <w:rsid w:val="00033C88"/>
    <w:rsid w:val="00033F02"/>
    <w:rsid w:val="000344D7"/>
    <w:rsid w:val="00034E69"/>
    <w:rsid w:val="00035AA1"/>
    <w:rsid w:val="000368E9"/>
    <w:rsid w:val="00037B79"/>
    <w:rsid w:val="00037C2D"/>
    <w:rsid w:val="00040059"/>
    <w:rsid w:val="000403DD"/>
    <w:rsid w:val="0004115D"/>
    <w:rsid w:val="0004159A"/>
    <w:rsid w:val="00041677"/>
    <w:rsid w:val="00041BFF"/>
    <w:rsid w:val="0004234F"/>
    <w:rsid w:val="000431E8"/>
    <w:rsid w:val="000435E1"/>
    <w:rsid w:val="0004400A"/>
    <w:rsid w:val="000444BF"/>
    <w:rsid w:val="00044B42"/>
    <w:rsid w:val="00044EE8"/>
    <w:rsid w:val="00045023"/>
    <w:rsid w:val="0004520D"/>
    <w:rsid w:val="00045214"/>
    <w:rsid w:val="000465BF"/>
    <w:rsid w:val="0004728A"/>
    <w:rsid w:val="00047BC7"/>
    <w:rsid w:val="00050977"/>
    <w:rsid w:val="000525F8"/>
    <w:rsid w:val="000527C7"/>
    <w:rsid w:val="00052851"/>
    <w:rsid w:val="000529CA"/>
    <w:rsid w:val="00052B75"/>
    <w:rsid w:val="00052CE7"/>
    <w:rsid w:val="00052F7E"/>
    <w:rsid w:val="0005429F"/>
    <w:rsid w:val="000545F9"/>
    <w:rsid w:val="0005474A"/>
    <w:rsid w:val="00055204"/>
    <w:rsid w:val="00055497"/>
    <w:rsid w:val="00055694"/>
    <w:rsid w:val="00055E53"/>
    <w:rsid w:val="00055F8C"/>
    <w:rsid w:val="000560A2"/>
    <w:rsid w:val="000567B2"/>
    <w:rsid w:val="00056849"/>
    <w:rsid w:val="0005794A"/>
    <w:rsid w:val="0006017D"/>
    <w:rsid w:val="00060309"/>
    <w:rsid w:val="00060648"/>
    <w:rsid w:val="0006073C"/>
    <w:rsid w:val="00061027"/>
    <w:rsid w:val="00061752"/>
    <w:rsid w:val="00062277"/>
    <w:rsid w:val="00062B9F"/>
    <w:rsid w:val="00062C5A"/>
    <w:rsid w:val="00062C7E"/>
    <w:rsid w:val="00062DD1"/>
    <w:rsid w:val="0006391E"/>
    <w:rsid w:val="00063E7D"/>
    <w:rsid w:val="000645E9"/>
    <w:rsid w:val="00064C2A"/>
    <w:rsid w:val="00064C51"/>
    <w:rsid w:val="0006511E"/>
    <w:rsid w:val="00065923"/>
    <w:rsid w:val="00065DF3"/>
    <w:rsid w:val="00065F1F"/>
    <w:rsid w:val="0006645B"/>
    <w:rsid w:val="0006798F"/>
    <w:rsid w:val="00067DE1"/>
    <w:rsid w:val="000706A8"/>
    <w:rsid w:val="00070F46"/>
    <w:rsid w:val="00071B37"/>
    <w:rsid w:val="00071F52"/>
    <w:rsid w:val="00072013"/>
    <w:rsid w:val="000727D6"/>
    <w:rsid w:val="000728DC"/>
    <w:rsid w:val="00072E69"/>
    <w:rsid w:val="000745F8"/>
    <w:rsid w:val="000751EB"/>
    <w:rsid w:val="00075392"/>
    <w:rsid w:val="000757D1"/>
    <w:rsid w:val="00075926"/>
    <w:rsid w:val="00075F82"/>
    <w:rsid w:val="00076216"/>
    <w:rsid w:val="00076388"/>
    <w:rsid w:val="00076534"/>
    <w:rsid w:val="00076CE3"/>
    <w:rsid w:val="00076EF3"/>
    <w:rsid w:val="00076F8A"/>
    <w:rsid w:val="000801A4"/>
    <w:rsid w:val="0008038F"/>
    <w:rsid w:val="00081258"/>
    <w:rsid w:val="000817F4"/>
    <w:rsid w:val="00081DBA"/>
    <w:rsid w:val="000821CA"/>
    <w:rsid w:val="000825A4"/>
    <w:rsid w:val="000828D4"/>
    <w:rsid w:val="0008385B"/>
    <w:rsid w:val="000848A6"/>
    <w:rsid w:val="000903F1"/>
    <w:rsid w:val="000913F2"/>
    <w:rsid w:val="00091556"/>
    <w:rsid w:val="00091BA6"/>
    <w:rsid w:val="0009241C"/>
    <w:rsid w:val="000926DB"/>
    <w:rsid w:val="000927AE"/>
    <w:rsid w:val="00093147"/>
    <w:rsid w:val="000944EA"/>
    <w:rsid w:val="000956CE"/>
    <w:rsid w:val="00095B12"/>
    <w:rsid w:val="0009692E"/>
    <w:rsid w:val="000970EC"/>
    <w:rsid w:val="000975E6"/>
    <w:rsid w:val="000A04FB"/>
    <w:rsid w:val="000A12B5"/>
    <w:rsid w:val="000A1D23"/>
    <w:rsid w:val="000A1FB0"/>
    <w:rsid w:val="000A1FCE"/>
    <w:rsid w:val="000A231A"/>
    <w:rsid w:val="000A2F9D"/>
    <w:rsid w:val="000A30C5"/>
    <w:rsid w:val="000A4167"/>
    <w:rsid w:val="000A4392"/>
    <w:rsid w:val="000A45B0"/>
    <w:rsid w:val="000A66A3"/>
    <w:rsid w:val="000A6F64"/>
    <w:rsid w:val="000A7CB4"/>
    <w:rsid w:val="000A7D69"/>
    <w:rsid w:val="000B10F3"/>
    <w:rsid w:val="000B186D"/>
    <w:rsid w:val="000B1C6A"/>
    <w:rsid w:val="000B1F0F"/>
    <w:rsid w:val="000B2173"/>
    <w:rsid w:val="000B260E"/>
    <w:rsid w:val="000B369D"/>
    <w:rsid w:val="000B53D3"/>
    <w:rsid w:val="000B53DF"/>
    <w:rsid w:val="000B5A91"/>
    <w:rsid w:val="000B6D12"/>
    <w:rsid w:val="000B70CD"/>
    <w:rsid w:val="000B7732"/>
    <w:rsid w:val="000B7DE4"/>
    <w:rsid w:val="000C0540"/>
    <w:rsid w:val="000C0A48"/>
    <w:rsid w:val="000C1291"/>
    <w:rsid w:val="000C1661"/>
    <w:rsid w:val="000C1921"/>
    <w:rsid w:val="000C2AF0"/>
    <w:rsid w:val="000C2C97"/>
    <w:rsid w:val="000C30FE"/>
    <w:rsid w:val="000C42E4"/>
    <w:rsid w:val="000C436C"/>
    <w:rsid w:val="000C43B6"/>
    <w:rsid w:val="000C4436"/>
    <w:rsid w:val="000C507A"/>
    <w:rsid w:val="000C5315"/>
    <w:rsid w:val="000C64D8"/>
    <w:rsid w:val="000C6CD0"/>
    <w:rsid w:val="000C6FC1"/>
    <w:rsid w:val="000D0D15"/>
    <w:rsid w:val="000D0F59"/>
    <w:rsid w:val="000D1A05"/>
    <w:rsid w:val="000D1E2B"/>
    <w:rsid w:val="000D32C0"/>
    <w:rsid w:val="000D3620"/>
    <w:rsid w:val="000D3978"/>
    <w:rsid w:val="000D39D0"/>
    <w:rsid w:val="000D3C08"/>
    <w:rsid w:val="000D3EA8"/>
    <w:rsid w:val="000D3F57"/>
    <w:rsid w:val="000D4DF7"/>
    <w:rsid w:val="000D54A9"/>
    <w:rsid w:val="000D581B"/>
    <w:rsid w:val="000D5979"/>
    <w:rsid w:val="000D612B"/>
    <w:rsid w:val="000D624A"/>
    <w:rsid w:val="000D6AC8"/>
    <w:rsid w:val="000D6C43"/>
    <w:rsid w:val="000D723C"/>
    <w:rsid w:val="000D746E"/>
    <w:rsid w:val="000D7681"/>
    <w:rsid w:val="000E06BE"/>
    <w:rsid w:val="000E0CD7"/>
    <w:rsid w:val="000E0EA1"/>
    <w:rsid w:val="000E0EF3"/>
    <w:rsid w:val="000E1603"/>
    <w:rsid w:val="000E1852"/>
    <w:rsid w:val="000E2A69"/>
    <w:rsid w:val="000E3B33"/>
    <w:rsid w:val="000E50AF"/>
    <w:rsid w:val="000E56BC"/>
    <w:rsid w:val="000E5A59"/>
    <w:rsid w:val="000E70BC"/>
    <w:rsid w:val="000F00B1"/>
    <w:rsid w:val="000F0762"/>
    <w:rsid w:val="000F136B"/>
    <w:rsid w:val="000F1395"/>
    <w:rsid w:val="000F18DB"/>
    <w:rsid w:val="000F2424"/>
    <w:rsid w:val="000F2819"/>
    <w:rsid w:val="000F3051"/>
    <w:rsid w:val="000F3205"/>
    <w:rsid w:val="000F3741"/>
    <w:rsid w:val="000F4E4D"/>
    <w:rsid w:val="000F6004"/>
    <w:rsid w:val="000F6116"/>
    <w:rsid w:val="000F63CB"/>
    <w:rsid w:val="000F67CA"/>
    <w:rsid w:val="000F725D"/>
    <w:rsid w:val="00100FB1"/>
    <w:rsid w:val="00101AF7"/>
    <w:rsid w:val="00101C94"/>
    <w:rsid w:val="0010200F"/>
    <w:rsid w:val="001028BD"/>
    <w:rsid w:val="001037CD"/>
    <w:rsid w:val="00103D11"/>
    <w:rsid w:val="001044A0"/>
    <w:rsid w:val="00106749"/>
    <w:rsid w:val="001067B8"/>
    <w:rsid w:val="00106BC7"/>
    <w:rsid w:val="00106ED1"/>
    <w:rsid w:val="00106FA4"/>
    <w:rsid w:val="001070EC"/>
    <w:rsid w:val="00107372"/>
    <w:rsid w:val="001100B3"/>
    <w:rsid w:val="00112402"/>
    <w:rsid w:val="00113EDA"/>
    <w:rsid w:val="00113FD6"/>
    <w:rsid w:val="00114901"/>
    <w:rsid w:val="001149A6"/>
    <w:rsid w:val="00114B6B"/>
    <w:rsid w:val="0011561C"/>
    <w:rsid w:val="001163B5"/>
    <w:rsid w:val="00116560"/>
    <w:rsid w:val="00116FE1"/>
    <w:rsid w:val="0011798A"/>
    <w:rsid w:val="001206CD"/>
    <w:rsid w:val="00120ACB"/>
    <w:rsid w:val="00120FD8"/>
    <w:rsid w:val="00121113"/>
    <w:rsid w:val="001215CE"/>
    <w:rsid w:val="00121B26"/>
    <w:rsid w:val="00122E33"/>
    <w:rsid w:val="001237AB"/>
    <w:rsid w:val="00124C87"/>
    <w:rsid w:val="00124FB7"/>
    <w:rsid w:val="001251FF"/>
    <w:rsid w:val="00125553"/>
    <w:rsid w:val="00125DE8"/>
    <w:rsid w:val="001273B3"/>
    <w:rsid w:val="001278D3"/>
    <w:rsid w:val="00127956"/>
    <w:rsid w:val="0013074E"/>
    <w:rsid w:val="00130B65"/>
    <w:rsid w:val="00130BD7"/>
    <w:rsid w:val="001310E9"/>
    <w:rsid w:val="001319BA"/>
    <w:rsid w:val="00131D8C"/>
    <w:rsid w:val="0013282F"/>
    <w:rsid w:val="00133238"/>
    <w:rsid w:val="001332F4"/>
    <w:rsid w:val="00133739"/>
    <w:rsid w:val="001342CF"/>
    <w:rsid w:val="0013458C"/>
    <w:rsid w:val="00135644"/>
    <w:rsid w:val="00135F28"/>
    <w:rsid w:val="00136D9D"/>
    <w:rsid w:val="00137C86"/>
    <w:rsid w:val="001403FA"/>
    <w:rsid w:val="0014050C"/>
    <w:rsid w:val="00140DCA"/>
    <w:rsid w:val="00141A76"/>
    <w:rsid w:val="0014244D"/>
    <w:rsid w:val="0014274E"/>
    <w:rsid w:val="00142BA4"/>
    <w:rsid w:val="00142BE0"/>
    <w:rsid w:val="00142C9F"/>
    <w:rsid w:val="00142EA5"/>
    <w:rsid w:val="00143398"/>
    <w:rsid w:val="0014363D"/>
    <w:rsid w:val="001447B1"/>
    <w:rsid w:val="0014502C"/>
    <w:rsid w:val="00145508"/>
    <w:rsid w:val="00146E2F"/>
    <w:rsid w:val="00150041"/>
    <w:rsid w:val="001508F1"/>
    <w:rsid w:val="00151834"/>
    <w:rsid w:val="00151F07"/>
    <w:rsid w:val="0015222D"/>
    <w:rsid w:val="001528C1"/>
    <w:rsid w:val="00152F13"/>
    <w:rsid w:val="001544C7"/>
    <w:rsid w:val="00155924"/>
    <w:rsid w:val="00155CE9"/>
    <w:rsid w:val="00155E82"/>
    <w:rsid w:val="00156CC1"/>
    <w:rsid w:val="00156CF5"/>
    <w:rsid w:val="00156D0A"/>
    <w:rsid w:val="00157B56"/>
    <w:rsid w:val="001603D0"/>
    <w:rsid w:val="00160D4B"/>
    <w:rsid w:val="00161296"/>
    <w:rsid w:val="00161960"/>
    <w:rsid w:val="00162107"/>
    <w:rsid w:val="00162179"/>
    <w:rsid w:val="00162C8E"/>
    <w:rsid w:val="00163FEF"/>
    <w:rsid w:val="00164452"/>
    <w:rsid w:val="001648C2"/>
    <w:rsid w:val="00165967"/>
    <w:rsid w:val="001668C7"/>
    <w:rsid w:val="001672BE"/>
    <w:rsid w:val="0016755D"/>
    <w:rsid w:val="0016766E"/>
    <w:rsid w:val="00167D68"/>
    <w:rsid w:val="00170059"/>
    <w:rsid w:val="00170549"/>
    <w:rsid w:val="0017102B"/>
    <w:rsid w:val="001719D7"/>
    <w:rsid w:val="00171A80"/>
    <w:rsid w:val="00171E80"/>
    <w:rsid w:val="00171EB7"/>
    <w:rsid w:val="0017208C"/>
    <w:rsid w:val="00172329"/>
    <w:rsid w:val="00172491"/>
    <w:rsid w:val="00172F7E"/>
    <w:rsid w:val="00173419"/>
    <w:rsid w:val="001738AF"/>
    <w:rsid w:val="00173A9C"/>
    <w:rsid w:val="00173CFB"/>
    <w:rsid w:val="00174285"/>
    <w:rsid w:val="00175554"/>
    <w:rsid w:val="00176113"/>
    <w:rsid w:val="00176E0E"/>
    <w:rsid w:val="001771F9"/>
    <w:rsid w:val="00177393"/>
    <w:rsid w:val="001809CE"/>
    <w:rsid w:val="00181195"/>
    <w:rsid w:val="0018167D"/>
    <w:rsid w:val="0018191F"/>
    <w:rsid w:val="00181E08"/>
    <w:rsid w:val="00181F0A"/>
    <w:rsid w:val="0018210B"/>
    <w:rsid w:val="001826C9"/>
    <w:rsid w:val="001844C1"/>
    <w:rsid w:val="00184992"/>
    <w:rsid w:val="00185897"/>
    <w:rsid w:val="001861C8"/>
    <w:rsid w:val="00186AE1"/>
    <w:rsid w:val="00186B77"/>
    <w:rsid w:val="001871E1"/>
    <w:rsid w:val="00190D2D"/>
    <w:rsid w:val="0019179C"/>
    <w:rsid w:val="00192633"/>
    <w:rsid w:val="001927BD"/>
    <w:rsid w:val="00193078"/>
    <w:rsid w:val="00193553"/>
    <w:rsid w:val="00193704"/>
    <w:rsid w:val="00193707"/>
    <w:rsid w:val="00193D27"/>
    <w:rsid w:val="0019413B"/>
    <w:rsid w:val="0019499F"/>
    <w:rsid w:val="00194BE1"/>
    <w:rsid w:val="001956C9"/>
    <w:rsid w:val="00195D6A"/>
    <w:rsid w:val="00196BA5"/>
    <w:rsid w:val="0019718A"/>
    <w:rsid w:val="00197493"/>
    <w:rsid w:val="00197D7D"/>
    <w:rsid w:val="00197DDD"/>
    <w:rsid w:val="001A057B"/>
    <w:rsid w:val="001A07D3"/>
    <w:rsid w:val="001A11A0"/>
    <w:rsid w:val="001A15C8"/>
    <w:rsid w:val="001A21F2"/>
    <w:rsid w:val="001A233A"/>
    <w:rsid w:val="001A2DAC"/>
    <w:rsid w:val="001A4181"/>
    <w:rsid w:val="001A4477"/>
    <w:rsid w:val="001A45A9"/>
    <w:rsid w:val="001A49AA"/>
    <w:rsid w:val="001A5650"/>
    <w:rsid w:val="001A605E"/>
    <w:rsid w:val="001A632E"/>
    <w:rsid w:val="001A6443"/>
    <w:rsid w:val="001A6B64"/>
    <w:rsid w:val="001A6EAB"/>
    <w:rsid w:val="001B0960"/>
    <w:rsid w:val="001B1F16"/>
    <w:rsid w:val="001B23E6"/>
    <w:rsid w:val="001B3484"/>
    <w:rsid w:val="001B62C6"/>
    <w:rsid w:val="001B6B3A"/>
    <w:rsid w:val="001B6BFF"/>
    <w:rsid w:val="001B71C3"/>
    <w:rsid w:val="001B7208"/>
    <w:rsid w:val="001B7634"/>
    <w:rsid w:val="001C01A3"/>
    <w:rsid w:val="001C0E0E"/>
    <w:rsid w:val="001C1114"/>
    <w:rsid w:val="001C265B"/>
    <w:rsid w:val="001C2816"/>
    <w:rsid w:val="001C2ABF"/>
    <w:rsid w:val="001C4B30"/>
    <w:rsid w:val="001C4F44"/>
    <w:rsid w:val="001C50F4"/>
    <w:rsid w:val="001C52FD"/>
    <w:rsid w:val="001C622B"/>
    <w:rsid w:val="001C623E"/>
    <w:rsid w:val="001C6517"/>
    <w:rsid w:val="001C7473"/>
    <w:rsid w:val="001C75D4"/>
    <w:rsid w:val="001D0153"/>
    <w:rsid w:val="001D0498"/>
    <w:rsid w:val="001D05BC"/>
    <w:rsid w:val="001D0D19"/>
    <w:rsid w:val="001D26AB"/>
    <w:rsid w:val="001D2ED3"/>
    <w:rsid w:val="001D3332"/>
    <w:rsid w:val="001D36CF"/>
    <w:rsid w:val="001D44A5"/>
    <w:rsid w:val="001D471A"/>
    <w:rsid w:val="001D5148"/>
    <w:rsid w:val="001D53E2"/>
    <w:rsid w:val="001D5CAE"/>
    <w:rsid w:val="001D6261"/>
    <w:rsid w:val="001D6CA5"/>
    <w:rsid w:val="001E002D"/>
    <w:rsid w:val="001E0031"/>
    <w:rsid w:val="001E034B"/>
    <w:rsid w:val="001E076D"/>
    <w:rsid w:val="001E0C8F"/>
    <w:rsid w:val="001E16C5"/>
    <w:rsid w:val="001E17AF"/>
    <w:rsid w:val="001E17C2"/>
    <w:rsid w:val="001E1BC3"/>
    <w:rsid w:val="001E1C5B"/>
    <w:rsid w:val="001E1FB5"/>
    <w:rsid w:val="001E2551"/>
    <w:rsid w:val="001E29E6"/>
    <w:rsid w:val="001E2D6D"/>
    <w:rsid w:val="001E2F33"/>
    <w:rsid w:val="001E34A9"/>
    <w:rsid w:val="001E39AC"/>
    <w:rsid w:val="001E4805"/>
    <w:rsid w:val="001E4AB2"/>
    <w:rsid w:val="001E4F9B"/>
    <w:rsid w:val="001E5181"/>
    <w:rsid w:val="001E5A94"/>
    <w:rsid w:val="001E5C07"/>
    <w:rsid w:val="001E5C38"/>
    <w:rsid w:val="001E62A1"/>
    <w:rsid w:val="001E68D7"/>
    <w:rsid w:val="001E6B8B"/>
    <w:rsid w:val="001E6D76"/>
    <w:rsid w:val="001E6D8A"/>
    <w:rsid w:val="001E6EFB"/>
    <w:rsid w:val="001E7902"/>
    <w:rsid w:val="001F0087"/>
    <w:rsid w:val="001F0805"/>
    <w:rsid w:val="001F0876"/>
    <w:rsid w:val="001F170C"/>
    <w:rsid w:val="001F3AEE"/>
    <w:rsid w:val="001F3B92"/>
    <w:rsid w:val="001F3D79"/>
    <w:rsid w:val="001F3DF3"/>
    <w:rsid w:val="001F4CE3"/>
    <w:rsid w:val="001F524C"/>
    <w:rsid w:val="001F6099"/>
    <w:rsid w:val="001F7827"/>
    <w:rsid w:val="00201246"/>
    <w:rsid w:val="00202212"/>
    <w:rsid w:val="0020232D"/>
    <w:rsid w:val="00202759"/>
    <w:rsid w:val="00202927"/>
    <w:rsid w:val="00202B8D"/>
    <w:rsid w:val="002032BD"/>
    <w:rsid w:val="00204343"/>
    <w:rsid w:val="0020600C"/>
    <w:rsid w:val="00206320"/>
    <w:rsid w:val="00206D68"/>
    <w:rsid w:val="00207442"/>
    <w:rsid w:val="002074CB"/>
    <w:rsid w:val="00210CB6"/>
    <w:rsid w:val="002111EA"/>
    <w:rsid w:val="002113BC"/>
    <w:rsid w:val="002118D2"/>
    <w:rsid w:val="00211CB4"/>
    <w:rsid w:val="00213242"/>
    <w:rsid w:val="00213493"/>
    <w:rsid w:val="00214B9F"/>
    <w:rsid w:val="00215001"/>
    <w:rsid w:val="00215989"/>
    <w:rsid w:val="0021634F"/>
    <w:rsid w:val="00216D30"/>
    <w:rsid w:val="00217B55"/>
    <w:rsid w:val="00217C5C"/>
    <w:rsid w:val="0022126D"/>
    <w:rsid w:val="00221486"/>
    <w:rsid w:val="00221BD3"/>
    <w:rsid w:val="00222585"/>
    <w:rsid w:val="002229CC"/>
    <w:rsid w:val="00222BF3"/>
    <w:rsid w:val="00224635"/>
    <w:rsid w:val="00225180"/>
    <w:rsid w:val="0022519A"/>
    <w:rsid w:val="002257AE"/>
    <w:rsid w:val="002267EA"/>
    <w:rsid w:val="0022720E"/>
    <w:rsid w:val="00227B5A"/>
    <w:rsid w:val="00230548"/>
    <w:rsid w:val="00230C6F"/>
    <w:rsid w:val="00230CA0"/>
    <w:rsid w:val="00230D6F"/>
    <w:rsid w:val="00230ED8"/>
    <w:rsid w:val="002313A2"/>
    <w:rsid w:val="00231542"/>
    <w:rsid w:val="00233E80"/>
    <w:rsid w:val="0023400A"/>
    <w:rsid w:val="00234458"/>
    <w:rsid w:val="0023455E"/>
    <w:rsid w:val="00234C1A"/>
    <w:rsid w:val="00236485"/>
    <w:rsid w:val="002367F6"/>
    <w:rsid w:val="00236958"/>
    <w:rsid w:val="00236BB5"/>
    <w:rsid w:val="00236D05"/>
    <w:rsid w:val="0023743F"/>
    <w:rsid w:val="00240367"/>
    <w:rsid w:val="0024052A"/>
    <w:rsid w:val="0024053A"/>
    <w:rsid w:val="002406AF"/>
    <w:rsid w:val="00240C2C"/>
    <w:rsid w:val="00240C88"/>
    <w:rsid w:val="00240D57"/>
    <w:rsid w:val="0024121A"/>
    <w:rsid w:val="0024154A"/>
    <w:rsid w:val="00241572"/>
    <w:rsid w:val="00241CB2"/>
    <w:rsid w:val="002436E0"/>
    <w:rsid w:val="0024435C"/>
    <w:rsid w:val="002454AE"/>
    <w:rsid w:val="00246043"/>
    <w:rsid w:val="002462EF"/>
    <w:rsid w:val="002465E5"/>
    <w:rsid w:val="00246B13"/>
    <w:rsid w:val="002470F8"/>
    <w:rsid w:val="0024761C"/>
    <w:rsid w:val="00247C92"/>
    <w:rsid w:val="00250436"/>
    <w:rsid w:val="0025069F"/>
    <w:rsid w:val="0025093C"/>
    <w:rsid w:val="00251078"/>
    <w:rsid w:val="00251423"/>
    <w:rsid w:val="00252597"/>
    <w:rsid w:val="00252658"/>
    <w:rsid w:val="002540D7"/>
    <w:rsid w:val="00254A76"/>
    <w:rsid w:val="00254D20"/>
    <w:rsid w:val="00255164"/>
    <w:rsid w:val="002555E4"/>
    <w:rsid w:val="002558D0"/>
    <w:rsid w:val="00255B2C"/>
    <w:rsid w:val="00255F3F"/>
    <w:rsid w:val="00256846"/>
    <w:rsid w:val="0025756A"/>
    <w:rsid w:val="002579C0"/>
    <w:rsid w:val="002602CB"/>
    <w:rsid w:val="002613FF"/>
    <w:rsid w:val="00261886"/>
    <w:rsid w:val="00261923"/>
    <w:rsid w:val="002625BA"/>
    <w:rsid w:val="00262666"/>
    <w:rsid w:val="002626B2"/>
    <w:rsid w:val="00262779"/>
    <w:rsid w:val="00262B69"/>
    <w:rsid w:val="00262F11"/>
    <w:rsid w:val="00263109"/>
    <w:rsid w:val="0026321E"/>
    <w:rsid w:val="002637F9"/>
    <w:rsid w:val="00263CF6"/>
    <w:rsid w:val="00263ECC"/>
    <w:rsid w:val="00264DB4"/>
    <w:rsid w:val="00265292"/>
    <w:rsid w:val="00265328"/>
    <w:rsid w:val="00265D3E"/>
    <w:rsid w:val="00266C67"/>
    <w:rsid w:val="00267728"/>
    <w:rsid w:val="002677A8"/>
    <w:rsid w:val="002679B7"/>
    <w:rsid w:val="00267E93"/>
    <w:rsid w:val="00270220"/>
    <w:rsid w:val="00270275"/>
    <w:rsid w:val="002703CF"/>
    <w:rsid w:val="002704FD"/>
    <w:rsid w:val="00270CA7"/>
    <w:rsid w:val="00270E2F"/>
    <w:rsid w:val="0027116F"/>
    <w:rsid w:val="00271626"/>
    <w:rsid w:val="002721CF"/>
    <w:rsid w:val="00273FA3"/>
    <w:rsid w:val="002747C8"/>
    <w:rsid w:val="00274AD4"/>
    <w:rsid w:val="002751D2"/>
    <w:rsid w:val="00275368"/>
    <w:rsid w:val="0027573E"/>
    <w:rsid w:val="002760A4"/>
    <w:rsid w:val="00277D12"/>
    <w:rsid w:val="00277F42"/>
    <w:rsid w:val="00281516"/>
    <w:rsid w:val="0028371F"/>
    <w:rsid w:val="00284706"/>
    <w:rsid w:val="002848B2"/>
    <w:rsid w:val="00284D1D"/>
    <w:rsid w:val="002851A5"/>
    <w:rsid w:val="0028541B"/>
    <w:rsid w:val="002860B9"/>
    <w:rsid w:val="002861D8"/>
    <w:rsid w:val="00286659"/>
    <w:rsid w:val="00287D17"/>
    <w:rsid w:val="002911F7"/>
    <w:rsid w:val="00292345"/>
    <w:rsid w:val="002924E5"/>
    <w:rsid w:val="00292E06"/>
    <w:rsid w:val="002930B2"/>
    <w:rsid w:val="002945F0"/>
    <w:rsid w:val="0029561B"/>
    <w:rsid w:val="002958C0"/>
    <w:rsid w:val="0029602B"/>
    <w:rsid w:val="0029794A"/>
    <w:rsid w:val="00297BA0"/>
    <w:rsid w:val="00297BE7"/>
    <w:rsid w:val="00297F9D"/>
    <w:rsid w:val="002A1791"/>
    <w:rsid w:val="002A18EE"/>
    <w:rsid w:val="002A1A5A"/>
    <w:rsid w:val="002A1CE0"/>
    <w:rsid w:val="002A1D14"/>
    <w:rsid w:val="002A22CB"/>
    <w:rsid w:val="002A258F"/>
    <w:rsid w:val="002A2FE2"/>
    <w:rsid w:val="002A3F52"/>
    <w:rsid w:val="002A5649"/>
    <w:rsid w:val="002A5AFB"/>
    <w:rsid w:val="002A5F97"/>
    <w:rsid w:val="002A625F"/>
    <w:rsid w:val="002A6527"/>
    <w:rsid w:val="002B0925"/>
    <w:rsid w:val="002B0C9D"/>
    <w:rsid w:val="002B1E4A"/>
    <w:rsid w:val="002B28DC"/>
    <w:rsid w:val="002B35AC"/>
    <w:rsid w:val="002B3975"/>
    <w:rsid w:val="002B3E58"/>
    <w:rsid w:val="002B42A4"/>
    <w:rsid w:val="002B4792"/>
    <w:rsid w:val="002B6158"/>
    <w:rsid w:val="002B687B"/>
    <w:rsid w:val="002B6DA1"/>
    <w:rsid w:val="002B76C9"/>
    <w:rsid w:val="002C0C12"/>
    <w:rsid w:val="002C0C17"/>
    <w:rsid w:val="002C0E76"/>
    <w:rsid w:val="002C24C5"/>
    <w:rsid w:val="002C2657"/>
    <w:rsid w:val="002C30B4"/>
    <w:rsid w:val="002C4357"/>
    <w:rsid w:val="002C4704"/>
    <w:rsid w:val="002C4C7E"/>
    <w:rsid w:val="002C4DD0"/>
    <w:rsid w:val="002C57FE"/>
    <w:rsid w:val="002C67E8"/>
    <w:rsid w:val="002C6BB2"/>
    <w:rsid w:val="002C6C8F"/>
    <w:rsid w:val="002C6FB9"/>
    <w:rsid w:val="002D005C"/>
    <w:rsid w:val="002D0A35"/>
    <w:rsid w:val="002D0D9D"/>
    <w:rsid w:val="002D0F55"/>
    <w:rsid w:val="002D1778"/>
    <w:rsid w:val="002D2B9F"/>
    <w:rsid w:val="002D3AA0"/>
    <w:rsid w:val="002D46C0"/>
    <w:rsid w:val="002D4842"/>
    <w:rsid w:val="002D4C02"/>
    <w:rsid w:val="002D4DE2"/>
    <w:rsid w:val="002D5192"/>
    <w:rsid w:val="002D5C22"/>
    <w:rsid w:val="002D5FD4"/>
    <w:rsid w:val="002D7044"/>
    <w:rsid w:val="002D714E"/>
    <w:rsid w:val="002D7F85"/>
    <w:rsid w:val="002E053A"/>
    <w:rsid w:val="002E0FEF"/>
    <w:rsid w:val="002E1E85"/>
    <w:rsid w:val="002E30D9"/>
    <w:rsid w:val="002E32A0"/>
    <w:rsid w:val="002E35B9"/>
    <w:rsid w:val="002E36F8"/>
    <w:rsid w:val="002E4F03"/>
    <w:rsid w:val="002E5C2F"/>
    <w:rsid w:val="002E5F4B"/>
    <w:rsid w:val="002E6820"/>
    <w:rsid w:val="002E6A61"/>
    <w:rsid w:val="002E71A6"/>
    <w:rsid w:val="002E7417"/>
    <w:rsid w:val="002E7B89"/>
    <w:rsid w:val="002F0AB0"/>
    <w:rsid w:val="002F0E7F"/>
    <w:rsid w:val="002F175E"/>
    <w:rsid w:val="002F1AEE"/>
    <w:rsid w:val="002F22A8"/>
    <w:rsid w:val="002F232B"/>
    <w:rsid w:val="002F2470"/>
    <w:rsid w:val="002F25E1"/>
    <w:rsid w:val="002F2960"/>
    <w:rsid w:val="002F2BD7"/>
    <w:rsid w:val="002F2EE4"/>
    <w:rsid w:val="002F30E2"/>
    <w:rsid w:val="002F31FA"/>
    <w:rsid w:val="002F3488"/>
    <w:rsid w:val="002F4090"/>
    <w:rsid w:val="002F4711"/>
    <w:rsid w:val="002F53D7"/>
    <w:rsid w:val="002F609A"/>
    <w:rsid w:val="002F73E0"/>
    <w:rsid w:val="002F7677"/>
    <w:rsid w:val="0030072B"/>
    <w:rsid w:val="00300A06"/>
    <w:rsid w:val="003035FC"/>
    <w:rsid w:val="00303C84"/>
    <w:rsid w:val="00304A52"/>
    <w:rsid w:val="00304FA2"/>
    <w:rsid w:val="0030596C"/>
    <w:rsid w:val="00305D4E"/>
    <w:rsid w:val="00305D97"/>
    <w:rsid w:val="00305DC1"/>
    <w:rsid w:val="0030633F"/>
    <w:rsid w:val="0030649A"/>
    <w:rsid w:val="003064CA"/>
    <w:rsid w:val="00306A55"/>
    <w:rsid w:val="00306B99"/>
    <w:rsid w:val="00306C05"/>
    <w:rsid w:val="003073F8"/>
    <w:rsid w:val="00307C64"/>
    <w:rsid w:val="00310778"/>
    <w:rsid w:val="00310804"/>
    <w:rsid w:val="00310C8E"/>
    <w:rsid w:val="00311758"/>
    <w:rsid w:val="00311C88"/>
    <w:rsid w:val="003133B8"/>
    <w:rsid w:val="003137C2"/>
    <w:rsid w:val="003138BA"/>
    <w:rsid w:val="0031482A"/>
    <w:rsid w:val="0031490A"/>
    <w:rsid w:val="00314B8C"/>
    <w:rsid w:val="00315A45"/>
    <w:rsid w:val="00315BEF"/>
    <w:rsid w:val="00315EBF"/>
    <w:rsid w:val="00316D41"/>
    <w:rsid w:val="00316F4F"/>
    <w:rsid w:val="00316FCC"/>
    <w:rsid w:val="00317A02"/>
    <w:rsid w:val="0032049B"/>
    <w:rsid w:val="003208E6"/>
    <w:rsid w:val="00320E7C"/>
    <w:rsid w:val="0032163F"/>
    <w:rsid w:val="0032182F"/>
    <w:rsid w:val="00321CC9"/>
    <w:rsid w:val="00322257"/>
    <w:rsid w:val="00322578"/>
    <w:rsid w:val="003227C1"/>
    <w:rsid w:val="003236A6"/>
    <w:rsid w:val="00323BFE"/>
    <w:rsid w:val="00324219"/>
    <w:rsid w:val="0032547B"/>
    <w:rsid w:val="00325685"/>
    <w:rsid w:val="00326619"/>
    <w:rsid w:val="003267CE"/>
    <w:rsid w:val="00326AAA"/>
    <w:rsid w:val="003274B9"/>
    <w:rsid w:val="003274D9"/>
    <w:rsid w:val="0033015D"/>
    <w:rsid w:val="00331DFD"/>
    <w:rsid w:val="00331EFB"/>
    <w:rsid w:val="00333674"/>
    <w:rsid w:val="003336A2"/>
    <w:rsid w:val="00333A56"/>
    <w:rsid w:val="003342A6"/>
    <w:rsid w:val="003344C1"/>
    <w:rsid w:val="00334608"/>
    <w:rsid w:val="00335887"/>
    <w:rsid w:val="00336009"/>
    <w:rsid w:val="0033600D"/>
    <w:rsid w:val="003369F7"/>
    <w:rsid w:val="00336F2E"/>
    <w:rsid w:val="00337E30"/>
    <w:rsid w:val="00337F35"/>
    <w:rsid w:val="003400B1"/>
    <w:rsid w:val="00341055"/>
    <w:rsid w:val="003410BE"/>
    <w:rsid w:val="00341F91"/>
    <w:rsid w:val="00343B71"/>
    <w:rsid w:val="0034431F"/>
    <w:rsid w:val="00345143"/>
    <w:rsid w:val="0034545F"/>
    <w:rsid w:val="003461BE"/>
    <w:rsid w:val="0034627C"/>
    <w:rsid w:val="00346F49"/>
    <w:rsid w:val="0034772B"/>
    <w:rsid w:val="00350250"/>
    <w:rsid w:val="00350A9C"/>
    <w:rsid w:val="00351CC8"/>
    <w:rsid w:val="00352268"/>
    <w:rsid w:val="00352962"/>
    <w:rsid w:val="00353E3C"/>
    <w:rsid w:val="00354097"/>
    <w:rsid w:val="003544F1"/>
    <w:rsid w:val="00354B94"/>
    <w:rsid w:val="00354DA7"/>
    <w:rsid w:val="00354E41"/>
    <w:rsid w:val="00354E55"/>
    <w:rsid w:val="00355010"/>
    <w:rsid w:val="0035592A"/>
    <w:rsid w:val="00355A39"/>
    <w:rsid w:val="00356AEA"/>
    <w:rsid w:val="003571EE"/>
    <w:rsid w:val="003573F9"/>
    <w:rsid w:val="003606A5"/>
    <w:rsid w:val="00360C7B"/>
    <w:rsid w:val="00360DF7"/>
    <w:rsid w:val="003620FC"/>
    <w:rsid w:val="003623C0"/>
    <w:rsid w:val="00362733"/>
    <w:rsid w:val="00362944"/>
    <w:rsid w:val="00362BD0"/>
    <w:rsid w:val="003630E9"/>
    <w:rsid w:val="003645D3"/>
    <w:rsid w:val="0036490C"/>
    <w:rsid w:val="0036638D"/>
    <w:rsid w:val="00366DC0"/>
    <w:rsid w:val="00366F55"/>
    <w:rsid w:val="003678B0"/>
    <w:rsid w:val="0037029A"/>
    <w:rsid w:val="003707A0"/>
    <w:rsid w:val="003711B1"/>
    <w:rsid w:val="0037209F"/>
    <w:rsid w:val="00372A7D"/>
    <w:rsid w:val="00373ECC"/>
    <w:rsid w:val="0037413F"/>
    <w:rsid w:val="00374A6A"/>
    <w:rsid w:val="00375A04"/>
    <w:rsid w:val="00376365"/>
    <w:rsid w:val="00376CBF"/>
    <w:rsid w:val="00376DA6"/>
    <w:rsid w:val="003809A1"/>
    <w:rsid w:val="00380A9E"/>
    <w:rsid w:val="0038242C"/>
    <w:rsid w:val="00382E5C"/>
    <w:rsid w:val="00383176"/>
    <w:rsid w:val="003844B7"/>
    <w:rsid w:val="00384A67"/>
    <w:rsid w:val="00384FD8"/>
    <w:rsid w:val="003857BC"/>
    <w:rsid w:val="0038616A"/>
    <w:rsid w:val="00387BAD"/>
    <w:rsid w:val="003909D1"/>
    <w:rsid w:val="0039105A"/>
    <w:rsid w:val="0039176E"/>
    <w:rsid w:val="00391A60"/>
    <w:rsid w:val="00392998"/>
    <w:rsid w:val="003941D4"/>
    <w:rsid w:val="003959D3"/>
    <w:rsid w:val="0039637E"/>
    <w:rsid w:val="003963C8"/>
    <w:rsid w:val="00396735"/>
    <w:rsid w:val="00396FCE"/>
    <w:rsid w:val="00397B43"/>
    <w:rsid w:val="003A00F3"/>
    <w:rsid w:val="003A0185"/>
    <w:rsid w:val="003A09D7"/>
    <w:rsid w:val="003A0BEE"/>
    <w:rsid w:val="003A18FC"/>
    <w:rsid w:val="003A1A90"/>
    <w:rsid w:val="003A1FB8"/>
    <w:rsid w:val="003A267A"/>
    <w:rsid w:val="003A2BD7"/>
    <w:rsid w:val="003A2CEE"/>
    <w:rsid w:val="003A2E14"/>
    <w:rsid w:val="003A32A3"/>
    <w:rsid w:val="003A340C"/>
    <w:rsid w:val="003A3A95"/>
    <w:rsid w:val="003A41EC"/>
    <w:rsid w:val="003A54F1"/>
    <w:rsid w:val="003A5C56"/>
    <w:rsid w:val="003A5E0E"/>
    <w:rsid w:val="003A5F9A"/>
    <w:rsid w:val="003A6741"/>
    <w:rsid w:val="003A6F37"/>
    <w:rsid w:val="003A702C"/>
    <w:rsid w:val="003A76A6"/>
    <w:rsid w:val="003B04BE"/>
    <w:rsid w:val="003B04DC"/>
    <w:rsid w:val="003B0836"/>
    <w:rsid w:val="003B0DA7"/>
    <w:rsid w:val="003B256D"/>
    <w:rsid w:val="003B4511"/>
    <w:rsid w:val="003B4D69"/>
    <w:rsid w:val="003B584C"/>
    <w:rsid w:val="003B637E"/>
    <w:rsid w:val="003B6AA4"/>
    <w:rsid w:val="003B6F06"/>
    <w:rsid w:val="003B784B"/>
    <w:rsid w:val="003C0643"/>
    <w:rsid w:val="003C078D"/>
    <w:rsid w:val="003C0B7D"/>
    <w:rsid w:val="003C1F12"/>
    <w:rsid w:val="003C2989"/>
    <w:rsid w:val="003C3D87"/>
    <w:rsid w:val="003C42F0"/>
    <w:rsid w:val="003C4625"/>
    <w:rsid w:val="003C597B"/>
    <w:rsid w:val="003C75D8"/>
    <w:rsid w:val="003C795E"/>
    <w:rsid w:val="003D003C"/>
    <w:rsid w:val="003D0730"/>
    <w:rsid w:val="003D1785"/>
    <w:rsid w:val="003D1DAA"/>
    <w:rsid w:val="003D2304"/>
    <w:rsid w:val="003D2661"/>
    <w:rsid w:val="003D409F"/>
    <w:rsid w:val="003D41C9"/>
    <w:rsid w:val="003D41F8"/>
    <w:rsid w:val="003D46CC"/>
    <w:rsid w:val="003D540C"/>
    <w:rsid w:val="003D54B8"/>
    <w:rsid w:val="003D55AA"/>
    <w:rsid w:val="003D597B"/>
    <w:rsid w:val="003D5C74"/>
    <w:rsid w:val="003D688C"/>
    <w:rsid w:val="003D6B70"/>
    <w:rsid w:val="003D7145"/>
    <w:rsid w:val="003D79E6"/>
    <w:rsid w:val="003E033B"/>
    <w:rsid w:val="003E05BF"/>
    <w:rsid w:val="003E1371"/>
    <w:rsid w:val="003E2024"/>
    <w:rsid w:val="003E26A6"/>
    <w:rsid w:val="003E2A21"/>
    <w:rsid w:val="003E3128"/>
    <w:rsid w:val="003E3A2F"/>
    <w:rsid w:val="003E3A87"/>
    <w:rsid w:val="003E4295"/>
    <w:rsid w:val="003E4BFE"/>
    <w:rsid w:val="003E58E5"/>
    <w:rsid w:val="003E59D5"/>
    <w:rsid w:val="003E5A5A"/>
    <w:rsid w:val="003E5D7B"/>
    <w:rsid w:val="003E624F"/>
    <w:rsid w:val="003E6254"/>
    <w:rsid w:val="003F01B4"/>
    <w:rsid w:val="003F1156"/>
    <w:rsid w:val="003F1810"/>
    <w:rsid w:val="003F1C57"/>
    <w:rsid w:val="003F261F"/>
    <w:rsid w:val="003F2BA0"/>
    <w:rsid w:val="003F3941"/>
    <w:rsid w:val="003F454F"/>
    <w:rsid w:val="003F47C5"/>
    <w:rsid w:val="003F5FDE"/>
    <w:rsid w:val="003F6015"/>
    <w:rsid w:val="003F6B80"/>
    <w:rsid w:val="003F6EBD"/>
    <w:rsid w:val="003F725C"/>
    <w:rsid w:val="0040028C"/>
    <w:rsid w:val="00400844"/>
    <w:rsid w:val="00401274"/>
    <w:rsid w:val="00401350"/>
    <w:rsid w:val="00402117"/>
    <w:rsid w:val="00402505"/>
    <w:rsid w:val="00403629"/>
    <w:rsid w:val="0040382C"/>
    <w:rsid w:val="004039DD"/>
    <w:rsid w:val="004039F3"/>
    <w:rsid w:val="00404459"/>
    <w:rsid w:val="004045F1"/>
    <w:rsid w:val="0040460B"/>
    <w:rsid w:val="0040479F"/>
    <w:rsid w:val="00404E41"/>
    <w:rsid w:val="004054F3"/>
    <w:rsid w:val="004070E6"/>
    <w:rsid w:val="0040796C"/>
    <w:rsid w:val="00407BA6"/>
    <w:rsid w:val="00407D76"/>
    <w:rsid w:val="00407EE6"/>
    <w:rsid w:val="004105D0"/>
    <w:rsid w:val="00410C46"/>
    <w:rsid w:val="0041102C"/>
    <w:rsid w:val="0041117B"/>
    <w:rsid w:val="00411FB9"/>
    <w:rsid w:val="004121AA"/>
    <w:rsid w:val="004122F3"/>
    <w:rsid w:val="00412DED"/>
    <w:rsid w:val="00414057"/>
    <w:rsid w:val="00414116"/>
    <w:rsid w:val="00414191"/>
    <w:rsid w:val="0041422B"/>
    <w:rsid w:val="0041427F"/>
    <w:rsid w:val="00415299"/>
    <w:rsid w:val="00415E3A"/>
    <w:rsid w:val="004173C4"/>
    <w:rsid w:val="004177C2"/>
    <w:rsid w:val="004177ED"/>
    <w:rsid w:val="004208C4"/>
    <w:rsid w:val="004218FD"/>
    <w:rsid w:val="004222CE"/>
    <w:rsid w:val="00423D73"/>
    <w:rsid w:val="004249DC"/>
    <w:rsid w:val="00424CE7"/>
    <w:rsid w:val="0042535E"/>
    <w:rsid w:val="0042540E"/>
    <w:rsid w:val="0042600C"/>
    <w:rsid w:val="0042727B"/>
    <w:rsid w:val="004276B9"/>
    <w:rsid w:val="004277C5"/>
    <w:rsid w:val="00427A42"/>
    <w:rsid w:val="0043003F"/>
    <w:rsid w:val="00432809"/>
    <w:rsid w:val="0043288E"/>
    <w:rsid w:val="00433EBC"/>
    <w:rsid w:val="00434295"/>
    <w:rsid w:val="004343CC"/>
    <w:rsid w:val="0043449D"/>
    <w:rsid w:val="00434672"/>
    <w:rsid w:val="00435CF6"/>
    <w:rsid w:val="00435D5C"/>
    <w:rsid w:val="0043793D"/>
    <w:rsid w:val="00440DBB"/>
    <w:rsid w:val="00440F86"/>
    <w:rsid w:val="004415B0"/>
    <w:rsid w:val="004435C2"/>
    <w:rsid w:val="00443677"/>
    <w:rsid w:val="00444536"/>
    <w:rsid w:val="0044464E"/>
    <w:rsid w:val="00444D57"/>
    <w:rsid w:val="00445096"/>
    <w:rsid w:val="004458BD"/>
    <w:rsid w:val="00446915"/>
    <w:rsid w:val="00446BD5"/>
    <w:rsid w:val="00446D23"/>
    <w:rsid w:val="00447873"/>
    <w:rsid w:val="00447974"/>
    <w:rsid w:val="00447FA9"/>
    <w:rsid w:val="0045043D"/>
    <w:rsid w:val="00450557"/>
    <w:rsid w:val="00450C91"/>
    <w:rsid w:val="00450CB0"/>
    <w:rsid w:val="00451028"/>
    <w:rsid w:val="00451349"/>
    <w:rsid w:val="00451E68"/>
    <w:rsid w:val="004537A8"/>
    <w:rsid w:val="00453953"/>
    <w:rsid w:val="00454C15"/>
    <w:rsid w:val="00454F7B"/>
    <w:rsid w:val="0045554C"/>
    <w:rsid w:val="00455555"/>
    <w:rsid w:val="004563BD"/>
    <w:rsid w:val="00457582"/>
    <w:rsid w:val="004617CC"/>
    <w:rsid w:val="00461A17"/>
    <w:rsid w:val="00461E24"/>
    <w:rsid w:val="00462040"/>
    <w:rsid w:val="004620AE"/>
    <w:rsid w:val="004620E0"/>
    <w:rsid w:val="00462B2A"/>
    <w:rsid w:val="00463477"/>
    <w:rsid w:val="00463C8D"/>
    <w:rsid w:val="00463E97"/>
    <w:rsid w:val="0046486F"/>
    <w:rsid w:val="0046541E"/>
    <w:rsid w:val="00465643"/>
    <w:rsid w:val="004668C4"/>
    <w:rsid w:val="00466D33"/>
    <w:rsid w:val="00466F3A"/>
    <w:rsid w:val="00467140"/>
    <w:rsid w:val="0046758A"/>
    <w:rsid w:val="00470447"/>
    <w:rsid w:val="004705DC"/>
    <w:rsid w:val="0047089B"/>
    <w:rsid w:val="0047129C"/>
    <w:rsid w:val="0047144D"/>
    <w:rsid w:val="00471ED7"/>
    <w:rsid w:val="004723D1"/>
    <w:rsid w:val="00472467"/>
    <w:rsid w:val="00472738"/>
    <w:rsid w:val="00472740"/>
    <w:rsid w:val="00472B0C"/>
    <w:rsid w:val="00472B14"/>
    <w:rsid w:val="0047309E"/>
    <w:rsid w:val="004734F6"/>
    <w:rsid w:val="0047478A"/>
    <w:rsid w:val="00474D8B"/>
    <w:rsid w:val="00475D70"/>
    <w:rsid w:val="00476038"/>
    <w:rsid w:val="00476E2D"/>
    <w:rsid w:val="00477114"/>
    <w:rsid w:val="00477454"/>
    <w:rsid w:val="00477B23"/>
    <w:rsid w:val="00480186"/>
    <w:rsid w:val="004803D1"/>
    <w:rsid w:val="00480977"/>
    <w:rsid w:val="00480C62"/>
    <w:rsid w:val="00481174"/>
    <w:rsid w:val="00481BC4"/>
    <w:rsid w:val="00481FFE"/>
    <w:rsid w:val="00483449"/>
    <w:rsid w:val="0048393C"/>
    <w:rsid w:val="00483A42"/>
    <w:rsid w:val="004846F9"/>
    <w:rsid w:val="00485395"/>
    <w:rsid w:val="004860E4"/>
    <w:rsid w:val="0048670A"/>
    <w:rsid w:val="00486CCE"/>
    <w:rsid w:val="00486F39"/>
    <w:rsid w:val="0048793A"/>
    <w:rsid w:val="00490889"/>
    <w:rsid w:val="00490EDD"/>
    <w:rsid w:val="0049126C"/>
    <w:rsid w:val="0049145B"/>
    <w:rsid w:val="00491E54"/>
    <w:rsid w:val="00492CD0"/>
    <w:rsid w:val="00493498"/>
    <w:rsid w:val="00494CDF"/>
    <w:rsid w:val="004959E0"/>
    <w:rsid w:val="00495F1F"/>
    <w:rsid w:val="0049687B"/>
    <w:rsid w:val="00496F10"/>
    <w:rsid w:val="004975CD"/>
    <w:rsid w:val="00497633"/>
    <w:rsid w:val="00497C7E"/>
    <w:rsid w:val="004A02A9"/>
    <w:rsid w:val="004A08B5"/>
    <w:rsid w:val="004A0A03"/>
    <w:rsid w:val="004A2A6A"/>
    <w:rsid w:val="004A3249"/>
    <w:rsid w:val="004A3763"/>
    <w:rsid w:val="004A3945"/>
    <w:rsid w:val="004A4251"/>
    <w:rsid w:val="004A4825"/>
    <w:rsid w:val="004A48E9"/>
    <w:rsid w:val="004A4D70"/>
    <w:rsid w:val="004A5A82"/>
    <w:rsid w:val="004A600E"/>
    <w:rsid w:val="004A606C"/>
    <w:rsid w:val="004A6104"/>
    <w:rsid w:val="004A7141"/>
    <w:rsid w:val="004A7780"/>
    <w:rsid w:val="004A7975"/>
    <w:rsid w:val="004A7C0D"/>
    <w:rsid w:val="004B11E8"/>
    <w:rsid w:val="004B2399"/>
    <w:rsid w:val="004B2A86"/>
    <w:rsid w:val="004B2D23"/>
    <w:rsid w:val="004B2FC0"/>
    <w:rsid w:val="004B356E"/>
    <w:rsid w:val="004B40C6"/>
    <w:rsid w:val="004B4498"/>
    <w:rsid w:val="004B462B"/>
    <w:rsid w:val="004B620E"/>
    <w:rsid w:val="004B6891"/>
    <w:rsid w:val="004B7781"/>
    <w:rsid w:val="004B7F94"/>
    <w:rsid w:val="004C0374"/>
    <w:rsid w:val="004C054C"/>
    <w:rsid w:val="004C0B2E"/>
    <w:rsid w:val="004C1237"/>
    <w:rsid w:val="004C1FB0"/>
    <w:rsid w:val="004C30E2"/>
    <w:rsid w:val="004C3BF9"/>
    <w:rsid w:val="004C573F"/>
    <w:rsid w:val="004C5864"/>
    <w:rsid w:val="004C594C"/>
    <w:rsid w:val="004C6219"/>
    <w:rsid w:val="004C7395"/>
    <w:rsid w:val="004C7977"/>
    <w:rsid w:val="004D2D9A"/>
    <w:rsid w:val="004D39E3"/>
    <w:rsid w:val="004D3DD1"/>
    <w:rsid w:val="004D4504"/>
    <w:rsid w:val="004D4780"/>
    <w:rsid w:val="004D4BC6"/>
    <w:rsid w:val="004D6B59"/>
    <w:rsid w:val="004D6B60"/>
    <w:rsid w:val="004D7315"/>
    <w:rsid w:val="004D7DC7"/>
    <w:rsid w:val="004D7FE3"/>
    <w:rsid w:val="004E1D8E"/>
    <w:rsid w:val="004E21BB"/>
    <w:rsid w:val="004E424D"/>
    <w:rsid w:val="004E6413"/>
    <w:rsid w:val="004E6B0C"/>
    <w:rsid w:val="004E6B6B"/>
    <w:rsid w:val="004E7312"/>
    <w:rsid w:val="004E7CD3"/>
    <w:rsid w:val="004F0866"/>
    <w:rsid w:val="004F13E7"/>
    <w:rsid w:val="004F1804"/>
    <w:rsid w:val="004F21B3"/>
    <w:rsid w:val="004F2E83"/>
    <w:rsid w:val="004F31C4"/>
    <w:rsid w:val="004F32A6"/>
    <w:rsid w:val="004F33B4"/>
    <w:rsid w:val="004F4022"/>
    <w:rsid w:val="004F4518"/>
    <w:rsid w:val="004F471E"/>
    <w:rsid w:val="004F541F"/>
    <w:rsid w:val="004F5739"/>
    <w:rsid w:val="004F5AF1"/>
    <w:rsid w:val="004F5C13"/>
    <w:rsid w:val="004F5DA5"/>
    <w:rsid w:val="004F6A3E"/>
    <w:rsid w:val="004F72C9"/>
    <w:rsid w:val="004F7563"/>
    <w:rsid w:val="004F78C3"/>
    <w:rsid w:val="004F7BCC"/>
    <w:rsid w:val="005017ED"/>
    <w:rsid w:val="0050332E"/>
    <w:rsid w:val="0050341B"/>
    <w:rsid w:val="00503535"/>
    <w:rsid w:val="00503B15"/>
    <w:rsid w:val="00503B36"/>
    <w:rsid w:val="0050651B"/>
    <w:rsid w:val="00506F6B"/>
    <w:rsid w:val="00507677"/>
    <w:rsid w:val="00507F1A"/>
    <w:rsid w:val="00511137"/>
    <w:rsid w:val="00511611"/>
    <w:rsid w:val="00511B58"/>
    <w:rsid w:val="00511EB1"/>
    <w:rsid w:val="00512771"/>
    <w:rsid w:val="00512800"/>
    <w:rsid w:val="00513412"/>
    <w:rsid w:val="005136D4"/>
    <w:rsid w:val="00513889"/>
    <w:rsid w:val="00513C57"/>
    <w:rsid w:val="00514686"/>
    <w:rsid w:val="00514983"/>
    <w:rsid w:val="00514998"/>
    <w:rsid w:val="005158B7"/>
    <w:rsid w:val="005169EE"/>
    <w:rsid w:val="00516B9D"/>
    <w:rsid w:val="00516E77"/>
    <w:rsid w:val="00517748"/>
    <w:rsid w:val="0052073D"/>
    <w:rsid w:val="00520E57"/>
    <w:rsid w:val="0052126B"/>
    <w:rsid w:val="005220AF"/>
    <w:rsid w:val="00522235"/>
    <w:rsid w:val="0052376E"/>
    <w:rsid w:val="00523C04"/>
    <w:rsid w:val="005249B6"/>
    <w:rsid w:val="00525E17"/>
    <w:rsid w:val="005261F6"/>
    <w:rsid w:val="00526611"/>
    <w:rsid w:val="00526819"/>
    <w:rsid w:val="00527793"/>
    <w:rsid w:val="005301BF"/>
    <w:rsid w:val="005302B4"/>
    <w:rsid w:val="00530369"/>
    <w:rsid w:val="00530B46"/>
    <w:rsid w:val="00531498"/>
    <w:rsid w:val="005314DD"/>
    <w:rsid w:val="00531520"/>
    <w:rsid w:val="00532294"/>
    <w:rsid w:val="00532BE3"/>
    <w:rsid w:val="00532E03"/>
    <w:rsid w:val="00532E26"/>
    <w:rsid w:val="00533D41"/>
    <w:rsid w:val="00534217"/>
    <w:rsid w:val="00536802"/>
    <w:rsid w:val="00536BDB"/>
    <w:rsid w:val="00537621"/>
    <w:rsid w:val="00537BB7"/>
    <w:rsid w:val="00537CE1"/>
    <w:rsid w:val="00540CE8"/>
    <w:rsid w:val="00540F28"/>
    <w:rsid w:val="00541614"/>
    <w:rsid w:val="00541679"/>
    <w:rsid w:val="00544292"/>
    <w:rsid w:val="0054519E"/>
    <w:rsid w:val="00545424"/>
    <w:rsid w:val="005455F4"/>
    <w:rsid w:val="00545CD5"/>
    <w:rsid w:val="0054668A"/>
    <w:rsid w:val="00546D38"/>
    <w:rsid w:val="00547FFD"/>
    <w:rsid w:val="005506A9"/>
    <w:rsid w:val="0055137A"/>
    <w:rsid w:val="0055198A"/>
    <w:rsid w:val="00551A2A"/>
    <w:rsid w:val="005521BA"/>
    <w:rsid w:val="00552E10"/>
    <w:rsid w:val="005535DA"/>
    <w:rsid w:val="00553E3B"/>
    <w:rsid w:val="00555479"/>
    <w:rsid w:val="00556079"/>
    <w:rsid w:val="00556BB5"/>
    <w:rsid w:val="00557233"/>
    <w:rsid w:val="00560F10"/>
    <w:rsid w:val="00561399"/>
    <w:rsid w:val="00561ADE"/>
    <w:rsid w:val="005620CD"/>
    <w:rsid w:val="005630F1"/>
    <w:rsid w:val="00564241"/>
    <w:rsid w:val="00564CC1"/>
    <w:rsid w:val="00565277"/>
    <w:rsid w:val="00565BCF"/>
    <w:rsid w:val="0056622F"/>
    <w:rsid w:val="00566419"/>
    <w:rsid w:val="00566C12"/>
    <w:rsid w:val="005671CC"/>
    <w:rsid w:val="005672F3"/>
    <w:rsid w:val="00567A7C"/>
    <w:rsid w:val="00567C57"/>
    <w:rsid w:val="005702BF"/>
    <w:rsid w:val="005706B6"/>
    <w:rsid w:val="005709EE"/>
    <w:rsid w:val="00570D6F"/>
    <w:rsid w:val="00570EEF"/>
    <w:rsid w:val="00571F78"/>
    <w:rsid w:val="00572586"/>
    <w:rsid w:val="005727E6"/>
    <w:rsid w:val="00572BF3"/>
    <w:rsid w:val="005737CF"/>
    <w:rsid w:val="00575A02"/>
    <w:rsid w:val="005766FE"/>
    <w:rsid w:val="00576F60"/>
    <w:rsid w:val="00577A71"/>
    <w:rsid w:val="00577F87"/>
    <w:rsid w:val="00580705"/>
    <w:rsid w:val="00580980"/>
    <w:rsid w:val="00581202"/>
    <w:rsid w:val="005816A1"/>
    <w:rsid w:val="00582953"/>
    <w:rsid w:val="00582D85"/>
    <w:rsid w:val="0058353E"/>
    <w:rsid w:val="00583E5D"/>
    <w:rsid w:val="00584523"/>
    <w:rsid w:val="00585366"/>
    <w:rsid w:val="005853DE"/>
    <w:rsid w:val="005854EF"/>
    <w:rsid w:val="00585C0D"/>
    <w:rsid w:val="00585C4C"/>
    <w:rsid w:val="00586182"/>
    <w:rsid w:val="00586310"/>
    <w:rsid w:val="00586EDC"/>
    <w:rsid w:val="0058700B"/>
    <w:rsid w:val="00587CED"/>
    <w:rsid w:val="00587DA6"/>
    <w:rsid w:val="005900D2"/>
    <w:rsid w:val="00590A78"/>
    <w:rsid w:val="00590BD4"/>
    <w:rsid w:val="0059115F"/>
    <w:rsid w:val="0059166E"/>
    <w:rsid w:val="005916CC"/>
    <w:rsid w:val="00591C67"/>
    <w:rsid w:val="0059220B"/>
    <w:rsid w:val="005923E8"/>
    <w:rsid w:val="005923EB"/>
    <w:rsid w:val="00592544"/>
    <w:rsid w:val="00592600"/>
    <w:rsid w:val="005929BC"/>
    <w:rsid w:val="00592BEB"/>
    <w:rsid w:val="00593160"/>
    <w:rsid w:val="005937F6"/>
    <w:rsid w:val="00593DE4"/>
    <w:rsid w:val="005941A2"/>
    <w:rsid w:val="00594A5F"/>
    <w:rsid w:val="00594D8B"/>
    <w:rsid w:val="00594EEF"/>
    <w:rsid w:val="00594F42"/>
    <w:rsid w:val="00595051"/>
    <w:rsid w:val="005957C9"/>
    <w:rsid w:val="00596321"/>
    <w:rsid w:val="00596534"/>
    <w:rsid w:val="00596D4E"/>
    <w:rsid w:val="005976EF"/>
    <w:rsid w:val="00597847"/>
    <w:rsid w:val="00597E5A"/>
    <w:rsid w:val="00597EA0"/>
    <w:rsid w:val="005A1A14"/>
    <w:rsid w:val="005A2095"/>
    <w:rsid w:val="005A2440"/>
    <w:rsid w:val="005A39E0"/>
    <w:rsid w:val="005A451C"/>
    <w:rsid w:val="005A473C"/>
    <w:rsid w:val="005A547F"/>
    <w:rsid w:val="005B0219"/>
    <w:rsid w:val="005B03CF"/>
    <w:rsid w:val="005B0EF6"/>
    <w:rsid w:val="005B0FA6"/>
    <w:rsid w:val="005B1141"/>
    <w:rsid w:val="005B173E"/>
    <w:rsid w:val="005B27FF"/>
    <w:rsid w:val="005B2916"/>
    <w:rsid w:val="005B2B01"/>
    <w:rsid w:val="005B3FCA"/>
    <w:rsid w:val="005B4E90"/>
    <w:rsid w:val="005B52B2"/>
    <w:rsid w:val="005B53BB"/>
    <w:rsid w:val="005B6713"/>
    <w:rsid w:val="005C070F"/>
    <w:rsid w:val="005C0A06"/>
    <w:rsid w:val="005C125A"/>
    <w:rsid w:val="005C23D0"/>
    <w:rsid w:val="005C3012"/>
    <w:rsid w:val="005C3BFC"/>
    <w:rsid w:val="005C4B09"/>
    <w:rsid w:val="005C4D54"/>
    <w:rsid w:val="005C5758"/>
    <w:rsid w:val="005C5F39"/>
    <w:rsid w:val="005C62FB"/>
    <w:rsid w:val="005C687B"/>
    <w:rsid w:val="005C7102"/>
    <w:rsid w:val="005C730A"/>
    <w:rsid w:val="005C7480"/>
    <w:rsid w:val="005C7481"/>
    <w:rsid w:val="005C75E7"/>
    <w:rsid w:val="005C7634"/>
    <w:rsid w:val="005C7E66"/>
    <w:rsid w:val="005D0887"/>
    <w:rsid w:val="005D0C03"/>
    <w:rsid w:val="005D1176"/>
    <w:rsid w:val="005D217B"/>
    <w:rsid w:val="005D28E0"/>
    <w:rsid w:val="005D29BA"/>
    <w:rsid w:val="005D2ACE"/>
    <w:rsid w:val="005D2F12"/>
    <w:rsid w:val="005D314A"/>
    <w:rsid w:val="005D3236"/>
    <w:rsid w:val="005D3292"/>
    <w:rsid w:val="005D360F"/>
    <w:rsid w:val="005D3B59"/>
    <w:rsid w:val="005D3BDE"/>
    <w:rsid w:val="005D3F22"/>
    <w:rsid w:val="005D44A3"/>
    <w:rsid w:val="005D4C4F"/>
    <w:rsid w:val="005D5056"/>
    <w:rsid w:val="005D75B2"/>
    <w:rsid w:val="005D7D0E"/>
    <w:rsid w:val="005E0466"/>
    <w:rsid w:val="005E05E6"/>
    <w:rsid w:val="005E0B8D"/>
    <w:rsid w:val="005E0CA9"/>
    <w:rsid w:val="005E1446"/>
    <w:rsid w:val="005E1EAF"/>
    <w:rsid w:val="005E251B"/>
    <w:rsid w:val="005E2A2D"/>
    <w:rsid w:val="005E420C"/>
    <w:rsid w:val="005E48E1"/>
    <w:rsid w:val="005E5E59"/>
    <w:rsid w:val="005E61BF"/>
    <w:rsid w:val="005E6304"/>
    <w:rsid w:val="005E7A70"/>
    <w:rsid w:val="005E7B63"/>
    <w:rsid w:val="005F03EF"/>
    <w:rsid w:val="005F0474"/>
    <w:rsid w:val="005F16CF"/>
    <w:rsid w:val="005F28EE"/>
    <w:rsid w:val="005F441D"/>
    <w:rsid w:val="005F4B53"/>
    <w:rsid w:val="005F52B8"/>
    <w:rsid w:val="005F72CC"/>
    <w:rsid w:val="006004D5"/>
    <w:rsid w:val="00600D3E"/>
    <w:rsid w:val="00601783"/>
    <w:rsid w:val="00601A4A"/>
    <w:rsid w:val="00601C67"/>
    <w:rsid w:val="00602502"/>
    <w:rsid w:val="00602667"/>
    <w:rsid w:val="00602E06"/>
    <w:rsid w:val="006031A1"/>
    <w:rsid w:val="0060353B"/>
    <w:rsid w:val="00604689"/>
    <w:rsid w:val="0060485B"/>
    <w:rsid w:val="00605AAE"/>
    <w:rsid w:val="00605C5B"/>
    <w:rsid w:val="00610164"/>
    <w:rsid w:val="006103B8"/>
    <w:rsid w:val="00610D57"/>
    <w:rsid w:val="00610EDA"/>
    <w:rsid w:val="00611137"/>
    <w:rsid w:val="006117A5"/>
    <w:rsid w:val="0061233C"/>
    <w:rsid w:val="0061238B"/>
    <w:rsid w:val="0061278E"/>
    <w:rsid w:val="00613E35"/>
    <w:rsid w:val="00613ED2"/>
    <w:rsid w:val="0061468A"/>
    <w:rsid w:val="00615173"/>
    <w:rsid w:val="00615524"/>
    <w:rsid w:val="006159ED"/>
    <w:rsid w:val="00616174"/>
    <w:rsid w:val="00616D5C"/>
    <w:rsid w:val="00616ED9"/>
    <w:rsid w:val="00617E25"/>
    <w:rsid w:val="006202F5"/>
    <w:rsid w:val="0062184B"/>
    <w:rsid w:val="00621E7E"/>
    <w:rsid w:val="006220FC"/>
    <w:rsid w:val="00622106"/>
    <w:rsid w:val="00622577"/>
    <w:rsid w:val="00622BA5"/>
    <w:rsid w:val="00622E67"/>
    <w:rsid w:val="00622EF6"/>
    <w:rsid w:val="00624528"/>
    <w:rsid w:val="006247C7"/>
    <w:rsid w:val="00624BE7"/>
    <w:rsid w:val="00625BB5"/>
    <w:rsid w:val="006262F4"/>
    <w:rsid w:val="006263D1"/>
    <w:rsid w:val="00626625"/>
    <w:rsid w:val="00626DCB"/>
    <w:rsid w:val="00626EFD"/>
    <w:rsid w:val="00627322"/>
    <w:rsid w:val="00631CB5"/>
    <w:rsid w:val="00634475"/>
    <w:rsid w:val="0063461D"/>
    <w:rsid w:val="00634A65"/>
    <w:rsid w:val="00634DD5"/>
    <w:rsid w:val="00635232"/>
    <w:rsid w:val="006361A9"/>
    <w:rsid w:val="0063686C"/>
    <w:rsid w:val="00636A17"/>
    <w:rsid w:val="0063790F"/>
    <w:rsid w:val="006401C7"/>
    <w:rsid w:val="0064068D"/>
    <w:rsid w:val="0064076F"/>
    <w:rsid w:val="00642230"/>
    <w:rsid w:val="006424B6"/>
    <w:rsid w:val="00642EA4"/>
    <w:rsid w:val="00642FDC"/>
    <w:rsid w:val="0064305F"/>
    <w:rsid w:val="00643307"/>
    <w:rsid w:val="006434FE"/>
    <w:rsid w:val="006445B7"/>
    <w:rsid w:val="00644625"/>
    <w:rsid w:val="00647096"/>
    <w:rsid w:val="00647310"/>
    <w:rsid w:val="006475CA"/>
    <w:rsid w:val="00647945"/>
    <w:rsid w:val="00647ADF"/>
    <w:rsid w:val="00647E58"/>
    <w:rsid w:val="00647EFD"/>
    <w:rsid w:val="00650431"/>
    <w:rsid w:val="006504DE"/>
    <w:rsid w:val="00650F81"/>
    <w:rsid w:val="006514B8"/>
    <w:rsid w:val="00652C9E"/>
    <w:rsid w:val="00652E88"/>
    <w:rsid w:val="006531A3"/>
    <w:rsid w:val="00653C82"/>
    <w:rsid w:val="00654745"/>
    <w:rsid w:val="00654951"/>
    <w:rsid w:val="00655900"/>
    <w:rsid w:val="00655966"/>
    <w:rsid w:val="00655DCF"/>
    <w:rsid w:val="006560DE"/>
    <w:rsid w:val="0065629C"/>
    <w:rsid w:val="006564D7"/>
    <w:rsid w:val="00656985"/>
    <w:rsid w:val="006571D6"/>
    <w:rsid w:val="006573D9"/>
    <w:rsid w:val="006575A7"/>
    <w:rsid w:val="00657E28"/>
    <w:rsid w:val="00660356"/>
    <w:rsid w:val="00661A93"/>
    <w:rsid w:val="0066232C"/>
    <w:rsid w:val="006626F6"/>
    <w:rsid w:val="00662E44"/>
    <w:rsid w:val="00662E90"/>
    <w:rsid w:val="00663002"/>
    <w:rsid w:val="0066317C"/>
    <w:rsid w:val="006636C5"/>
    <w:rsid w:val="006639AD"/>
    <w:rsid w:val="006644EF"/>
    <w:rsid w:val="00664AF6"/>
    <w:rsid w:val="00664E6C"/>
    <w:rsid w:val="00665A8F"/>
    <w:rsid w:val="00665B3C"/>
    <w:rsid w:val="00665E7B"/>
    <w:rsid w:val="00666BE7"/>
    <w:rsid w:val="00666FC7"/>
    <w:rsid w:val="00667688"/>
    <w:rsid w:val="00667D82"/>
    <w:rsid w:val="00670D8D"/>
    <w:rsid w:val="006712BF"/>
    <w:rsid w:val="006719F1"/>
    <w:rsid w:val="00672A42"/>
    <w:rsid w:val="00672DA9"/>
    <w:rsid w:val="006734B0"/>
    <w:rsid w:val="00674ABC"/>
    <w:rsid w:val="00674F78"/>
    <w:rsid w:val="00674FD4"/>
    <w:rsid w:val="0067512D"/>
    <w:rsid w:val="0067549E"/>
    <w:rsid w:val="00675825"/>
    <w:rsid w:val="006762FE"/>
    <w:rsid w:val="00676456"/>
    <w:rsid w:val="006765F7"/>
    <w:rsid w:val="00676C6C"/>
    <w:rsid w:val="00676D75"/>
    <w:rsid w:val="00677481"/>
    <w:rsid w:val="00680496"/>
    <w:rsid w:val="006805E2"/>
    <w:rsid w:val="006807F2"/>
    <w:rsid w:val="00680EB2"/>
    <w:rsid w:val="006815EA"/>
    <w:rsid w:val="00681FC4"/>
    <w:rsid w:val="00682537"/>
    <w:rsid w:val="006828A4"/>
    <w:rsid w:val="006830D0"/>
    <w:rsid w:val="00684240"/>
    <w:rsid w:val="00684828"/>
    <w:rsid w:val="00685E83"/>
    <w:rsid w:val="006860DB"/>
    <w:rsid w:val="00686CA9"/>
    <w:rsid w:val="00690119"/>
    <w:rsid w:val="00690954"/>
    <w:rsid w:val="00691268"/>
    <w:rsid w:val="00692117"/>
    <w:rsid w:val="00692A25"/>
    <w:rsid w:val="00694095"/>
    <w:rsid w:val="006944ED"/>
    <w:rsid w:val="00694668"/>
    <w:rsid w:val="0069485C"/>
    <w:rsid w:val="00694B1A"/>
    <w:rsid w:val="00695AB7"/>
    <w:rsid w:val="00696F9F"/>
    <w:rsid w:val="0069730D"/>
    <w:rsid w:val="006A00CB"/>
    <w:rsid w:val="006A0B56"/>
    <w:rsid w:val="006A134C"/>
    <w:rsid w:val="006A158C"/>
    <w:rsid w:val="006A1B3A"/>
    <w:rsid w:val="006A3C04"/>
    <w:rsid w:val="006A3F57"/>
    <w:rsid w:val="006A4AB4"/>
    <w:rsid w:val="006A50C1"/>
    <w:rsid w:val="006A6255"/>
    <w:rsid w:val="006A63CE"/>
    <w:rsid w:val="006A7BD3"/>
    <w:rsid w:val="006A7EC7"/>
    <w:rsid w:val="006A7FB2"/>
    <w:rsid w:val="006B00C4"/>
    <w:rsid w:val="006B057F"/>
    <w:rsid w:val="006B20E5"/>
    <w:rsid w:val="006B24E4"/>
    <w:rsid w:val="006B274E"/>
    <w:rsid w:val="006B2E5B"/>
    <w:rsid w:val="006B3056"/>
    <w:rsid w:val="006B389F"/>
    <w:rsid w:val="006B38CA"/>
    <w:rsid w:val="006B3A5F"/>
    <w:rsid w:val="006B403F"/>
    <w:rsid w:val="006B43E5"/>
    <w:rsid w:val="006B4470"/>
    <w:rsid w:val="006B4E42"/>
    <w:rsid w:val="006B5E44"/>
    <w:rsid w:val="006B6358"/>
    <w:rsid w:val="006B6884"/>
    <w:rsid w:val="006B7F98"/>
    <w:rsid w:val="006C1B6A"/>
    <w:rsid w:val="006C1D78"/>
    <w:rsid w:val="006C1E56"/>
    <w:rsid w:val="006C2397"/>
    <w:rsid w:val="006C2863"/>
    <w:rsid w:val="006C29CF"/>
    <w:rsid w:val="006C2F1E"/>
    <w:rsid w:val="006C3679"/>
    <w:rsid w:val="006C36CC"/>
    <w:rsid w:val="006C3721"/>
    <w:rsid w:val="006C37A2"/>
    <w:rsid w:val="006C39CF"/>
    <w:rsid w:val="006C4234"/>
    <w:rsid w:val="006C4BEA"/>
    <w:rsid w:val="006C683F"/>
    <w:rsid w:val="006C78C1"/>
    <w:rsid w:val="006C7942"/>
    <w:rsid w:val="006C7C38"/>
    <w:rsid w:val="006C7C3F"/>
    <w:rsid w:val="006D0048"/>
    <w:rsid w:val="006D026B"/>
    <w:rsid w:val="006D0D1A"/>
    <w:rsid w:val="006D100B"/>
    <w:rsid w:val="006D1804"/>
    <w:rsid w:val="006D1F57"/>
    <w:rsid w:val="006D23CD"/>
    <w:rsid w:val="006D2405"/>
    <w:rsid w:val="006D284B"/>
    <w:rsid w:val="006D2877"/>
    <w:rsid w:val="006D3614"/>
    <w:rsid w:val="006D45FB"/>
    <w:rsid w:val="006D50FD"/>
    <w:rsid w:val="006D5A2E"/>
    <w:rsid w:val="006D63AF"/>
    <w:rsid w:val="006D652D"/>
    <w:rsid w:val="006D67D3"/>
    <w:rsid w:val="006D6BEB"/>
    <w:rsid w:val="006D7894"/>
    <w:rsid w:val="006E0467"/>
    <w:rsid w:val="006E0D7E"/>
    <w:rsid w:val="006E142E"/>
    <w:rsid w:val="006E1622"/>
    <w:rsid w:val="006E195D"/>
    <w:rsid w:val="006E1A66"/>
    <w:rsid w:val="006E1BE4"/>
    <w:rsid w:val="006E1C50"/>
    <w:rsid w:val="006E1F5D"/>
    <w:rsid w:val="006E203D"/>
    <w:rsid w:val="006E2660"/>
    <w:rsid w:val="006E2CAA"/>
    <w:rsid w:val="006E2F22"/>
    <w:rsid w:val="006E3DBF"/>
    <w:rsid w:val="006E433B"/>
    <w:rsid w:val="006E4682"/>
    <w:rsid w:val="006E505A"/>
    <w:rsid w:val="006E6100"/>
    <w:rsid w:val="006E667E"/>
    <w:rsid w:val="006E6F18"/>
    <w:rsid w:val="006E7745"/>
    <w:rsid w:val="006E7A36"/>
    <w:rsid w:val="006E7C39"/>
    <w:rsid w:val="006E7F12"/>
    <w:rsid w:val="006F0415"/>
    <w:rsid w:val="006F109E"/>
    <w:rsid w:val="006F13D9"/>
    <w:rsid w:val="006F155A"/>
    <w:rsid w:val="006F16A6"/>
    <w:rsid w:val="006F186F"/>
    <w:rsid w:val="006F1CAB"/>
    <w:rsid w:val="006F1DBD"/>
    <w:rsid w:val="006F2386"/>
    <w:rsid w:val="006F25D9"/>
    <w:rsid w:val="006F2E0B"/>
    <w:rsid w:val="006F3BC7"/>
    <w:rsid w:val="006F3FFA"/>
    <w:rsid w:val="006F41CE"/>
    <w:rsid w:val="006F47EF"/>
    <w:rsid w:val="006F4A2B"/>
    <w:rsid w:val="006F4CB6"/>
    <w:rsid w:val="006F540B"/>
    <w:rsid w:val="006F5474"/>
    <w:rsid w:val="006F5E18"/>
    <w:rsid w:val="006F7886"/>
    <w:rsid w:val="0070082D"/>
    <w:rsid w:val="00700CEC"/>
    <w:rsid w:val="007020B4"/>
    <w:rsid w:val="007022F7"/>
    <w:rsid w:val="00702443"/>
    <w:rsid w:val="00703006"/>
    <w:rsid w:val="007039D6"/>
    <w:rsid w:val="00703E18"/>
    <w:rsid w:val="00703F0E"/>
    <w:rsid w:val="007041C1"/>
    <w:rsid w:val="00704BC5"/>
    <w:rsid w:val="007066C2"/>
    <w:rsid w:val="00707877"/>
    <w:rsid w:val="00707B5E"/>
    <w:rsid w:val="00707C5C"/>
    <w:rsid w:val="007104DF"/>
    <w:rsid w:val="00711141"/>
    <w:rsid w:val="0071169E"/>
    <w:rsid w:val="00711F2F"/>
    <w:rsid w:val="00712696"/>
    <w:rsid w:val="007128BC"/>
    <w:rsid w:val="00714838"/>
    <w:rsid w:val="00714E31"/>
    <w:rsid w:val="00714FB7"/>
    <w:rsid w:val="007152C7"/>
    <w:rsid w:val="007153A4"/>
    <w:rsid w:val="00715D5F"/>
    <w:rsid w:val="00716034"/>
    <w:rsid w:val="007164C2"/>
    <w:rsid w:val="00716805"/>
    <w:rsid w:val="00717135"/>
    <w:rsid w:val="00717413"/>
    <w:rsid w:val="00717615"/>
    <w:rsid w:val="00717730"/>
    <w:rsid w:val="00717AA6"/>
    <w:rsid w:val="007208E6"/>
    <w:rsid w:val="00720B4E"/>
    <w:rsid w:val="00722680"/>
    <w:rsid w:val="00723411"/>
    <w:rsid w:val="007236D6"/>
    <w:rsid w:val="007236EF"/>
    <w:rsid w:val="00723EC6"/>
    <w:rsid w:val="00724AF6"/>
    <w:rsid w:val="00724B93"/>
    <w:rsid w:val="00725051"/>
    <w:rsid w:val="0072638E"/>
    <w:rsid w:val="007275E9"/>
    <w:rsid w:val="00730CED"/>
    <w:rsid w:val="007310F8"/>
    <w:rsid w:val="007317A4"/>
    <w:rsid w:val="00731C53"/>
    <w:rsid w:val="00731E46"/>
    <w:rsid w:val="00732513"/>
    <w:rsid w:val="00732D84"/>
    <w:rsid w:val="00732EB0"/>
    <w:rsid w:val="00733C29"/>
    <w:rsid w:val="00733DE1"/>
    <w:rsid w:val="00733E54"/>
    <w:rsid w:val="0073450E"/>
    <w:rsid w:val="00735580"/>
    <w:rsid w:val="00735B7A"/>
    <w:rsid w:val="00735C37"/>
    <w:rsid w:val="00736687"/>
    <w:rsid w:val="0073691B"/>
    <w:rsid w:val="00736BDB"/>
    <w:rsid w:val="00736E37"/>
    <w:rsid w:val="007370B6"/>
    <w:rsid w:val="007371F6"/>
    <w:rsid w:val="00737D14"/>
    <w:rsid w:val="007400A0"/>
    <w:rsid w:val="007401DA"/>
    <w:rsid w:val="007403FD"/>
    <w:rsid w:val="007411C8"/>
    <w:rsid w:val="007418BF"/>
    <w:rsid w:val="00742462"/>
    <w:rsid w:val="00742FBE"/>
    <w:rsid w:val="007434A9"/>
    <w:rsid w:val="00743E77"/>
    <w:rsid w:val="00744D2B"/>
    <w:rsid w:val="00744EA8"/>
    <w:rsid w:val="007453E3"/>
    <w:rsid w:val="0074561C"/>
    <w:rsid w:val="00745655"/>
    <w:rsid w:val="007457E4"/>
    <w:rsid w:val="00745925"/>
    <w:rsid w:val="007470C9"/>
    <w:rsid w:val="007472E5"/>
    <w:rsid w:val="0074731D"/>
    <w:rsid w:val="00747A87"/>
    <w:rsid w:val="007503AE"/>
    <w:rsid w:val="0075078C"/>
    <w:rsid w:val="00750ABF"/>
    <w:rsid w:val="00750CC4"/>
    <w:rsid w:val="0075223E"/>
    <w:rsid w:val="00752ABF"/>
    <w:rsid w:val="00752D64"/>
    <w:rsid w:val="00752F78"/>
    <w:rsid w:val="0075390D"/>
    <w:rsid w:val="007544BA"/>
    <w:rsid w:val="007554B2"/>
    <w:rsid w:val="00756595"/>
    <w:rsid w:val="00756DA0"/>
    <w:rsid w:val="007573ED"/>
    <w:rsid w:val="00757B37"/>
    <w:rsid w:val="00760499"/>
    <w:rsid w:val="00760581"/>
    <w:rsid w:val="0076114D"/>
    <w:rsid w:val="007616D9"/>
    <w:rsid w:val="00761B13"/>
    <w:rsid w:val="007625F6"/>
    <w:rsid w:val="00762663"/>
    <w:rsid w:val="007629F8"/>
    <w:rsid w:val="00762C8D"/>
    <w:rsid w:val="007630F7"/>
    <w:rsid w:val="00763166"/>
    <w:rsid w:val="0076382A"/>
    <w:rsid w:val="00763A88"/>
    <w:rsid w:val="007642AE"/>
    <w:rsid w:val="00764FAF"/>
    <w:rsid w:val="00765084"/>
    <w:rsid w:val="00766046"/>
    <w:rsid w:val="00766435"/>
    <w:rsid w:val="00766898"/>
    <w:rsid w:val="0076690B"/>
    <w:rsid w:val="00767295"/>
    <w:rsid w:val="00767314"/>
    <w:rsid w:val="00767837"/>
    <w:rsid w:val="00767E80"/>
    <w:rsid w:val="007718D9"/>
    <w:rsid w:val="00771EE5"/>
    <w:rsid w:val="007726AE"/>
    <w:rsid w:val="00772A16"/>
    <w:rsid w:val="00772A55"/>
    <w:rsid w:val="00772F7F"/>
    <w:rsid w:val="0077367A"/>
    <w:rsid w:val="00773BFD"/>
    <w:rsid w:val="00774F86"/>
    <w:rsid w:val="007752C7"/>
    <w:rsid w:val="00775C51"/>
    <w:rsid w:val="007769B6"/>
    <w:rsid w:val="00777637"/>
    <w:rsid w:val="00777C5B"/>
    <w:rsid w:val="0078189C"/>
    <w:rsid w:val="00782050"/>
    <w:rsid w:val="007823CF"/>
    <w:rsid w:val="007831BA"/>
    <w:rsid w:val="0078330D"/>
    <w:rsid w:val="00783364"/>
    <w:rsid w:val="00783645"/>
    <w:rsid w:val="007853A5"/>
    <w:rsid w:val="007856ED"/>
    <w:rsid w:val="00785847"/>
    <w:rsid w:val="00785F7D"/>
    <w:rsid w:val="007863E6"/>
    <w:rsid w:val="00787556"/>
    <w:rsid w:val="007875FB"/>
    <w:rsid w:val="00787A3C"/>
    <w:rsid w:val="00790010"/>
    <w:rsid w:val="00791141"/>
    <w:rsid w:val="00791D18"/>
    <w:rsid w:val="00792110"/>
    <w:rsid w:val="007924C8"/>
    <w:rsid w:val="00792962"/>
    <w:rsid w:val="007930FB"/>
    <w:rsid w:val="00793A30"/>
    <w:rsid w:val="00793BF2"/>
    <w:rsid w:val="00794D9E"/>
    <w:rsid w:val="00794F0E"/>
    <w:rsid w:val="007957E3"/>
    <w:rsid w:val="00795AD0"/>
    <w:rsid w:val="0079626F"/>
    <w:rsid w:val="007966EA"/>
    <w:rsid w:val="007969DB"/>
    <w:rsid w:val="00797420"/>
    <w:rsid w:val="007A0022"/>
    <w:rsid w:val="007A0257"/>
    <w:rsid w:val="007A02F7"/>
    <w:rsid w:val="007A17F7"/>
    <w:rsid w:val="007A21BC"/>
    <w:rsid w:val="007A2B38"/>
    <w:rsid w:val="007A3708"/>
    <w:rsid w:val="007A3E56"/>
    <w:rsid w:val="007A4C6B"/>
    <w:rsid w:val="007A6189"/>
    <w:rsid w:val="007A6F94"/>
    <w:rsid w:val="007A7140"/>
    <w:rsid w:val="007A73D1"/>
    <w:rsid w:val="007A7684"/>
    <w:rsid w:val="007A7E54"/>
    <w:rsid w:val="007B0296"/>
    <w:rsid w:val="007B0DC7"/>
    <w:rsid w:val="007B10CE"/>
    <w:rsid w:val="007B1964"/>
    <w:rsid w:val="007B1C91"/>
    <w:rsid w:val="007B20B8"/>
    <w:rsid w:val="007B2426"/>
    <w:rsid w:val="007B26D8"/>
    <w:rsid w:val="007B2F90"/>
    <w:rsid w:val="007B30E8"/>
    <w:rsid w:val="007B3D73"/>
    <w:rsid w:val="007B4658"/>
    <w:rsid w:val="007B4B37"/>
    <w:rsid w:val="007B647E"/>
    <w:rsid w:val="007B68A5"/>
    <w:rsid w:val="007B719C"/>
    <w:rsid w:val="007B7825"/>
    <w:rsid w:val="007B7864"/>
    <w:rsid w:val="007C119B"/>
    <w:rsid w:val="007C2055"/>
    <w:rsid w:val="007C21A1"/>
    <w:rsid w:val="007C2A7B"/>
    <w:rsid w:val="007C3140"/>
    <w:rsid w:val="007C463F"/>
    <w:rsid w:val="007C559F"/>
    <w:rsid w:val="007C5961"/>
    <w:rsid w:val="007C65F0"/>
    <w:rsid w:val="007C66D7"/>
    <w:rsid w:val="007C6DCE"/>
    <w:rsid w:val="007C70BC"/>
    <w:rsid w:val="007C7823"/>
    <w:rsid w:val="007C7895"/>
    <w:rsid w:val="007C796C"/>
    <w:rsid w:val="007D0480"/>
    <w:rsid w:val="007D0624"/>
    <w:rsid w:val="007D1233"/>
    <w:rsid w:val="007D1412"/>
    <w:rsid w:val="007D141B"/>
    <w:rsid w:val="007D15B9"/>
    <w:rsid w:val="007D1966"/>
    <w:rsid w:val="007D1AF9"/>
    <w:rsid w:val="007D1CAD"/>
    <w:rsid w:val="007D3056"/>
    <w:rsid w:val="007D3C87"/>
    <w:rsid w:val="007D53EC"/>
    <w:rsid w:val="007D5546"/>
    <w:rsid w:val="007D5F15"/>
    <w:rsid w:val="007D691C"/>
    <w:rsid w:val="007D702C"/>
    <w:rsid w:val="007D7342"/>
    <w:rsid w:val="007D7959"/>
    <w:rsid w:val="007D7C68"/>
    <w:rsid w:val="007D7F5B"/>
    <w:rsid w:val="007E0625"/>
    <w:rsid w:val="007E11EC"/>
    <w:rsid w:val="007E11FB"/>
    <w:rsid w:val="007E15BC"/>
    <w:rsid w:val="007E253C"/>
    <w:rsid w:val="007E258F"/>
    <w:rsid w:val="007E2F1A"/>
    <w:rsid w:val="007E3047"/>
    <w:rsid w:val="007E35B5"/>
    <w:rsid w:val="007E3787"/>
    <w:rsid w:val="007E4399"/>
    <w:rsid w:val="007E48B0"/>
    <w:rsid w:val="007E49EB"/>
    <w:rsid w:val="007E4DC9"/>
    <w:rsid w:val="007E50F4"/>
    <w:rsid w:val="007E532C"/>
    <w:rsid w:val="007E5B6A"/>
    <w:rsid w:val="007E5D24"/>
    <w:rsid w:val="007E612D"/>
    <w:rsid w:val="007E6A2D"/>
    <w:rsid w:val="007E71B1"/>
    <w:rsid w:val="007F0017"/>
    <w:rsid w:val="007F0AF2"/>
    <w:rsid w:val="007F1CF8"/>
    <w:rsid w:val="007F2981"/>
    <w:rsid w:val="007F3049"/>
    <w:rsid w:val="007F3454"/>
    <w:rsid w:val="007F35C8"/>
    <w:rsid w:val="007F3BD2"/>
    <w:rsid w:val="007F3CFA"/>
    <w:rsid w:val="007F406A"/>
    <w:rsid w:val="007F4110"/>
    <w:rsid w:val="007F46B3"/>
    <w:rsid w:val="007F52AE"/>
    <w:rsid w:val="007F5811"/>
    <w:rsid w:val="007F6A82"/>
    <w:rsid w:val="007F6BEA"/>
    <w:rsid w:val="007F76CC"/>
    <w:rsid w:val="007F7F1F"/>
    <w:rsid w:val="007F7F7E"/>
    <w:rsid w:val="00800DFE"/>
    <w:rsid w:val="00800E40"/>
    <w:rsid w:val="00802734"/>
    <w:rsid w:val="00803141"/>
    <w:rsid w:val="008037EA"/>
    <w:rsid w:val="00803E47"/>
    <w:rsid w:val="00804190"/>
    <w:rsid w:val="0080551B"/>
    <w:rsid w:val="00805704"/>
    <w:rsid w:val="008061B3"/>
    <w:rsid w:val="00806359"/>
    <w:rsid w:val="008064EF"/>
    <w:rsid w:val="00807984"/>
    <w:rsid w:val="00810A37"/>
    <w:rsid w:val="008110AC"/>
    <w:rsid w:val="00811220"/>
    <w:rsid w:val="00811814"/>
    <w:rsid w:val="00811973"/>
    <w:rsid w:val="00811B81"/>
    <w:rsid w:val="00811C1C"/>
    <w:rsid w:val="00811E93"/>
    <w:rsid w:val="00812406"/>
    <w:rsid w:val="008126CE"/>
    <w:rsid w:val="0081270D"/>
    <w:rsid w:val="00812C13"/>
    <w:rsid w:val="00813D8C"/>
    <w:rsid w:val="00814F4A"/>
    <w:rsid w:val="008150AF"/>
    <w:rsid w:val="008155F1"/>
    <w:rsid w:val="00816AFB"/>
    <w:rsid w:val="00816C8C"/>
    <w:rsid w:val="00817528"/>
    <w:rsid w:val="0081793C"/>
    <w:rsid w:val="00817E91"/>
    <w:rsid w:val="00820979"/>
    <w:rsid w:val="00820A6E"/>
    <w:rsid w:val="00820CCD"/>
    <w:rsid w:val="0082150E"/>
    <w:rsid w:val="008229C1"/>
    <w:rsid w:val="00823906"/>
    <w:rsid w:val="00823D08"/>
    <w:rsid w:val="00823E0C"/>
    <w:rsid w:val="00824664"/>
    <w:rsid w:val="00824A6C"/>
    <w:rsid w:val="0082613C"/>
    <w:rsid w:val="0082619D"/>
    <w:rsid w:val="008267B5"/>
    <w:rsid w:val="00827704"/>
    <w:rsid w:val="008278CC"/>
    <w:rsid w:val="00827CED"/>
    <w:rsid w:val="00827ED4"/>
    <w:rsid w:val="00832DCD"/>
    <w:rsid w:val="0083305C"/>
    <w:rsid w:val="00833988"/>
    <w:rsid w:val="00834247"/>
    <w:rsid w:val="00834D73"/>
    <w:rsid w:val="00835C12"/>
    <w:rsid w:val="0084038C"/>
    <w:rsid w:val="00840434"/>
    <w:rsid w:val="00840C8A"/>
    <w:rsid w:val="008412B3"/>
    <w:rsid w:val="008417C8"/>
    <w:rsid w:val="00841CFB"/>
    <w:rsid w:val="00842626"/>
    <w:rsid w:val="00842B62"/>
    <w:rsid w:val="00842C8D"/>
    <w:rsid w:val="00843039"/>
    <w:rsid w:val="008436EE"/>
    <w:rsid w:val="008437C9"/>
    <w:rsid w:val="008456FA"/>
    <w:rsid w:val="00845836"/>
    <w:rsid w:val="00846904"/>
    <w:rsid w:val="00847952"/>
    <w:rsid w:val="00847D25"/>
    <w:rsid w:val="00847D6F"/>
    <w:rsid w:val="0085075D"/>
    <w:rsid w:val="0085122E"/>
    <w:rsid w:val="008513F8"/>
    <w:rsid w:val="00851478"/>
    <w:rsid w:val="00851C3A"/>
    <w:rsid w:val="00851EE2"/>
    <w:rsid w:val="00852297"/>
    <w:rsid w:val="00852EA2"/>
    <w:rsid w:val="00853C99"/>
    <w:rsid w:val="0085512F"/>
    <w:rsid w:val="008553DE"/>
    <w:rsid w:val="008560DC"/>
    <w:rsid w:val="00856368"/>
    <w:rsid w:val="00856D3F"/>
    <w:rsid w:val="008578B8"/>
    <w:rsid w:val="0085791C"/>
    <w:rsid w:val="00857F48"/>
    <w:rsid w:val="008601D3"/>
    <w:rsid w:val="00860A04"/>
    <w:rsid w:val="00860F67"/>
    <w:rsid w:val="00861755"/>
    <w:rsid w:val="008619D7"/>
    <w:rsid w:val="008619F5"/>
    <w:rsid w:val="00861D79"/>
    <w:rsid w:val="00861F6B"/>
    <w:rsid w:val="00862149"/>
    <w:rsid w:val="00862256"/>
    <w:rsid w:val="00862E74"/>
    <w:rsid w:val="008635E9"/>
    <w:rsid w:val="008639A3"/>
    <w:rsid w:val="00863F41"/>
    <w:rsid w:val="0086454C"/>
    <w:rsid w:val="00864CF8"/>
    <w:rsid w:val="0086509A"/>
    <w:rsid w:val="00865454"/>
    <w:rsid w:val="00865F46"/>
    <w:rsid w:val="008666B8"/>
    <w:rsid w:val="00866A75"/>
    <w:rsid w:val="00870870"/>
    <w:rsid w:val="0087101A"/>
    <w:rsid w:val="008732D3"/>
    <w:rsid w:val="00873548"/>
    <w:rsid w:val="008735A8"/>
    <w:rsid w:val="00875047"/>
    <w:rsid w:val="00875050"/>
    <w:rsid w:val="0087556A"/>
    <w:rsid w:val="00875CFE"/>
    <w:rsid w:val="00876D2E"/>
    <w:rsid w:val="00876D84"/>
    <w:rsid w:val="00877393"/>
    <w:rsid w:val="00880AC4"/>
    <w:rsid w:val="00880F2D"/>
    <w:rsid w:val="0088285B"/>
    <w:rsid w:val="008829D3"/>
    <w:rsid w:val="0088317D"/>
    <w:rsid w:val="00883E1F"/>
    <w:rsid w:val="00883EC3"/>
    <w:rsid w:val="00885174"/>
    <w:rsid w:val="008856EF"/>
    <w:rsid w:val="00885D4A"/>
    <w:rsid w:val="0088646A"/>
    <w:rsid w:val="00886A6A"/>
    <w:rsid w:val="008870C7"/>
    <w:rsid w:val="008871A1"/>
    <w:rsid w:val="0088772A"/>
    <w:rsid w:val="00887F4A"/>
    <w:rsid w:val="00890BF8"/>
    <w:rsid w:val="00891297"/>
    <w:rsid w:val="00891A87"/>
    <w:rsid w:val="00891D64"/>
    <w:rsid w:val="00892614"/>
    <w:rsid w:val="008929B2"/>
    <w:rsid w:val="0089362C"/>
    <w:rsid w:val="00893931"/>
    <w:rsid w:val="00893957"/>
    <w:rsid w:val="00893D3A"/>
    <w:rsid w:val="0089421B"/>
    <w:rsid w:val="0089619A"/>
    <w:rsid w:val="0089686C"/>
    <w:rsid w:val="00896E85"/>
    <w:rsid w:val="00897A74"/>
    <w:rsid w:val="008A01E7"/>
    <w:rsid w:val="008A0636"/>
    <w:rsid w:val="008A1752"/>
    <w:rsid w:val="008A1C4D"/>
    <w:rsid w:val="008A211A"/>
    <w:rsid w:val="008A218B"/>
    <w:rsid w:val="008A229A"/>
    <w:rsid w:val="008A3BB2"/>
    <w:rsid w:val="008A3FB1"/>
    <w:rsid w:val="008A4DF2"/>
    <w:rsid w:val="008A536F"/>
    <w:rsid w:val="008A5461"/>
    <w:rsid w:val="008A5DB3"/>
    <w:rsid w:val="008A613D"/>
    <w:rsid w:val="008A6754"/>
    <w:rsid w:val="008A678A"/>
    <w:rsid w:val="008A7771"/>
    <w:rsid w:val="008A7ED8"/>
    <w:rsid w:val="008B0C95"/>
    <w:rsid w:val="008B10EA"/>
    <w:rsid w:val="008B1A3C"/>
    <w:rsid w:val="008B243F"/>
    <w:rsid w:val="008B3064"/>
    <w:rsid w:val="008B4792"/>
    <w:rsid w:val="008B49EC"/>
    <w:rsid w:val="008B4B58"/>
    <w:rsid w:val="008B4E70"/>
    <w:rsid w:val="008B5FA2"/>
    <w:rsid w:val="008B6800"/>
    <w:rsid w:val="008B6DBE"/>
    <w:rsid w:val="008B741D"/>
    <w:rsid w:val="008B7DE0"/>
    <w:rsid w:val="008C05EC"/>
    <w:rsid w:val="008C0D20"/>
    <w:rsid w:val="008C0E3B"/>
    <w:rsid w:val="008C14EE"/>
    <w:rsid w:val="008C1880"/>
    <w:rsid w:val="008C1AF9"/>
    <w:rsid w:val="008C2363"/>
    <w:rsid w:val="008C2905"/>
    <w:rsid w:val="008C2A49"/>
    <w:rsid w:val="008C2D76"/>
    <w:rsid w:val="008C3195"/>
    <w:rsid w:val="008C37C4"/>
    <w:rsid w:val="008C39B3"/>
    <w:rsid w:val="008C3A55"/>
    <w:rsid w:val="008C3C53"/>
    <w:rsid w:val="008C471D"/>
    <w:rsid w:val="008C490F"/>
    <w:rsid w:val="008C4A9A"/>
    <w:rsid w:val="008C4DF2"/>
    <w:rsid w:val="008C4FD4"/>
    <w:rsid w:val="008C590F"/>
    <w:rsid w:val="008C740C"/>
    <w:rsid w:val="008C7F67"/>
    <w:rsid w:val="008D00CF"/>
    <w:rsid w:val="008D01EC"/>
    <w:rsid w:val="008D0503"/>
    <w:rsid w:val="008D09A9"/>
    <w:rsid w:val="008D0D30"/>
    <w:rsid w:val="008D0FE8"/>
    <w:rsid w:val="008D13CB"/>
    <w:rsid w:val="008D1CCB"/>
    <w:rsid w:val="008D1D76"/>
    <w:rsid w:val="008D23C6"/>
    <w:rsid w:val="008D242C"/>
    <w:rsid w:val="008D2BB0"/>
    <w:rsid w:val="008D2EEA"/>
    <w:rsid w:val="008D323B"/>
    <w:rsid w:val="008D38CA"/>
    <w:rsid w:val="008D4173"/>
    <w:rsid w:val="008D41D4"/>
    <w:rsid w:val="008D475D"/>
    <w:rsid w:val="008D55DF"/>
    <w:rsid w:val="008D5837"/>
    <w:rsid w:val="008D66D8"/>
    <w:rsid w:val="008D7652"/>
    <w:rsid w:val="008E0235"/>
    <w:rsid w:val="008E1B3D"/>
    <w:rsid w:val="008E275A"/>
    <w:rsid w:val="008E295C"/>
    <w:rsid w:val="008E41C0"/>
    <w:rsid w:val="008E41EA"/>
    <w:rsid w:val="008E60BD"/>
    <w:rsid w:val="008E7226"/>
    <w:rsid w:val="008E775D"/>
    <w:rsid w:val="008E79E6"/>
    <w:rsid w:val="008F04BB"/>
    <w:rsid w:val="008F04FE"/>
    <w:rsid w:val="008F18DD"/>
    <w:rsid w:val="008F36B9"/>
    <w:rsid w:val="008F3E00"/>
    <w:rsid w:val="008F3F53"/>
    <w:rsid w:val="008F408A"/>
    <w:rsid w:val="008F4271"/>
    <w:rsid w:val="008F4408"/>
    <w:rsid w:val="008F4868"/>
    <w:rsid w:val="008F502F"/>
    <w:rsid w:val="008F59A0"/>
    <w:rsid w:val="008F6011"/>
    <w:rsid w:val="008F66BE"/>
    <w:rsid w:val="008F6BAC"/>
    <w:rsid w:val="008F6EDD"/>
    <w:rsid w:val="008F714C"/>
    <w:rsid w:val="008F795B"/>
    <w:rsid w:val="00900CAB"/>
    <w:rsid w:val="00901594"/>
    <w:rsid w:val="009017FC"/>
    <w:rsid w:val="00901D9B"/>
    <w:rsid w:val="009021B2"/>
    <w:rsid w:val="00902479"/>
    <w:rsid w:val="009029CA"/>
    <w:rsid w:val="00902D1B"/>
    <w:rsid w:val="00903001"/>
    <w:rsid w:val="009035A7"/>
    <w:rsid w:val="00903706"/>
    <w:rsid w:val="009037D3"/>
    <w:rsid w:val="00904BD3"/>
    <w:rsid w:val="00904BE6"/>
    <w:rsid w:val="00904D20"/>
    <w:rsid w:val="00904F2C"/>
    <w:rsid w:val="00905891"/>
    <w:rsid w:val="00905B6C"/>
    <w:rsid w:val="0090615E"/>
    <w:rsid w:val="00906E36"/>
    <w:rsid w:val="0090790E"/>
    <w:rsid w:val="00907A55"/>
    <w:rsid w:val="00910133"/>
    <w:rsid w:val="0091074F"/>
    <w:rsid w:val="009110B3"/>
    <w:rsid w:val="009114CC"/>
    <w:rsid w:val="009123E8"/>
    <w:rsid w:val="00912FC5"/>
    <w:rsid w:val="00913287"/>
    <w:rsid w:val="009141DD"/>
    <w:rsid w:val="009143CB"/>
    <w:rsid w:val="009152CD"/>
    <w:rsid w:val="00915B13"/>
    <w:rsid w:val="00915EFD"/>
    <w:rsid w:val="0091600A"/>
    <w:rsid w:val="00916454"/>
    <w:rsid w:val="00916BD7"/>
    <w:rsid w:val="00916DE5"/>
    <w:rsid w:val="009170D2"/>
    <w:rsid w:val="0091778D"/>
    <w:rsid w:val="00917E3F"/>
    <w:rsid w:val="0092053B"/>
    <w:rsid w:val="009208BE"/>
    <w:rsid w:val="0092188D"/>
    <w:rsid w:val="009226F0"/>
    <w:rsid w:val="00923010"/>
    <w:rsid w:val="00923204"/>
    <w:rsid w:val="0092433D"/>
    <w:rsid w:val="00924768"/>
    <w:rsid w:val="009249A1"/>
    <w:rsid w:val="00925349"/>
    <w:rsid w:val="0092626A"/>
    <w:rsid w:val="00926336"/>
    <w:rsid w:val="0092676A"/>
    <w:rsid w:val="00927329"/>
    <w:rsid w:val="00930175"/>
    <w:rsid w:val="009302DB"/>
    <w:rsid w:val="00930A6D"/>
    <w:rsid w:val="0093172C"/>
    <w:rsid w:val="0093225A"/>
    <w:rsid w:val="0093281F"/>
    <w:rsid w:val="00933A15"/>
    <w:rsid w:val="00933B63"/>
    <w:rsid w:val="0093407F"/>
    <w:rsid w:val="009340CC"/>
    <w:rsid w:val="0093441A"/>
    <w:rsid w:val="00934F2E"/>
    <w:rsid w:val="00935D5F"/>
    <w:rsid w:val="00936FCE"/>
    <w:rsid w:val="00937280"/>
    <w:rsid w:val="009405B6"/>
    <w:rsid w:val="00940AF8"/>
    <w:rsid w:val="00940B86"/>
    <w:rsid w:val="00942167"/>
    <w:rsid w:val="0094252F"/>
    <w:rsid w:val="00942647"/>
    <w:rsid w:val="009429CD"/>
    <w:rsid w:val="00943D62"/>
    <w:rsid w:val="00943F5A"/>
    <w:rsid w:val="00943F80"/>
    <w:rsid w:val="00944115"/>
    <w:rsid w:val="009444A3"/>
    <w:rsid w:val="00944A2B"/>
    <w:rsid w:val="00944E85"/>
    <w:rsid w:val="0094528F"/>
    <w:rsid w:val="009454E5"/>
    <w:rsid w:val="00945F8D"/>
    <w:rsid w:val="00945FA7"/>
    <w:rsid w:val="0094636C"/>
    <w:rsid w:val="00946432"/>
    <w:rsid w:val="00950572"/>
    <w:rsid w:val="00951652"/>
    <w:rsid w:val="00951E42"/>
    <w:rsid w:val="009523F9"/>
    <w:rsid w:val="009523FD"/>
    <w:rsid w:val="009526CD"/>
    <w:rsid w:val="0095363B"/>
    <w:rsid w:val="00953644"/>
    <w:rsid w:val="00953688"/>
    <w:rsid w:val="00954A58"/>
    <w:rsid w:val="009550BA"/>
    <w:rsid w:val="0095548E"/>
    <w:rsid w:val="009558D7"/>
    <w:rsid w:val="009559DF"/>
    <w:rsid w:val="00956375"/>
    <w:rsid w:val="009566B6"/>
    <w:rsid w:val="00956F3E"/>
    <w:rsid w:val="00957359"/>
    <w:rsid w:val="009573DA"/>
    <w:rsid w:val="009573F1"/>
    <w:rsid w:val="00957ABE"/>
    <w:rsid w:val="009601CB"/>
    <w:rsid w:val="00960D74"/>
    <w:rsid w:val="009611E4"/>
    <w:rsid w:val="00961E6D"/>
    <w:rsid w:val="00962722"/>
    <w:rsid w:val="00962BCE"/>
    <w:rsid w:val="009633FB"/>
    <w:rsid w:val="0096400C"/>
    <w:rsid w:val="0096458B"/>
    <w:rsid w:val="00964A1C"/>
    <w:rsid w:val="00964ADA"/>
    <w:rsid w:val="00964EB8"/>
    <w:rsid w:val="0096582F"/>
    <w:rsid w:val="009659C9"/>
    <w:rsid w:val="00965A01"/>
    <w:rsid w:val="00970F59"/>
    <w:rsid w:val="0097114B"/>
    <w:rsid w:val="00972361"/>
    <w:rsid w:val="00973B11"/>
    <w:rsid w:val="00974122"/>
    <w:rsid w:val="00974446"/>
    <w:rsid w:val="009775C4"/>
    <w:rsid w:val="009778DD"/>
    <w:rsid w:val="009800DE"/>
    <w:rsid w:val="00980B61"/>
    <w:rsid w:val="009810D1"/>
    <w:rsid w:val="00981172"/>
    <w:rsid w:val="00981A10"/>
    <w:rsid w:val="0098263A"/>
    <w:rsid w:val="0098303D"/>
    <w:rsid w:val="0098305B"/>
    <w:rsid w:val="009837FE"/>
    <w:rsid w:val="009838AE"/>
    <w:rsid w:val="00983CE2"/>
    <w:rsid w:val="00984016"/>
    <w:rsid w:val="00984065"/>
    <w:rsid w:val="00984862"/>
    <w:rsid w:val="0098606E"/>
    <w:rsid w:val="0098764C"/>
    <w:rsid w:val="00987690"/>
    <w:rsid w:val="00987A70"/>
    <w:rsid w:val="00987D1C"/>
    <w:rsid w:val="009900E5"/>
    <w:rsid w:val="00990F0B"/>
    <w:rsid w:val="009913AF"/>
    <w:rsid w:val="0099332E"/>
    <w:rsid w:val="009938DA"/>
    <w:rsid w:val="00993A00"/>
    <w:rsid w:val="00993E8B"/>
    <w:rsid w:val="00994520"/>
    <w:rsid w:val="00995604"/>
    <w:rsid w:val="00995C9D"/>
    <w:rsid w:val="009960E4"/>
    <w:rsid w:val="00996D45"/>
    <w:rsid w:val="00997898"/>
    <w:rsid w:val="00997B0C"/>
    <w:rsid w:val="009A027A"/>
    <w:rsid w:val="009A03AD"/>
    <w:rsid w:val="009A0459"/>
    <w:rsid w:val="009A081F"/>
    <w:rsid w:val="009A0891"/>
    <w:rsid w:val="009A0D36"/>
    <w:rsid w:val="009A1599"/>
    <w:rsid w:val="009A1788"/>
    <w:rsid w:val="009A1BBD"/>
    <w:rsid w:val="009A1DB5"/>
    <w:rsid w:val="009A2025"/>
    <w:rsid w:val="009A224A"/>
    <w:rsid w:val="009A2945"/>
    <w:rsid w:val="009A2F37"/>
    <w:rsid w:val="009A3B13"/>
    <w:rsid w:val="009A422A"/>
    <w:rsid w:val="009A43CF"/>
    <w:rsid w:val="009A45BA"/>
    <w:rsid w:val="009A4A6F"/>
    <w:rsid w:val="009A4AB0"/>
    <w:rsid w:val="009A4B9E"/>
    <w:rsid w:val="009A5191"/>
    <w:rsid w:val="009A61F6"/>
    <w:rsid w:val="009A67DE"/>
    <w:rsid w:val="009B0703"/>
    <w:rsid w:val="009B0CB4"/>
    <w:rsid w:val="009B0D07"/>
    <w:rsid w:val="009B2805"/>
    <w:rsid w:val="009B297F"/>
    <w:rsid w:val="009B2EA7"/>
    <w:rsid w:val="009B300B"/>
    <w:rsid w:val="009B3E52"/>
    <w:rsid w:val="009B3EC1"/>
    <w:rsid w:val="009B466A"/>
    <w:rsid w:val="009B4941"/>
    <w:rsid w:val="009B4D14"/>
    <w:rsid w:val="009B51BD"/>
    <w:rsid w:val="009B59D2"/>
    <w:rsid w:val="009B5A69"/>
    <w:rsid w:val="009B6136"/>
    <w:rsid w:val="009B64E4"/>
    <w:rsid w:val="009B651B"/>
    <w:rsid w:val="009B67A2"/>
    <w:rsid w:val="009B680D"/>
    <w:rsid w:val="009B6941"/>
    <w:rsid w:val="009B7D6C"/>
    <w:rsid w:val="009C098A"/>
    <w:rsid w:val="009C1881"/>
    <w:rsid w:val="009C1EC5"/>
    <w:rsid w:val="009C210B"/>
    <w:rsid w:val="009C3027"/>
    <w:rsid w:val="009C3139"/>
    <w:rsid w:val="009C4ABE"/>
    <w:rsid w:val="009C4EE7"/>
    <w:rsid w:val="009C53A7"/>
    <w:rsid w:val="009C549B"/>
    <w:rsid w:val="009C5523"/>
    <w:rsid w:val="009C63C1"/>
    <w:rsid w:val="009D00E7"/>
    <w:rsid w:val="009D02F0"/>
    <w:rsid w:val="009D0412"/>
    <w:rsid w:val="009D0807"/>
    <w:rsid w:val="009D1060"/>
    <w:rsid w:val="009D17DD"/>
    <w:rsid w:val="009D35FC"/>
    <w:rsid w:val="009D367A"/>
    <w:rsid w:val="009D393F"/>
    <w:rsid w:val="009D399E"/>
    <w:rsid w:val="009D46C3"/>
    <w:rsid w:val="009D5EEF"/>
    <w:rsid w:val="009D7920"/>
    <w:rsid w:val="009D7EA8"/>
    <w:rsid w:val="009E0218"/>
    <w:rsid w:val="009E0361"/>
    <w:rsid w:val="009E04AA"/>
    <w:rsid w:val="009E229C"/>
    <w:rsid w:val="009E283A"/>
    <w:rsid w:val="009E2CA3"/>
    <w:rsid w:val="009E352F"/>
    <w:rsid w:val="009E353F"/>
    <w:rsid w:val="009E3685"/>
    <w:rsid w:val="009E36F3"/>
    <w:rsid w:val="009E396A"/>
    <w:rsid w:val="009E3CB8"/>
    <w:rsid w:val="009E43E4"/>
    <w:rsid w:val="009E43FD"/>
    <w:rsid w:val="009E52EF"/>
    <w:rsid w:val="009E5B7B"/>
    <w:rsid w:val="009E5CE4"/>
    <w:rsid w:val="009E6004"/>
    <w:rsid w:val="009E79CA"/>
    <w:rsid w:val="009F0230"/>
    <w:rsid w:val="009F0648"/>
    <w:rsid w:val="009F0732"/>
    <w:rsid w:val="009F0BBB"/>
    <w:rsid w:val="009F0E48"/>
    <w:rsid w:val="009F24C4"/>
    <w:rsid w:val="009F2D10"/>
    <w:rsid w:val="009F4894"/>
    <w:rsid w:val="009F5300"/>
    <w:rsid w:val="009F6CAE"/>
    <w:rsid w:val="009F741F"/>
    <w:rsid w:val="00A00273"/>
    <w:rsid w:val="00A00A07"/>
    <w:rsid w:val="00A0187C"/>
    <w:rsid w:val="00A02051"/>
    <w:rsid w:val="00A032B0"/>
    <w:rsid w:val="00A03489"/>
    <w:rsid w:val="00A0437E"/>
    <w:rsid w:val="00A045A4"/>
    <w:rsid w:val="00A05377"/>
    <w:rsid w:val="00A05437"/>
    <w:rsid w:val="00A0583E"/>
    <w:rsid w:val="00A05939"/>
    <w:rsid w:val="00A05CD3"/>
    <w:rsid w:val="00A05CEB"/>
    <w:rsid w:val="00A0667C"/>
    <w:rsid w:val="00A06A0E"/>
    <w:rsid w:val="00A0771F"/>
    <w:rsid w:val="00A078E8"/>
    <w:rsid w:val="00A079FE"/>
    <w:rsid w:val="00A10E87"/>
    <w:rsid w:val="00A11286"/>
    <w:rsid w:val="00A11AF5"/>
    <w:rsid w:val="00A12057"/>
    <w:rsid w:val="00A13D2F"/>
    <w:rsid w:val="00A13FC0"/>
    <w:rsid w:val="00A14B70"/>
    <w:rsid w:val="00A152A7"/>
    <w:rsid w:val="00A15BFB"/>
    <w:rsid w:val="00A15F61"/>
    <w:rsid w:val="00A16C75"/>
    <w:rsid w:val="00A16FFF"/>
    <w:rsid w:val="00A179EE"/>
    <w:rsid w:val="00A17BEE"/>
    <w:rsid w:val="00A202DE"/>
    <w:rsid w:val="00A2083C"/>
    <w:rsid w:val="00A22026"/>
    <w:rsid w:val="00A22AB1"/>
    <w:rsid w:val="00A22CFA"/>
    <w:rsid w:val="00A22E2B"/>
    <w:rsid w:val="00A238C9"/>
    <w:rsid w:val="00A23F6F"/>
    <w:rsid w:val="00A241CF"/>
    <w:rsid w:val="00A24C22"/>
    <w:rsid w:val="00A25715"/>
    <w:rsid w:val="00A26144"/>
    <w:rsid w:val="00A26BEE"/>
    <w:rsid w:val="00A27D91"/>
    <w:rsid w:val="00A30540"/>
    <w:rsid w:val="00A3085D"/>
    <w:rsid w:val="00A317B3"/>
    <w:rsid w:val="00A31D10"/>
    <w:rsid w:val="00A32129"/>
    <w:rsid w:val="00A349CF"/>
    <w:rsid w:val="00A35B14"/>
    <w:rsid w:val="00A360E4"/>
    <w:rsid w:val="00A374E8"/>
    <w:rsid w:val="00A37C47"/>
    <w:rsid w:val="00A40D38"/>
    <w:rsid w:val="00A41203"/>
    <w:rsid w:val="00A41356"/>
    <w:rsid w:val="00A413CC"/>
    <w:rsid w:val="00A4201C"/>
    <w:rsid w:val="00A42A5C"/>
    <w:rsid w:val="00A43625"/>
    <w:rsid w:val="00A4503E"/>
    <w:rsid w:val="00A4504D"/>
    <w:rsid w:val="00A45366"/>
    <w:rsid w:val="00A455C0"/>
    <w:rsid w:val="00A45BA8"/>
    <w:rsid w:val="00A46226"/>
    <w:rsid w:val="00A46B36"/>
    <w:rsid w:val="00A46BFB"/>
    <w:rsid w:val="00A474B0"/>
    <w:rsid w:val="00A476E7"/>
    <w:rsid w:val="00A5017F"/>
    <w:rsid w:val="00A504D6"/>
    <w:rsid w:val="00A507EB"/>
    <w:rsid w:val="00A5080C"/>
    <w:rsid w:val="00A51987"/>
    <w:rsid w:val="00A51EEA"/>
    <w:rsid w:val="00A53CE5"/>
    <w:rsid w:val="00A53D46"/>
    <w:rsid w:val="00A553C2"/>
    <w:rsid w:val="00A556CA"/>
    <w:rsid w:val="00A55F73"/>
    <w:rsid w:val="00A56570"/>
    <w:rsid w:val="00A567D0"/>
    <w:rsid w:val="00A57076"/>
    <w:rsid w:val="00A6028A"/>
    <w:rsid w:val="00A60D65"/>
    <w:rsid w:val="00A60F04"/>
    <w:rsid w:val="00A61593"/>
    <w:rsid w:val="00A61688"/>
    <w:rsid w:val="00A6202E"/>
    <w:rsid w:val="00A625B8"/>
    <w:rsid w:val="00A62DA7"/>
    <w:rsid w:val="00A6319D"/>
    <w:rsid w:val="00A63AC8"/>
    <w:rsid w:val="00A64302"/>
    <w:rsid w:val="00A6499E"/>
    <w:rsid w:val="00A64FE1"/>
    <w:rsid w:val="00A6537F"/>
    <w:rsid w:val="00A670CA"/>
    <w:rsid w:val="00A67AAA"/>
    <w:rsid w:val="00A67CB5"/>
    <w:rsid w:val="00A7001B"/>
    <w:rsid w:val="00A71091"/>
    <w:rsid w:val="00A71B27"/>
    <w:rsid w:val="00A71C95"/>
    <w:rsid w:val="00A72444"/>
    <w:rsid w:val="00A731FF"/>
    <w:rsid w:val="00A73D44"/>
    <w:rsid w:val="00A74511"/>
    <w:rsid w:val="00A75D41"/>
    <w:rsid w:val="00A7706C"/>
    <w:rsid w:val="00A811AE"/>
    <w:rsid w:val="00A815E4"/>
    <w:rsid w:val="00A8170A"/>
    <w:rsid w:val="00A82740"/>
    <w:rsid w:val="00A82A70"/>
    <w:rsid w:val="00A837A2"/>
    <w:rsid w:val="00A83865"/>
    <w:rsid w:val="00A8506A"/>
    <w:rsid w:val="00A85D5A"/>
    <w:rsid w:val="00A86107"/>
    <w:rsid w:val="00A87BEC"/>
    <w:rsid w:val="00A87EFE"/>
    <w:rsid w:val="00A900C2"/>
    <w:rsid w:val="00A906E4"/>
    <w:rsid w:val="00A91FD0"/>
    <w:rsid w:val="00A9206D"/>
    <w:rsid w:val="00A92139"/>
    <w:rsid w:val="00A9291D"/>
    <w:rsid w:val="00A932AB"/>
    <w:rsid w:val="00A934F0"/>
    <w:rsid w:val="00A94A79"/>
    <w:rsid w:val="00A951FD"/>
    <w:rsid w:val="00A968EE"/>
    <w:rsid w:val="00A96D65"/>
    <w:rsid w:val="00A96E49"/>
    <w:rsid w:val="00A9717F"/>
    <w:rsid w:val="00A9763F"/>
    <w:rsid w:val="00AA001D"/>
    <w:rsid w:val="00AA0060"/>
    <w:rsid w:val="00AA0ED2"/>
    <w:rsid w:val="00AA12AD"/>
    <w:rsid w:val="00AA13C5"/>
    <w:rsid w:val="00AA1871"/>
    <w:rsid w:val="00AA1E2F"/>
    <w:rsid w:val="00AA218B"/>
    <w:rsid w:val="00AA22E4"/>
    <w:rsid w:val="00AA2B9B"/>
    <w:rsid w:val="00AA3930"/>
    <w:rsid w:val="00AA417D"/>
    <w:rsid w:val="00AA4BAD"/>
    <w:rsid w:val="00AA5C2F"/>
    <w:rsid w:val="00AA5CB5"/>
    <w:rsid w:val="00AA5F45"/>
    <w:rsid w:val="00AA604E"/>
    <w:rsid w:val="00AA6C46"/>
    <w:rsid w:val="00AA7054"/>
    <w:rsid w:val="00AA7623"/>
    <w:rsid w:val="00AB073B"/>
    <w:rsid w:val="00AB159F"/>
    <w:rsid w:val="00AB20E8"/>
    <w:rsid w:val="00AB37CB"/>
    <w:rsid w:val="00AB3D64"/>
    <w:rsid w:val="00AB4011"/>
    <w:rsid w:val="00AB4F4D"/>
    <w:rsid w:val="00AB5076"/>
    <w:rsid w:val="00AB62E3"/>
    <w:rsid w:val="00AC2965"/>
    <w:rsid w:val="00AC2A35"/>
    <w:rsid w:val="00AC3758"/>
    <w:rsid w:val="00AC3A4C"/>
    <w:rsid w:val="00AC44A1"/>
    <w:rsid w:val="00AC4CD8"/>
    <w:rsid w:val="00AC6251"/>
    <w:rsid w:val="00AC66DD"/>
    <w:rsid w:val="00AC708F"/>
    <w:rsid w:val="00AC751F"/>
    <w:rsid w:val="00AD0562"/>
    <w:rsid w:val="00AD09A8"/>
    <w:rsid w:val="00AD0CE8"/>
    <w:rsid w:val="00AD12D0"/>
    <w:rsid w:val="00AD15D1"/>
    <w:rsid w:val="00AD1604"/>
    <w:rsid w:val="00AD247C"/>
    <w:rsid w:val="00AD26DE"/>
    <w:rsid w:val="00AD2CB0"/>
    <w:rsid w:val="00AD388A"/>
    <w:rsid w:val="00AD415D"/>
    <w:rsid w:val="00AD488D"/>
    <w:rsid w:val="00AD5003"/>
    <w:rsid w:val="00AD519B"/>
    <w:rsid w:val="00AD5620"/>
    <w:rsid w:val="00AD5FB8"/>
    <w:rsid w:val="00AD5FC1"/>
    <w:rsid w:val="00AD680A"/>
    <w:rsid w:val="00AD7107"/>
    <w:rsid w:val="00AE14A0"/>
    <w:rsid w:val="00AE1D3E"/>
    <w:rsid w:val="00AE1E64"/>
    <w:rsid w:val="00AE1F98"/>
    <w:rsid w:val="00AE3017"/>
    <w:rsid w:val="00AE449B"/>
    <w:rsid w:val="00AE569D"/>
    <w:rsid w:val="00AE636F"/>
    <w:rsid w:val="00AE6915"/>
    <w:rsid w:val="00AE7692"/>
    <w:rsid w:val="00AE7B62"/>
    <w:rsid w:val="00AE7BAD"/>
    <w:rsid w:val="00AE7E7E"/>
    <w:rsid w:val="00AF00D7"/>
    <w:rsid w:val="00AF038A"/>
    <w:rsid w:val="00AF0471"/>
    <w:rsid w:val="00AF1DAF"/>
    <w:rsid w:val="00AF20D9"/>
    <w:rsid w:val="00AF26AB"/>
    <w:rsid w:val="00AF3052"/>
    <w:rsid w:val="00AF3C4E"/>
    <w:rsid w:val="00AF3DA9"/>
    <w:rsid w:val="00AF3E4E"/>
    <w:rsid w:val="00AF3FCF"/>
    <w:rsid w:val="00AF44EE"/>
    <w:rsid w:val="00AF4CE6"/>
    <w:rsid w:val="00AF5019"/>
    <w:rsid w:val="00AF553F"/>
    <w:rsid w:val="00AF5C69"/>
    <w:rsid w:val="00AF5F80"/>
    <w:rsid w:val="00AF678C"/>
    <w:rsid w:val="00AF76AE"/>
    <w:rsid w:val="00AF7BA7"/>
    <w:rsid w:val="00AF7C2A"/>
    <w:rsid w:val="00AF7FB4"/>
    <w:rsid w:val="00B00321"/>
    <w:rsid w:val="00B01850"/>
    <w:rsid w:val="00B02D7C"/>
    <w:rsid w:val="00B02FEA"/>
    <w:rsid w:val="00B043FF"/>
    <w:rsid w:val="00B04FA5"/>
    <w:rsid w:val="00B054C7"/>
    <w:rsid w:val="00B0560F"/>
    <w:rsid w:val="00B07081"/>
    <w:rsid w:val="00B07AB4"/>
    <w:rsid w:val="00B07E88"/>
    <w:rsid w:val="00B10569"/>
    <w:rsid w:val="00B10D89"/>
    <w:rsid w:val="00B11CC3"/>
    <w:rsid w:val="00B11E5B"/>
    <w:rsid w:val="00B12939"/>
    <w:rsid w:val="00B13EA7"/>
    <w:rsid w:val="00B14596"/>
    <w:rsid w:val="00B14F8C"/>
    <w:rsid w:val="00B16312"/>
    <w:rsid w:val="00B16FAC"/>
    <w:rsid w:val="00B212AA"/>
    <w:rsid w:val="00B2158D"/>
    <w:rsid w:val="00B21D51"/>
    <w:rsid w:val="00B245E7"/>
    <w:rsid w:val="00B251FF"/>
    <w:rsid w:val="00B25366"/>
    <w:rsid w:val="00B2686E"/>
    <w:rsid w:val="00B26A04"/>
    <w:rsid w:val="00B26B76"/>
    <w:rsid w:val="00B27A88"/>
    <w:rsid w:val="00B27F64"/>
    <w:rsid w:val="00B3056E"/>
    <w:rsid w:val="00B308AF"/>
    <w:rsid w:val="00B309B6"/>
    <w:rsid w:val="00B30A67"/>
    <w:rsid w:val="00B32D1E"/>
    <w:rsid w:val="00B33EAA"/>
    <w:rsid w:val="00B34FB0"/>
    <w:rsid w:val="00B35B60"/>
    <w:rsid w:val="00B360CD"/>
    <w:rsid w:val="00B36212"/>
    <w:rsid w:val="00B376DD"/>
    <w:rsid w:val="00B37712"/>
    <w:rsid w:val="00B37C5D"/>
    <w:rsid w:val="00B40299"/>
    <w:rsid w:val="00B40498"/>
    <w:rsid w:val="00B40EB3"/>
    <w:rsid w:val="00B40F01"/>
    <w:rsid w:val="00B41189"/>
    <w:rsid w:val="00B420A5"/>
    <w:rsid w:val="00B4228A"/>
    <w:rsid w:val="00B4334C"/>
    <w:rsid w:val="00B43CD6"/>
    <w:rsid w:val="00B43E40"/>
    <w:rsid w:val="00B4463F"/>
    <w:rsid w:val="00B44999"/>
    <w:rsid w:val="00B46838"/>
    <w:rsid w:val="00B46DB9"/>
    <w:rsid w:val="00B477FA"/>
    <w:rsid w:val="00B47C38"/>
    <w:rsid w:val="00B509CE"/>
    <w:rsid w:val="00B51463"/>
    <w:rsid w:val="00B51698"/>
    <w:rsid w:val="00B52057"/>
    <w:rsid w:val="00B52EA3"/>
    <w:rsid w:val="00B544AC"/>
    <w:rsid w:val="00B54A89"/>
    <w:rsid w:val="00B55EB2"/>
    <w:rsid w:val="00B564F9"/>
    <w:rsid w:val="00B5650F"/>
    <w:rsid w:val="00B56707"/>
    <w:rsid w:val="00B56CCD"/>
    <w:rsid w:val="00B56D34"/>
    <w:rsid w:val="00B56D48"/>
    <w:rsid w:val="00B57643"/>
    <w:rsid w:val="00B6006F"/>
    <w:rsid w:val="00B6061B"/>
    <w:rsid w:val="00B6087E"/>
    <w:rsid w:val="00B60D3F"/>
    <w:rsid w:val="00B61311"/>
    <w:rsid w:val="00B62403"/>
    <w:rsid w:val="00B625F5"/>
    <w:rsid w:val="00B62804"/>
    <w:rsid w:val="00B62A49"/>
    <w:rsid w:val="00B62D1A"/>
    <w:rsid w:val="00B63641"/>
    <w:rsid w:val="00B63860"/>
    <w:rsid w:val="00B64236"/>
    <w:rsid w:val="00B64AD2"/>
    <w:rsid w:val="00B64B2C"/>
    <w:rsid w:val="00B65296"/>
    <w:rsid w:val="00B65CE8"/>
    <w:rsid w:val="00B6618E"/>
    <w:rsid w:val="00B6632B"/>
    <w:rsid w:val="00B6759A"/>
    <w:rsid w:val="00B679BC"/>
    <w:rsid w:val="00B70306"/>
    <w:rsid w:val="00B70476"/>
    <w:rsid w:val="00B709D2"/>
    <w:rsid w:val="00B70AD0"/>
    <w:rsid w:val="00B710EE"/>
    <w:rsid w:val="00B71170"/>
    <w:rsid w:val="00B71544"/>
    <w:rsid w:val="00B72C17"/>
    <w:rsid w:val="00B72FFE"/>
    <w:rsid w:val="00B73E9D"/>
    <w:rsid w:val="00B73F80"/>
    <w:rsid w:val="00B7445E"/>
    <w:rsid w:val="00B7580F"/>
    <w:rsid w:val="00B7596F"/>
    <w:rsid w:val="00B76294"/>
    <w:rsid w:val="00B76EF3"/>
    <w:rsid w:val="00B7722D"/>
    <w:rsid w:val="00B777B2"/>
    <w:rsid w:val="00B81650"/>
    <w:rsid w:val="00B81C56"/>
    <w:rsid w:val="00B8277D"/>
    <w:rsid w:val="00B835D5"/>
    <w:rsid w:val="00B83CFC"/>
    <w:rsid w:val="00B84161"/>
    <w:rsid w:val="00B845B9"/>
    <w:rsid w:val="00B8496C"/>
    <w:rsid w:val="00B8615F"/>
    <w:rsid w:val="00B8698E"/>
    <w:rsid w:val="00B86C95"/>
    <w:rsid w:val="00B8700B"/>
    <w:rsid w:val="00B87354"/>
    <w:rsid w:val="00B873E5"/>
    <w:rsid w:val="00B875B2"/>
    <w:rsid w:val="00B87773"/>
    <w:rsid w:val="00B87EE2"/>
    <w:rsid w:val="00B90E2D"/>
    <w:rsid w:val="00B90ED9"/>
    <w:rsid w:val="00B91B1F"/>
    <w:rsid w:val="00B9249D"/>
    <w:rsid w:val="00B92633"/>
    <w:rsid w:val="00B941C1"/>
    <w:rsid w:val="00B95004"/>
    <w:rsid w:val="00B9525A"/>
    <w:rsid w:val="00B9581F"/>
    <w:rsid w:val="00B95FAF"/>
    <w:rsid w:val="00B979F3"/>
    <w:rsid w:val="00B97A4D"/>
    <w:rsid w:val="00BA07C9"/>
    <w:rsid w:val="00BA1509"/>
    <w:rsid w:val="00BA214F"/>
    <w:rsid w:val="00BA260C"/>
    <w:rsid w:val="00BA27CF"/>
    <w:rsid w:val="00BA291F"/>
    <w:rsid w:val="00BA299D"/>
    <w:rsid w:val="00BA2DED"/>
    <w:rsid w:val="00BA2FE8"/>
    <w:rsid w:val="00BA46F3"/>
    <w:rsid w:val="00BA51DD"/>
    <w:rsid w:val="00BA549B"/>
    <w:rsid w:val="00BA5FC3"/>
    <w:rsid w:val="00BA5FED"/>
    <w:rsid w:val="00BA6713"/>
    <w:rsid w:val="00BA67E5"/>
    <w:rsid w:val="00BB074E"/>
    <w:rsid w:val="00BB076C"/>
    <w:rsid w:val="00BB15A2"/>
    <w:rsid w:val="00BB1F89"/>
    <w:rsid w:val="00BB2473"/>
    <w:rsid w:val="00BB249C"/>
    <w:rsid w:val="00BB2FFA"/>
    <w:rsid w:val="00BB4728"/>
    <w:rsid w:val="00BB52F7"/>
    <w:rsid w:val="00BB5842"/>
    <w:rsid w:val="00BB58E5"/>
    <w:rsid w:val="00BB5E56"/>
    <w:rsid w:val="00BB5E67"/>
    <w:rsid w:val="00BB5E8B"/>
    <w:rsid w:val="00BB6203"/>
    <w:rsid w:val="00BB66C8"/>
    <w:rsid w:val="00BB673C"/>
    <w:rsid w:val="00BB7394"/>
    <w:rsid w:val="00BB78C9"/>
    <w:rsid w:val="00BC01E4"/>
    <w:rsid w:val="00BC024D"/>
    <w:rsid w:val="00BC0AC0"/>
    <w:rsid w:val="00BC0B10"/>
    <w:rsid w:val="00BC0FA9"/>
    <w:rsid w:val="00BC15ED"/>
    <w:rsid w:val="00BC1FF7"/>
    <w:rsid w:val="00BC34B8"/>
    <w:rsid w:val="00BC3631"/>
    <w:rsid w:val="00BC3751"/>
    <w:rsid w:val="00BC549C"/>
    <w:rsid w:val="00BC56F1"/>
    <w:rsid w:val="00BC5F7A"/>
    <w:rsid w:val="00BC66CD"/>
    <w:rsid w:val="00BC6764"/>
    <w:rsid w:val="00BD05E5"/>
    <w:rsid w:val="00BD098B"/>
    <w:rsid w:val="00BD0B91"/>
    <w:rsid w:val="00BD0D7D"/>
    <w:rsid w:val="00BD0E4F"/>
    <w:rsid w:val="00BD11CD"/>
    <w:rsid w:val="00BD1647"/>
    <w:rsid w:val="00BD19E3"/>
    <w:rsid w:val="00BD1E78"/>
    <w:rsid w:val="00BD20C8"/>
    <w:rsid w:val="00BD39AF"/>
    <w:rsid w:val="00BD48E5"/>
    <w:rsid w:val="00BD4B34"/>
    <w:rsid w:val="00BD4F11"/>
    <w:rsid w:val="00BD52AF"/>
    <w:rsid w:val="00BD55B5"/>
    <w:rsid w:val="00BD5A38"/>
    <w:rsid w:val="00BD6035"/>
    <w:rsid w:val="00BD62F4"/>
    <w:rsid w:val="00BD6E11"/>
    <w:rsid w:val="00BD72B8"/>
    <w:rsid w:val="00BD7535"/>
    <w:rsid w:val="00BD76BE"/>
    <w:rsid w:val="00BD7C69"/>
    <w:rsid w:val="00BE0065"/>
    <w:rsid w:val="00BE191E"/>
    <w:rsid w:val="00BE4340"/>
    <w:rsid w:val="00BE438F"/>
    <w:rsid w:val="00BE4A24"/>
    <w:rsid w:val="00BE579C"/>
    <w:rsid w:val="00BE59DB"/>
    <w:rsid w:val="00BE5C78"/>
    <w:rsid w:val="00BE5EBF"/>
    <w:rsid w:val="00BE5FB3"/>
    <w:rsid w:val="00BE6AB9"/>
    <w:rsid w:val="00BE6C21"/>
    <w:rsid w:val="00BE7AB9"/>
    <w:rsid w:val="00BF00C8"/>
    <w:rsid w:val="00BF0CBC"/>
    <w:rsid w:val="00BF18D5"/>
    <w:rsid w:val="00BF1E10"/>
    <w:rsid w:val="00BF223A"/>
    <w:rsid w:val="00BF2775"/>
    <w:rsid w:val="00BF2BA7"/>
    <w:rsid w:val="00BF31FE"/>
    <w:rsid w:val="00BF3989"/>
    <w:rsid w:val="00BF3A88"/>
    <w:rsid w:val="00BF3BF7"/>
    <w:rsid w:val="00BF431B"/>
    <w:rsid w:val="00BF45BE"/>
    <w:rsid w:val="00BF4E61"/>
    <w:rsid w:val="00BF5630"/>
    <w:rsid w:val="00BF5E69"/>
    <w:rsid w:val="00BF6917"/>
    <w:rsid w:val="00BF6A80"/>
    <w:rsid w:val="00BF6FDF"/>
    <w:rsid w:val="00BF7704"/>
    <w:rsid w:val="00BF7904"/>
    <w:rsid w:val="00BF7E3A"/>
    <w:rsid w:val="00C00357"/>
    <w:rsid w:val="00C00C97"/>
    <w:rsid w:val="00C01122"/>
    <w:rsid w:val="00C018BA"/>
    <w:rsid w:val="00C02068"/>
    <w:rsid w:val="00C02931"/>
    <w:rsid w:val="00C03B83"/>
    <w:rsid w:val="00C03EDA"/>
    <w:rsid w:val="00C041B4"/>
    <w:rsid w:val="00C0421A"/>
    <w:rsid w:val="00C0467B"/>
    <w:rsid w:val="00C04B08"/>
    <w:rsid w:val="00C056CB"/>
    <w:rsid w:val="00C05B95"/>
    <w:rsid w:val="00C0653B"/>
    <w:rsid w:val="00C06D4E"/>
    <w:rsid w:val="00C07453"/>
    <w:rsid w:val="00C07595"/>
    <w:rsid w:val="00C07BA1"/>
    <w:rsid w:val="00C10756"/>
    <w:rsid w:val="00C10C5D"/>
    <w:rsid w:val="00C10CF6"/>
    <w:rsid w:val="00C1120A"/>
    <w:rsid w:val="00C11591"/>
    <w:rsid w:val="00C11D51"/>
    <w:rsid w:val="00C123F2"/>
    <w:rsid w:val="00C125F7"/>
    <w:rsid w:val="00C12CFC"/>
    <w:rsid w:val="00C14383"/>
    <w:rsid w:val="00C149A3"/>
    <w:rsid w:val="00C15CEE"/>
    <w:rsid w:val="00C16468"/>
    <w:rsid w:val="00C16556"/>
    <w:rsid w:val="00C165A1"/>
    <w:rsid w:val="00C165E1"/>
    <w:rsid w:val="00C16A15"/>
    <w:rsid w:val="00C17DCA"/>
    <w:rsid w:val="00C17EA8"/>
    <w:rsid w:val="00C20371"/>
    <w:rsid w:val="00C22CA2"/>
    <w:rsid w:val="00C22E76"/>
    <w:rsid w:val="00C22F4A"/>
    <w:rsid w:val="00C244CB"/>
    <w:rsid w:val="00C24C99"/>
    <w:rsid w:val="00C25590"/>
    <w:rsid w:val="00C25751"/>
    <w:rsid w:val="00C25887"/>
    <w:rsid w:val="00C27033"/>
    <w:rsid w:val="00C279D9"/>
    <w:rsid w:val="00C27D7B"/>
    <w:rsid w:val="00C30C5B"/>
    <w:rsid w:val="00C31E4C"/>
    <w:rsid w:val="00C321AC"/>
    <w:rsid w:val="00C32906"/>
    <w:rsid w:val="00C32AA5"/>
    <w:rsid w:val="00C32ACB"/>
    <w:rsid w:val="00C3356E"/>
    <w:rsid w:val="00C33FE9"/>
    <w:rsid w:val="00C340E7"/>
    <w:rsid w:val="00C3436F"/>
    <w:rsid w:val="00C3440D"/>
    <w:rsid w:val="00C34616"/>
    <w:rsid w:val="00C34936"/>
    <w:rsid w:val="00C3500E"/>
    <w:rsid w:val="00C352DA"/>
    <w:rsid w:val="00C362E0"/>
    <w:rsid w:val="00C36645"/>
    <w:rsid w:val="00C366BE"/>
    <w:rsid w:val="00C36923"/>
    <w:rsid w:val="00C37371"/>
    <w:rsid w:val="00C37834"/>
    <w:rsid w:val="00C40051"/>
    <w:rsid w:val="00C4027D"/>
    <w:rsid w:val="00C42D9F"/>
    <w:rsid w:val="00C43F9E"/>
    <w:rsid w:val="00C44C19"/>
    <w:rsid w:val="00C44F38"/>
    <w:rsid w:val="00C44F41"/>
    <w:rsid w:val="00C45020"/>
    <w:rsid w:val="00C45088"/>
    <w:rsid w:val="00C45B54"/>
    <w:rsid w:val="00C47068"/>
    <w:rsid w:val="00C4718F"/>
    <w:rsid w:val="00C50C01"/>
    <w:rsid w:val="00C50D83"/>
    <w:rsid w:val="00C52495"/>
    <w:rsid w:val="00C53356"/>
    <w:rsid w:val="00C533E5"/>
    <w:rsid w:val="00C539EE"/>
    <w:rsid w:val="00C54164"/>
    <w:rsid w:val="00C544EC"/>
    <w:rsid w:val="00C54C73"/>
    <w:rsid w:val="00C55120"/>
    <w:rsid w:val="00C5532C"/>
    <w:rsid w:val="00C5625C"/>
    <w:rsid w:val="00C5625E"/>
    <w:rsid w:val="00C56DB4"/>
    <w:rsid w:val="00C572B4"/>
    <w:rsid w:val="00C57A55"/>
    <w:rsid w:val="00C57FE0"/>
    <w:rsid w:val="00C57FFD"/>
    <w:rsid w:val="00C6004C"/>
    <w:rsid w:val="00C60531"/>
    <w:rsid w:val="00C61671"/>
    <w:rsid w:val="00C6167A"/>
    <w:rsid w:val="00C62384"/>
    <w:rsid w:val="00C6490D"/>
    <w:rsid w:val="00C64F84"/>
    <w:rsid w:val="00C64FB6"/>
    <w:rsid w:val="00C65556"/>
    <w:rsid w:val="00C65D35"/>
    <w:rsid w:val="00C6726C"/>
    <w:rsid w:val="00C673E2"/>
    <w:rsid w:val="00C70700"/>
    <w:rsid w:val="00C70975"/>
    <w:rsid w:val="00C71513"/>
    <w:rsid w:val="00C7192E"/>
    <w:rsid w:val="00C72603"/>
    <w:rsid w:val="00C7261C"/>
    <w:rsid w:val="00C72944"/>
    <w:rsid w:val="00C72DCB"/>
    <w:rsid w:val="00C75083"/>
    <w:rsid w:val="00C7508E"/>
    <w:rsid w:val="00C7543D"/>
    <w:rsid w:val="00C75AB1"/>
    <w:rsid w:val="00C75C4D"/>
    <w:rsid w:val="00C76B00"/>
    <w:rsid w:val="00C7767E"/>
    <w:rsid w:val="00C80E92"/>
    <w:rsid w:val="00C81363"/>
    <w:rsid w:val="00C81BA6"/>
    <w:rsid w:val="00C81BB2"/>
    <w:rsid w:val="00C82F75"/>
    <w:rsid w:val="00C83D76"/>
    <w:rsid w:val="00C83D7A"/>
    <w:rsid w:val="00C84557"/>
    <w:rsid w:val="00C84AA2"/>
    <w:rsid w:val="00C84C02"/>
    <w:rsid w:val="00C856D9"/>
    <w:rsid w:val="00C858E3"/>
    <w:rsid w:val="00C87526"/>
    <w:rsid w:val="00C87A7D"/>
    <w:rsid w:val="00C905D6"/>
    <w:rsid w:val="00C907FD"/>
    <w:rsid w:val="00C91094"/>
    <w:rsid w:val="00C9120C"/>
    <w:rsid w:val="00C91326"/>
    <w:rsid w:val="00C91BF6"/>
    <w:rsid w:val="00C91F51"/>
    <w:rsid w:val="00C92012"/>
    <w:rsid w:val="00C92B55"/>
    <w:rsid w:val="00C9415F"/>
    <w:rsid w:val="00C943F3"/>
    <w:rsid w:val="00C95309"/>
    <w:rsid w:val="00C9559F"/>
    <w:rsid w:val="00C95C46"/>
    <w:rsid w:val="00C95E66"/>
    <w:rsid w:val="00C9614A"/>
    <w:rsid w:val="00C9639B"/>
    <w:rsid w:val="00C96BE4"/>
    <w:rsid w:val="00C97572"/>
    <w:rsid w:val="00C97AD1"/>
    <w:rsid w:val="00C97BD7"/>
    <w:rsid w:val="00C97FF8"/>
    <w:rsid w:val="00CA02C6"/>
    <w:rsid w:val="00CA0635"/>
    <w:rsid w:val="00CA0764"/>
    <w:rsid w:val="00CA188D"/>
    <w:rsid w:val="00CA296A"/>
    <w:rsid w:val="00CA3256"/>
    <w:rsid w:val="00CA33AD"/>
    <w:rsid w:val="00CA351D"/>
    <w:rsid w:val="00CA3BDC"/>
    <w:rsid w:val="00CA4011"/>
    <w:rsid w:val="00CA42D5"/>
    <w:rsid w:val="00CA4EE7"/>
    <w:rsid w:val="00CA5489"/>
    <w:rsid w:val="00CA54C5"/>
    <w:rsid w:val="00CA5A74"/>
    <w:rsid w:val="00CA69EA"/>
    <w:rsid w:val="00CA6C11"/>
    <w:rsid w:val="00CA756B"/>
    <w:rsid w:val="00CA7B5A"/>
    <w:rsid w:val="00CB0C4C"/>
    <w:rsid w:val="00CB12E2"/>
    <w:rsid w:val="00CB20C1"/>
    <w:rsid w:val="00CB2286"/>
    <w:rsid w:val="00CB293A"/>
    <w:rsid w:val="00CB2C94"/>
    <w:rsid w:val="00CB2D51"/>
    <w:rsid w:val="00CB32E2"/>
    <w:rsid w:val="00CB3B06"/>
    <w:rsid w:val="00CB4088"/>
    <w:rsid w:val="00CB56ED"/>
    <w:rsid w:val="00CB6B96"/>
    <w:rsid w:val="00CB75A3"/>
    <w:rsid w:val="00CB7806"/>
    <w:rsid w:val="00CB7D2A"/>
    <w:rsid w:val="00CB7DA8"/>
    <w:rsid w:val="00CC0F78"/>
    <w:rsid w:val="00CC1BAC"/>
    <w:rsid w:val="00CC1F1A"/>
    <w:rsid w:val="00CC278A"/>
    <w:rsid w:val="00CC29C7"/>
    <w:rsid w:val="00CC2AA4"/>
    <w:rsid w:val="00CC324E"/>
    <w:rsid w:val="00CC37C4"/>
    <w:rsid w:val="00CC3822"/>
    <w:rsid w:val="00CC5035"/>
    <w:rsid w:val="00CC50E4"/>
    <w:rsid w:val="00CC571C"/>
    <w:rsid w:val="00CC57DD"/>
    <w:rsid w:val="00CC5AC2"/>
    <w:rsid w:val="00CC5D84"/>
    <w:rsid w:val="00CC634F"/>
    <w:rsid w:val="00CC646B"/>
    <w:rsid w:val="00CC6742"/>
    <w:rsid w:val="00CC6E42"/>
    <w:rsid w:val="00CD0176"/>
    <w:rsid w:val="00CD06D2"/>
    <w:rsid w:val="00CD1EC3"/>
    <w:rsid w:val="00CD342D"/>
    <w:rsid w:val="00CD3B6A"/>
    <w:rsid w:val="00CD4AE9"/>
    <w:rsid w:val="00CD5719"/>
    <w:rsid w:val="00CD5D21"/>
    <w:rsid w:val="00CD63DB"/>
    <w:rsid w:val="00CD6F32"/>
    <w:rsid w:val="00CD7113"/>
    <w:rsid w:val="00CD7A01"/>
    <w:rsid w:val="00CD7B44"/>
    <w:rsid w:val="00CE09C2"/>
    <w:rsid w:val="00CE0D71"/>
    <w:rsid w:val="00CE1DC7"/>
    <w:rsid w:val="00CE2A3F"/>
    <w:rsid w:val="00CE2F88"/>
    <w:rsid w:val="00CE3D76"/>
    <w:rsid w:val="00CE4549"/>
    <w:rsid w:val="00CE473D"/>
    <w:rsid w:val="00CE4898"/>
    <w:rsid w:val="00CE5954"/>
    <w:rsid w:val="00CE5CCC"/>
    <w:rsid w:val="00CE67DC"/>
    <w:rsid w:val="00CE6B0D"/>
    <w:rsid w:val="00CE6B64"/>
    <w:rsid w:val="00CE6FC0"/>
    <w:rsid w:val="00CE716B"/>
    <w:rsid w:val="00CE7B24"/>
    <w:rsid w:val="00CF0897"/>
    <w:rsid w:val="00CF11D7"/>
    <w:rsid w:val="00CF122C"/>
    <w:rsid w:val="00CF12CD"/>
    <w:rsid w:val="00CF1317"/>
    <w:rsid w:val="00CF138A"/>
    <w:rsid w:val="00CF14FC"/>
    <w:rsid w:val="00CF1F14"/>
    <w:rsid w:val="00CF3035"/>
    <w:rsid w:val="00CF3400"/>
    <w:rsid w:val="00CF3923"/>
    <w:rsid w:val="00CF3DFD"/>
    <w:rsid w:val="00CF4ABB"/>
    <w:rsid w:val="00CF5625"/>
    <w:rsid w:val="00CF5EFD"/>
    <w:rsid w:val="00CF60E5"/>
    <w:rsid w:val="00CF6565"/>
    <w:rsid w:val="00CF7566"/>
    <w:rsid w:val="00D0081D"/>
    <w:rsid w:val="00D023B8"/>
    <w:rsid w:val="00D0240B"/>
    <w:rsid w:val="00D02A37"/>
    <w:rsid w:val="00D02BD3"/>
    <w:rsid w:val="00D02D11"/>
    <w:rsid w:val="00D02E34"/>
    <w:rsid w:val="00D0305B"/>
    <w:rsid w:val="00D04154"/>
    <w:rsid w:val="00D04786"/>
    <w:rsid w:val="00D049C8"/>
    <w:rsid w:val="00D0535D"/>
    <w:rsid w:val="00D0593F"/>
    <w:rsid w:val="00D05B1D"/>
    <w:rsid w:val="00D06D0A"/>
    <w:rsid w:val="00D10116"/>
    <w:rsid w:val="00D10303"/>
    <w:rsid w:val="00D113BB"/>
    <w:rsid w:val="00D1179B"/>
    <w:rsid w:val="00D11CB5"/>
    <w:rsid w:val="00D12157"/>
    <w:rsid w:val="00D13570"/>
    <w:rsid w:val="00D13D42"/>
    <w:rsid w:val="00D143C5"/>
    <w:rsid w:val="00D1501E"/>
    <w:rsid w:val="00D158F0"/>
    <w:rsid w:val="00D15A73"/>
    <w:rsid w:val="00D15AEB"/>
    <w:rsid w:val="00D16265"/>
    <w:rsid w:val="00D16621"/>
    <w:rsid w:val="00D170F6"/>
    <w:rsid w:val="00D1737E"/>
    <w:rsid w:val="00D1772D"/>
    <w:rsid w:val="00D17892"/>
    <w:rsid w:val="00D20704"/>
    <w:rsid w:val="00D20C6A"/>
    <w:rsid w:val="00D2138F"/>
    <w:rsid w:val="00D214D9"/>
    <w:rsid w:val="00D21AD9"/>
    <w:rsid w:val="00D21F88"/>
    <w:rsid w:val="00D226C2"/>
    <w:rsid w:val="00D23946"/>
    <w:rsid w:val="00D23CA7"/>
    <w:rsid w:val="00D24087"/>
    <w:rsid w:val="00D248BB"/>
    <w:rsid w:val="00D25A0B"/>
    <w:rsid w:val="00D25C48"/>
    <w:rsid w:val="00D2635F"/>
    <w:rsid w:val="00D2645D"/>
    <w:rsid w:val="00D2735A"/>
    <w:rsid w:val="00D3149C"/>
    <w:rsid w:val="00D32F30"/>
    <w:rsid w:val="00D3308B"/>
    <w:rsid w:val="00D337FF"/>
    <w:rsid w:val="00D33A96"/>
    <w:rsid w:val="00D34132"/>
    <w:rsid w:val="00D3455B"/>
    <w:rsid w:val="00D34F62"/>
    <w:rsid w:val="00D35829"/>
    <w:rsid w:val="00D35AA2"/>
    <w:rsid w:val="00D36499"/>
    <w:rsid w:val="00D3671E"/>
    <w:rsid w:val="00D36C47"/>
    <w:rsid w:val="00D3781B"/>
    <w:rsid w:val="00D37E25"/>
    <w:rsid w:val="00D4015D"/>
    <w:rsid w:val="00D40346"/>
    <w:rsid w:val="00D42AB2"/>
    <w:rsid w:val="00D42C30"/>
    <w:rsid w:val="00D435A1"/>
    <w:rsid w:val="00D43A29"/>
    <w:rsid w:val="00D440FB"/>
    <w:rsid w:val="00D45022"/>
    <w:rsid w:val="00D463A6"/>
    <w:rsid w:val="00D473E5"/>
    <w:rsid w:val="00D47E1D"/>
    <w:rsid w:val="00D50E0F"/>
    <w:rsid w:val="00D50E36"/>
    <w:rsid w:val="00D50FE3"/>
    <w:rsid w:val="00D5193E"/>
    <w:rsid w:val="00D526BA"/>
    <w:rsid w:val="00D52BE5"/>
    <w:rsid w:val="00D534E8"/>
    <w:rsid w:val="00D540FA"/>
    <w:rsid w:val="00D54757"/>
    <w:rsid w:val="00D55746"/>
    <w:rsid w:val="00D55939"/>
    <w:rsid w:val="00D561D5"/>
    <w:rsid w:val="00D57A03"/>
    <w:rsid w:val="00D611DB"/>
    <w:rsid w:val="00D615A2"/>
    <w:rsid w:val="00D61A14"/>
    <w:rsid w:val="00D61AEB"/>
    <w:rsid w:val="00D62D87"/>
    <w:rsid w:val="00D64957"/>
    <w:rsid w:val="00D65CB5"/>
    <w:rsid w:val="00D65D29"/>
    <w:rsid w:val="00D665A3"/>
    <w:rsid w:val="00D66A10"/>
    <w:rsid w:val="00D66ADD"/>
    <w:rsid w:val="00D67050"/>
    <w:rsid w:val="00D67A2B"/>
    <w:rsid w:val="00D67BEF"/>
    <w:rsid w:val="00D67E39"/>
    <w:rsid w:val="00D70291"/>
    <w:rsid w:val="00D706AD"/>
    <w:rsid w:val="00D71366"/>
    <w:rsid w:val="00D716DA"/>
    <w:rsid w:val="00D7233E"/>
    <w:rsid w:val="00D72A96"/>
    <w:rsid w:val="00D72C5E"/>
    <w:rsid w:val="00D73093"/>
    <w:rsid w:val="00D730B7"/>
    <w:rsid w:val="00D73182"/>
    <w:rsid w:val="00D73190"/>
    <w:rsid w:val="00D74107"/>
    <w:rsid w:val="00D75494"/>
    <w:rsid w:val="00D75969"/>
    <w:rsid w:val="00D75A95"/>
    <w:rsid w:val="00D7616D"/>
    <w:rsid w:val="00D76C7A"/>
    <w:rsid w:val="00D77048"/>
    <w:rsid w:val="00D77F48"/>
    <w:rsid w:val="00D802FC"/>
    <w:rsid w:val="00D803D0"/>
    <w:rsid w:val="00D80A56"/>
    <w:rsid w:val="00D80AA9"/>
    <w:rsid w:val="00D80C4C"/>
    <w:rsid w:val="00D81458"/>
    <w:rsid w:val="00D81732"/>
    <w:rsid w:val="00D81DD5"/>
    <w:rsid w:val="00D829C6"/>
    <w:rsid w:val="00D829E9"/>
    <w:rsid w:val="00D84369"/>
    <w:rsid w:val="00D84F88"/>
    <w:rsid w:val="00D8579D"/>
    <w:rsid w:val="00D86BDA"/>
    <w:rsid w:val="00D86CE5"/>
    <w:rsid w:val="00D87167"/>
    <w:rsid w:val="00D8716E"/>
    <w:rsid w:val="00D871B2"/>
    <w:rsid w:val="00D90020"/>
    <w:rsid w:val="00D91CEA"/>
    <w:rsid w:val="00D921CC"/>
    <w:rsid w:val="00D921E5"/>
    <w:rsid w:val="00D935B0"/>
    <w:rsid w:val="00D936AF"/>
    <w:rsid w:val="00D93816"/>
    <w:rsid w:val="00D93EA6"/>
    <w:rsid w:val="00D94126"/>
    <w:rsid w:val="00D942E0"/>
    <w:rsid w:val="00D95226"/>
    <w:rsid w:val="00D9553E"/>
    <w:rsid w:val="00D957E9"/>
    <w:rsid w:val="00D95BEB"/>
    <w:rsid w:val="00D967FB"/>
    <w:rsid w:val="00D9720A"/>
    <w:rsid w:val="00D97AC7"/>
    <w:rsid w:val="00DA0842"/>
    <w:rsid w:val="00DA0879"/>
    <w:rsid w:val="00DA0D69"/>
    <w:rsid w:val="00DA188F"/>
    <w:rsid w:val="00DA21F6"/>
    <w:rsid w:val="00DA303F"/>
    <w:rsid w:val="00DA36EF"/>
    <w:rsid w:val="00DA3E7F"/>
    <w:rsid w:val="00DA4008"/>
    <w:rsid w:val="00DA4377"/>
    <w:rsid w:val="00DA4516"/>
    <w:rsid w:val="00DA4955"/>
    <w:rsid w:val="00DA4B29"/>
    <w:rsid w:val="00DA57DA"/>
    <w:rsid w:val="00DA63A6"/>
    <w:rsid w:val="00DA654D"/>
    <w:rsid w:val="00DA66B2"/>
    <w:rsid w:val="00DA69B8"/>
    <w:rsid w:val="00DA6AC4"/>
    <w:rsid w:val="00DA7717"/>
    <w:rsid w:val="00DA7831"/>
    <w:rsid w:val="00DA7AF2"/>
    <w:rsid w:val="00DB09FC"/>
    <w:rsid w:val="00DB194D"/>
    <w:rsid w:val="00DB2379"/>
    <w:rsid w:val="00DB2A7D"/>
    <w:rsid w:val="00DB36CD"/>
    <w:rsid w:val="00DB38B2"/>
    <w:rsid w:val="00DB3991"/>
    <w:rsid w:val="00DB4827"/>
    <w:rsid w:val="00DB4C9C"/>
    <w:rsid w:val="00DB5B27"/>
    <w:rsid w:val="00DB6E4A"/>
    <w:rsid w:val="00DB6E59"/>
    <w:rsid w:val="00DB762B"/>
    <w:rsid w:val="00DB76C7"/>
    <w:rsid w:val="00DC00E1"/>
    <w:rsid w:val="00DC06D5"/>
    <w:rsid w:val="00DC10BD"/>
    <w:rsid w:val="00DC18F5"/>
    <w:rsid w:val="00DC20E4"/>
    <w:rsid w:val="00DC261C"/>
    <w:rsid w:val="00DC2C3D"/>
    <w:rsid w:val="00DC3039"/>
    <w:rsid w:val="00DC3293"/>
    <w:rsid w:val="00DC3897"/>
    <w:rsid w:val="00DC39D9"/>
    <w:rsid w:val="00DC3F05"/>
    <w:rsid w:val="00DC43B4"/>
    <w:rsid w:val="00DC493D"/>
    <w:rsid w:val="00DC52AF"/>
    <w:rsid w:val="00DC5A75"/>
    <w:rsid w:val="00DC5F41"/>
    <w:rsid w:val="00DC6652"/>
    <w:rsid w:val="00DC6655"/>
    <w:rsid w:val="00DC66A2"/>
    <w:rsid w:val="00DC68E7"/>
    <w:rsid w:val="00DC6FBF"/>
    <w:rsid w:val="00DC77E8"/>
    <w:rsid w:val="00DD0355"/>
    <w:rsid w:val="00DD0DC4"/>
    <w:rsid w:val="00DD0DFA"/>
    <w:rsid w:val="00DD16BD"/>
    <w:rsid w:val="00DD1B9D"/>
    <w:rsid w:val="00DD1EF7"/>
    <w:rsid w:val="00DD2F65"/>
    <w:rsid w:val="00DD3BA5"/>
    <w:rsid w:val="00DD493D"/>
    <w:rsid w:val="00DD4986"/>
    <w:rsid w:val="00DD538E"/>
    <w:rsid w:val="00DD5454"/>
    <w:rsid w:val="00DD572D"/>
    <w:rsid w:val="00DD6031"/>
    <w:rsid w:val="00DD626D"/>
    <w:rsid w:val="00DD66E4"/>
    <w:rsid w:val="00DD7DF7"/>
    <w:rsid w:val="00DE078B"/>
    <w:rsid w:val="00DE0810"/>
    <w:rsid w:val="00DE0881"/>
    <w:rsid w:val="00DE1154"/>
    <w:rsid w:val="00DE27A9"/>
    <w:rsid w:val="00DE2B5A"/>
    <w:rsid w:val="00DE2B76"/>
    <w:rsid w:val="00DE2F14"/>
    <w:rsid w:val="00DE3215"/>
    <w:rsid w:val="00DE3832"/>
    <w:rsid w:val="00DE3989"/>
    <w:rsid w:val="00DE3E9A"/>
    <w:rsid w:val="00DE44F7"/>
    <w:rsid w:val="00DE46B7"/>
    <w:rsid w:val="00DE4DFC"/>
    <w:rsid w:val="00DE5B35"/>
    <w:rsid w:val="00DE5B84"/>
    <w:rsid w:val="00DE6DAA"/>
    <w:rsid w:val="00DF19A9"/>
    <w:rsid w:val="00DF1DB3"/>
    <w:rsid w:val="00DF266B"/>
    <w:rsid w:val="00DF3372"/>
    <w:rsid w:val="00DF3C40"/>
    <w:rsid w:val="00DF3CAD"/>
    <w:rsid w:val="00DF541E"/>
    <w:rsid w:val="00DF635F"/>
    <w:rsid w:val="00DF7553"/>
    <w:rsid w:val="00DF7A6F"/>
    <w:rsid w:val="00E0025C"/>
    <w:rsid w:val="00E00ABB"/>
    <w:rsid w:val="00E00EB5"/>
    <w:rsid w:val="00E01478"/>
    <w:rsid w:val="00E01634"/>
    <w:rsid w:val="00E01B97"/>
    <w:rsid w:val="00E01C1A"/>
    <w:rsid w:val="00E0215D"/>
    <w:rsid w:val="00E02B57"/>
    <w:rsid w:val="00E036E4"/>
    <w:rsid w:val="00E036F8"/>
    <w:rsid w:val="00E042C8"/>
    <w:rsid w:val="00E052A8"/>
    <w:rsid w:val="00E053FE"/>
    <w:rsid w:val="00E0555E"/>
    <w:rsid w:val="00E058A0"/>
    <w:rsid w:val="00E058C1"/>
    <w:rsid w:val="00E05D2B"/>
    <w:rsid w:val="00E06465"/>
    <w:rsid w:val="00E0660A"/>
    <w:rsid w:val="00E066E7"/>
    <w:rsid w:val="00E06988"/>
    <w:rsid w:val="00E06A95"/>
    <w:rsid w:val="00E073F2"/>
    <w:rsid w:val="00E074AD"/>
    <w:rsid w:val="00E074B6"/>
    <w:rsid w:val="00E07E4B"/>
    <w:rsid w:val="00E100B0"/>
    <w:rsid w:val="00E10DB5"/>
    <w:rsid w:val="00E1107A"/>
    <w:rsid w:val="00E11804"/>
    <w:rsid w:val="00E11939"/>
    <w:rsid w:val="00E11C95"/>
    <w:rsid w:val="00E11EC9"/>
    <w:rsid w:val="00E12611"/>
    <w:rsid w:val="00E12CC9"/>
    <w:rsid w:val="00E13093"/>
    <w:rsid w:val="00E1376F"/>
    <w:rsid w:val="00E138DE"/>
    <w:rsid w:val="00E14547"/>
    <w:rsid w:val="00E16AE2"/>
    <w:rsid w:val="00E17114"/>
    <w:rsid w:val="00E173E9"/>
    <w:rsid w:val="00E17E68"/>
    <w:rsid w:val="00E2010B"/>
    <w:rsid w:val="00E20BEC"/>
    <w:rsid w:val="00E20C56"/>
    <w:rsid w:val="00E21139"/>
    <w:rsid w:val="00E211EE"/>
    <w:rsid w:val="00E22980"/>
    <w:rsid w:val="00E22FED"/>
    <w:rsid w:val="00E23019"/>
    <w:rsid w:val="00E23B73"/>
    <w:rsid w:val="00E23F2A"/>
    <w:rsid w:val="00E24BA5"/>
    <w:rsid w:val="00E24FCE"/>
    <w:rsid w:val="00E25104"/>
    <w:rsid w:val="00E255F2"/>
    <w:rsid w:val="00E25A87"/>
    <w:rsid w:val="00E26283"/>
    <w:rsid w:val="00E26676"/>
    <w:rsid w:val="00E27354"/>
    <w:rsid w:val="00E27E2E"/>
    <w:rsid w:val="00E30076"/>
    <w:rsid w:val="00E31256"/>
    <w:rsid w:val="00E3191F"/>
    <w:rsid w:val="00E31FDD"/>
    <w:rsid w:val="00E339EB"/>
    <w:rsid w:val="00E33CC6"/>
    <w:rsid w:val="00E344EC"/>
    <w:rsid w:val="00E345B3"/>
    <w:rsid w:val="00E346C9"/>
    <w:rsid w:val="00E3631A"/>
    <w:rsid w:val="00E36622"/>
    <w:rsid w:val="00E36658"/>
    <w:rsid w:val="00E36A0D"/>
    <w:rsid w:val="00E36D6E"/>
    <w:rsid w:val="00E37179"/>
    <w:rsid w:val="00E3721C"/>
    <w:rsid w:val="00E3730B"/>
    <w:rsid w:val="00E37B68"/>
    <w:rsid w:val="00E37F22"/>
    <w:rsid w:val="00E400FF"/>
    <w:rsid w:val="00E40319"/>
    <w:rsid w:val="00E40332"/>
    <w:rsid w:val="00E4046E"/>
    <w:rsid w:val="00E406F0"/>
    <w:rsid w:val="00E40D48"/>
    <w:rsid w:val="00E41320"/>
    <w:rsid w:val="00E4192D"/>
    <w:rsid w:val="00E42BFE"/>
    <w:rsid w:val="00E42E60"/>
    <w:rsid w:val="00E42E81"/>
    <w:rsid w:val="00E42F2A"/>
    <w:rsid w:val="00E44128"/>
    <w:rsid w:val="00E444D2"/>
    <w:rsid w:val="00E45D20"/>
    <w:rsid w:val="00E463DF"/>
    <w:rsid w:val="00E47227"/>
    <w:rsid w:val="00E50A22"/>
    <w:rsid w:val="00E51780"/>
    <w:rsid w:val="00E51F3F"/>
    <w:rsid w:val="00E52596"/>
    <w:rsid w:val="00E52ACB"/>
    <w:rsid w:val="00E52F58"/>
    <w:rsid w:val="00E5306A"/>
    <w:rsid w:val="00E53312"/>
    <w:rsid w:val="00E5336B"/>
    <w:rsid w:val="00E539FF"/>
    <w:rsid w:val="00E53ADB"/>
    <w:rsid w:val="00E53D84"/>
    <w:rsid w:val="00E53FBA"/>
    <w:rsid w:val="00E53FD9"/>
    <w:rsid w:val="00E54380"/>
    <w:rsid w:val="00E54AD1"/>
    <w:rsid w:val="00E54C63"/>
    <w:rsid w:val="00E54CF9"/>
    <w:rsid w:val="00E54D27"/>
    <w:rsid w:val="00E551C6"/>
    <w:rsid w:val="00E55233"/>
    <w:rsid w:val="00E556CD"/>
    <w:rsid w:val="00E55C0D"/>
    <w:rsid w:val="00E5626F"/>
    <w:rsid w:val="00E56338"/>
    <w:rsid w:val="00E566FC"/>
    <w:rsid w:val="00E56770"/>
    <w:rsid w:val="00E56D8A"/>
    <w:rsid w:val="00E577CC"/>
    <w:rsid w:val="00E600F3"/>
    <w:rsid w:val="00E6049C"/>
    <w:rsid w:val="00E604A6"/>
    <w:rsid w:val="00E61635"/>
    <w:rsid w:val="00E622BC"/>
    <w:rsid w:val="00E630C8"/>
    <w:rsid w:val="00E63234"/>
    <w:rsid w:val="00E6389F"/>
    <w:rsid w:val="00E6409D"/>
    <w:rsid w:val="00E640CC"/>
    <w:rsid w:val="00E64107"/>
    <w:rsid w:val="00E64DB0"/>
    <w:rsid w:val="00E64E86"/>
    <w:rsid w:val="00E658F8"/>
    <w:rsid w:val="00E67087"/>
    <w:rsid w:val="00E67709"/>
    <w:rsid w:val="00E67C67"/>
    <w:rsid w:val="00E708F0"/>
    <w:rsid w:val="00E715BB"/>
    <w:rsid w:val="00E720E4"/>
    <w:rsid w:val="00E72541"/>
    <w:rsid w:val="00E728B9"/>
    <w:rsid w:val="00E734AC"/>
    <w:rsid w:val="00E7358F"/>
    <w:rsid w:val="00E744B5"/>
    <w:rsid w:val="00E753CE"/>
    <w:rsid w:val="00E7585E"/>
    <w:rsid w:val="00E7611A"/>
    <w:rsid w:val="00E7620C"/>
    <w:rsid w:val="00E768CE"/>
    <w:rsid w:val="00E76BC0"/>
    <w:rsid w:val="00E76F7F"/>
    <w:rsid w:val="00E77D33"/>
    <w:rsid w:val="00E805F1"/>
    <w:rsid w:val="00E80DB2"/>
    <w:rsid w:val="00E8118B"/>
    <w:rsid w:val="00E81616"/>
    <w:rsid w:val="00E818A7"/>
    <w:rsid w:val="00E81E71"/>
    <w:rsid w:val="00E83264"/>
    <w:rsid w:val="00E832BB"/>
    <w:rsid w:val="00E83304"/>
    <w:rsid w:val="00E837F0"/>
    <w:rsid w:val="00E83E04"/>
    <w:rsid w:val="00E8458F"/>
    <w:rsid w:val="00E84CDE"/>
    <w:rsid w:val="00E85365"/>
    <w:rsid w:val="00E85783"/>
    <w:rsid w:val="00E860F2"/>
    <w:rsid w:val="00E86E73"/>
    <w:rsid w:val="00E87332"/>
    <w:rsid w:val="00E876D7"/>
    <w:rsid w:val="00E9115E"/>
    <w:rsid w:val="00E91567"/>
    <w:rsid w:val="00E91CBB"/>
    <w:rsid w:val="00E91F5E"/>
    <w:rsid w:val="00E92288"/>
    <w:rsid w:val="00E92519"/>
    <w:rsid w:val="00E92658"/>
    <w:rsid w:val="00E92931"/>
    <w:rsid w:val="00E932A7"/>
    <w:rsid w:val="00E9363F"/>
    <w:rsid w:val="00E93E1B"/>
    <w:rsid w:val="00E94309"/>
    <w:rsid w:val="00E944B8"/>
    <w:rsid w:val="00E94963"/>
    <w:rsid w:val="00E949A1"/>
    <w:rsid w:val="00E95267"/>
    <w:rsid w:val="00E957D3"/>
    <w:rsid w:val="00E95CA3"/>
    <w:rsid w:val="00E95FD5"/>
    <w:rsid w:val="00E96393"/>
    <w:rsid w:val="00E96AD7"/>
    <w:rsid w:val="00E9703F"/>
    <w:rsid w:val="00E97533"/>
    <w:rsid w:val="00E97776"/>
    <w:rsid w:val="00E97C56"/>
    <w:rsid w:val="00E97E84"/>
    <w:rsid w:val="00EA03F9"/>
    <w:rsid w:val="00EA072A"/>
    <w:rsid w:val="00EA13F5"/>
    <w:rsid w:val="00EA1C9E"/>
    <w:rsid w:val="00EA1EA4"/>
    <w:rsid w:val="00EA27B6"/>
    <w:rsid w:val="00EA39C7"/>
    <w:rsid w:val="00EA3B88"/>
    <w:rsid w:val="00EA4075"/>
    <w:rsid w:val="00EA4428"/>
    <w:rsid w:val="00EA46C1"/>
    <w:rsid w:val="00EA6757"/>
    <w:rsid w:val="00EA7492"/>
    <w:rsid w:val="00EA74B4"/>
    <w:rsid w:val="00EA7864"/>
    <w:rsid w:val="00EA796C"/>
    <w:rsid w:val="00EA7BD5"/>
    <w:rsid w:val="00EB0202"/>
    <w:rsid w:val="00EB0218"/>
    <w:rsid w:val="00EB0A49"/>
    <w:rsid w:val="00EB0B4B"/>
    <w:rsid w:val="00EB0B7F"/>
    <w:rsid w:val="00EB1312"/>
    <w:rsid w:val="00EB15C2"/>
    <w:rsid w:val="00EB20ED"/>
    <w:rsid w:val="00EB2746"/>
    <w:rsid w:val="00EB28CC"/>
    <w:rsid w:val="00EB2B95"/>
    <w:rsid w:val="00EB3261"/>
    <w:rsid w:val="00EB353E"/>
    <w:rsid w:val="00EB3AAB"/>
    <w:rsid w:val="00EB3C7E"/>
    <w:rsid w:val="00EB4523"/>
    <w:rsid w:val="00EB4B9D"/>
    <w:rsid w:val="00EB5247"/>
    <w:rsid w:val="00EB68D4"/>
    <w:rsid w:val="00EB693B"/>
    <w:rsid w:val="00EB69C9"/>
    <w:rsid w:val="00EB7871"/>
    <w:rsid w:val="00EC043A"/>
    <w:rsid w:val="00EC1B68"/>
    <w:rsid w:val="00EC221E"/>
    <w:rsid w:val="00EC26B5"/>
    <w:rsid w:val="00EC3138"/>
    <w:rsid w:val="00EC3CC9"/>
    <w:rsid w:val="00EC40C1"/>
    <w:rsid w:val="00EC4801"/>
    <w:rsid w:val="00EC4D50"/>
    <w:rsid w:val="00EC4F01"/>
    <w:rsid w:val="00EC5D33"/>
    <w:rsid w:val="00EC5E94"/>
    <w:rsid w:val="00EC6B15"/>
    <w:rsid w:val="00EC6F95"/>
    <w:rsid w:val="00EC70FA"/>
    <w:rsid w:val="00EC7AC1"/>
    <w:rsid w:val="00ED0F39"/>
    <w:rsid w:val="00ED1236"/>
    <w:rsid w:val="00ED2647"/>
    <w:rsid w:val="00ED27B2"/>
    <w:rsid w:val="00ED28DE"/>
    <w:rsid w:val="00ED34FF"/>
    <w:rsid w:val="00ED3C67"/>
    <w:rsid w:val="00ED414F"/>
    <w:rsid w:val="00ED4562"/>
    <w:rsid w:val="00ED4760"/>
    <w:rsid w:val="00ED4A2C"/>
    <w:rsid w:val="00ED4A47"/>
    <w:rsid w:val="00ED4AF3"/>
    <w:rsid w:val="00ED5127"/>
    <w:rsid w:val="00ED5439"/>
    <w:rsid w:val="00ED6740"/>
    <w:rsid w:val="00ED6CA1"/>
    <w:rsid w:val="00ED7A48"/>
    <w:rsid w:val="00ED7ACC"/>
    <w:rsid w:val="00ED7FAA"/>
    <w:rsid w:val="00EE11F4"/>
    <w:rsid w:val="00EE18DB"/>
    <w:rsid w:val="00EE25AA"/>
    <w:rsid w:val="00EE2FD2"/>
    <w:rsid w:val="00EE4339"/>
    <w:rsid w:val="00EE44B1"/>
    <w:rsid w:val="00EE4E32"/>
    <w:rsid w:val="00EE5FC0"/>
    <w:rsid w:val="00EE695F"/>
    <w:rsid w:val="00EE6FFE"/>
    <w:rsid w:val="00EE7472"/>
    <w:rsid w:val="00EE75D0"/>
    <w:rsid w:val="00EE772E"/>
    <w:rsid w:val="00EE7886"/>
    <w:rsid w:val="00EF0015"/>
    <w:rsid w:val="00EF042D"/>
    <w:rsid w:val="00EF075F"/>
    <w:rsid w:val="00EF125A"/>
    <w:rsid w:val="00EF1282"/>
    <w:rsid w:val="00EF1BC6"/>
    <w:rsid w:val="00EF26DE"/>
    <w:rsid w:val="00EF27D4"/>
    <w:rsid w:val="00EF2A45"/>
    <w:rsid w:val="00EF2D06"/>
    <w:rsid w:val="00EF319E"/>
    <w:rsid w:val="00EF3FEF"/>
    <w:rsid w:val="00EF5C08"/>
    <w:rsid w:val="00EF6A38"/>
    <w:rsid w:val="00EF6D28"/>
    <w:rsid w:val="00EF7147"/>
    <w:rsid w:val="00EF7490"/>
    <w:rsid w:val="00EF7BCB"/>
    <w:rsid w:val="00F00874"/>
    <w:rsid w:val="00F01146"/>
    <w:rsid w:val="00F0174A"/>
    <w:rsid w:val="00F018DF"/>
    <w:rsid w:val="00F019CC"/>
    <w:rsid w:val="00F01DD7"/>
    <w:rsid w:val="00F03185"/>
    <w:rsid w:val="00F032C7"/>
    <w:rsid w:val="00F033D1"/>
    <w:rsid w:val="00F034CF"/>
    <w:rsid w:val="00F0396F"/>
    <w:rsid w:val="00F03C77"/>
    <w:rsid w:val="00F03C7E"/>
    <w:rsid w:val="00F03EB1"/>
    <w:rsid w:val="00F052BF"/>
    <w:rsid w:val="00F05411"/>
    <w:rsid w:val="00F0561B"/>
    <w:rsid w:val="00F05D8E"/>
    <w:rsid w:val="00F067FF"/>
    <w:rsid w:val="00F0685A"/>
    <w:rsid w:val="00F07720"/>
    <w:rsid w:val="00F07724"/>
    <w:rsid w:val="00F078AE"/>
    <w:rsid w:val="00F07CE1"/>
    <w:rsid w:val="00F07EC0"/>
    <w:rsid w:val="00F108AE"/>
    <w:rsid w:val="00F10913"/>
    <w:rsid w:val="00F114E3"/>
    <w:rsid w:val="00F11BA3"/>
    <w:rsid w:val="00F11E7F"/>
    <w:rsid w:val="00F1209C"/>
    <w:rsid w:val="00F12D6E"/>
    <w:rsid w:val="00F1302A"/>
    <w:rsid w:val="00F141CB"/>
    <w:rsid w:val="00F14EDD"/>
    <w:rsid w:val="00F15378"/>
    <w:rsid w:val="00F15B2A"/>
    <w:rsid w:val="00F15D4E"/>
    <w:rsid w:val="00F16409"/>
    <w:rsid w:val="00F16F11"/>
    <w:rsid w:val="00F16F6A"/>
    <w:rsid w:val="00F175A6"/>
    <w:rsid w:val="00F17BD1"/>
    <w:rsid w:val="00F17DDD"/>
    <w:rsid w:val="00F2182A"/>
    <w:rsid w:val="00F21BA9"/>
    <w:rsid w:val="00F21EDD"/>
    <w:rsid w:val="00F226AD"/>
    <w:rsid w:val="00F232D7"/>
    <w:rsid w:val="00F23EDE"/>
    <w:rsid w:val="00F23F36"/>
    <w:rsid w:val="00F24CEA"/>
    <w:rsid w:val="00F260D5"/>
    <w:rsid w:val="00F26DB2"/>
    <w:rsid w:val="00F27460"/>
    <w:rsid w:val="00F2799D"/>
    <w:rsid w:val="00F302CA"/>
    <w:rsid w:val="00F309A0"/>
    <w:rsid w:val="00F30D3F"/>
    <w:rsid w:val="00F311FF"/>
    <w:rsid w:val="00F31819"/>
    <w:rsid w:val="00F32A86"/>
    <w:rsid w:val="00F32FCA"/>
    <w:rsid w:val="00F3331E"/>
    <w:rsid w:val="00F33B48"/>
    <w:rsid w:val="00F33DF5"/>
    <w:rsid w:val="00F35F18"/>
    <w:rsid w:val="00F36A00"/>
    <w:rsid w:val="00F36BA8"/>
    <w:rsid w:val="00F36DF2"/>
    <w:rsid w:val="00F371B5"/>
    <w:rsid w:val="00F37765"/>
    <w:rsid w:val="00F37A2F"/>
    <w:rsid w:val="00F4031E"/>
    <w:rsid w:val="00F40FEF"/>
    <w:rsid w:val="00F413CF"/>
    <w:rsid w:val="00F41AAB"/>
    <w:rsid w:val="00F41F67"/>
    <w:rsid w:val="00F42D6A"/>
    <w:rsid w:val="00F42DB0"/>
    <w:rsid w:val="00F440FB"/>
    <w:rsid w:val="00F446B4"/>
    <w:rsid w:val="00F44AEC"/>
    <w:rsid w:val="00F44EAC"/>
    <w:rsid w:val="00F450D9"/>
    <w:rsid w:val="00F451A6"/>
    <w:rsid w:val="00F4581A"/>
    <w:rsid w:val="00F45C1C"/>
    <w:rsid w:val="00F46316"/>
    <w:rsid w:val="00F4703A"/>
    <w:rsid w:val="00F50E31"/>
    <w:rsid w:val="00F516B0"/>
    <w:rsid w:val="00F51C7B"/>
    <w:rsid w:val="00F52A70"/>
    <w:rsid w:val="00F5322C"/>
    <w:rsid w:val="00F538CC"/>
    <w:rsid w:val="00F542F1"/>
    <w:rsid w:val="00F54326"/>
    <w:rsid w:val="00F55005"/>
    <w:rsid w:val="00F5557F"/>
    <w:rsid w:val="00F55BBF"/>
    <w:rsid w:val="00F55EAE"/>
    <w:rsid w:val="00F56D76"/>
    <w:rsid w:val="00F57EF6"/>
    <w:rsid w:val="00F6013C"/>
    <w:rsid w:val="00F60A74"/>
    <w:rsid w:val="00F60AC9"/>
    <w:rsid w:val="00F60B93"/>
    <w:rsid w:val="00F60DEF"/>
    <w:rsid w:val="00F61090"/>
    <w:rsid w:val="00F61099"/>
    <w:rsid w:val="00F61FC6"/>
    <w:rsid w:val="00F628CB"/>
    <w:rsid w:val="00F62A00"/>
    <w:rsid w:val="00F62C39"/>
    <w:rsid w:val="00F62E64"/>
    <w:rsid w:val="00F63C9B"/>
    <w:rsid w:val="00F6421F"/>
    <w:rsid w:val="00F64650"/>
    <w:rsid w:val="00F64802"/>
    <w:rsid w:val="00F64BCB"/>
    <w:rsid w:val="00F65120"/>
    <w:rsid w:val="00F65219"/>
    <w:rsid w:val="00F65302"/>
    <w:rsid w:val="00F66229"/>
    <w:rsid w:val="00F66787"/>
    <w:rsid w:val="00F6679D"/>
    <w:rsid w:val="00F66856"/>
    <w:rsid w:val="00F67B0C"/>
    <w:rsid w:val="00F7121E"/>
    <w:rsid w:val="00F71545"/>
    <w:rsid w:val="00F7155A"/>
    <w:rsid w:val="00F722DD"/>
    <w:rsid w:val="00F735A4"/>
    <w:rsid w:val="00F73C31"/>
    <w:rsid w:val="00F73CE4"/>
    <w:rsid w:val="00F73FA3"/>
    <w:rsid w:val="00F73FC4"/>
    <w:rsid w:val="00F74917"/>
    <w:rsid w:val="00F74EED"/>
    <w:rsid w:val="00F76075"/>
    <w:rsid w:val="00F76411"/>
    <w:rsid w:val="00F8067E"/>
    <w:rsid w:val="00F8087D"/>
    <w:rsid w:val="00F80B02"/>
    <w:rsid w:val="00F80FD4"/>
    <w:rsid w:val="00F816C4"/>
    <w:rsid w:val="00F8170D"/>
    <w:rsid w:val="00F81B91"/>
    <w:rsid w:val="00F824EA"/>
    <w:rsid w:val="00F829AA"/>
    <w:rsid w:val="00F83137"/>
    <w:rsid w:val="00F8313E"/>
    <w:rsid w:val="00F831F3"/>
    <w:rsid w:val="00F8349E"/>
    <w:rsid w:val="00F84B36"/>
    <w:rsid w:val="00F85A3C"/>
    <w:rsid w:val="00F862C0"/>
    <w:rsid w:val="00F87228"/>
    <w:rsid w:val="00F87725"/>
    <w:rsid w:val="00F87B2A"/>
    <w:rsid w:val="00F87C0E"/>
    <w:rsid w:val="00F87C72"/>
    <w:rsid w:val="00F900EC"/>
    <w:rsid w:val="00F90175"/>
    <w:rsid w:val="00F905FA"/>
    <w:rsid w:val="00F923C6"/>
    <w:rsid w:val="00F940DC"/>
    <w:rsid w:val="00F94B67"/>
    <w:rsid w:val="00F95B6B"/>
    <w:rsid w:val="00F95E98"/>
    <w:rsid w:val="00F95FC1"/>
    <w:rsid w:val="00F96D21"/>
    <w:rsid w:val="00F97FED"/>
    <w:rsid w:val="00FA0018"/>
    <w:rsid w:val="00FA02B0"/>
    <w:rsid w:val="00FA06F1"/>
    <w:rsid w:val="00FA1044"/>
    <w:rsid w:val="00FA274F"/>
    <w:rsid w:val="00FA3909"/>
    <w:rsid w:val="00FA39C9"/>
    <w:rsid w:val="00FA3A48"/>
    <w:rsid w:val="00FA3EFF"/>
    <w:rsid w:val="00FA4315"/>
    <w:rsid w:val="00FA4430"/>
    <w:rsid w:val="00FA489F"/>
    <w:rsid w:val="00FA5E9A"/>
    <w:rsid w:val="00FA65CF"/>
    <w:rsid w:val="00FA6B3C"/>
    <w:rsid w:val="00FA7EC0"/>
    <w:rsid w:val="00FB07FB"/>
    <w:rsid w:val="00FB08A8"/>
    <w:rsid w:val="00FB169B"/>
    <w:rsid w:val="00FB3168"/>
    <w:rsid w:val="00FB31C4"/>
    <w:rsid w:val="00FB447E"/>
    <w:rsid w:val="00FB48AF"/>
    <w:rsid w:val="00FB4BDA"/>
    <w:rsid w:val="00FB4EAA"/>
    <w:rsid w:val="00FB53CB"/>
    <w:rsid w:val="00FB65EA"/>
    <w:rsid w:val="00FC03F2"/>
    <w:rsid w:val="00FC0E8F"/>
    <w:rsid w:val="00FC11A3"/>
    <w:rsid w:val="00FC1889"/>
    <w:rsid w:val="00FC2237"/>
    <w:rsid w:val="00FC265E"/>
    <w:rsid w:val="00FC266A"/>
    <w:rsid w:val="00FC2E8B"/>
    <w:rsid w:val="00FC2E8C"/>
    <w:rsid w:val="00FC387A"/>
    <w:rsid w:val="00FC3D52"/>
    <w:rsid w:val="00FC451A"/>
    <w:rsid w:val="00FC4747"/>
    <w:rsid w:val="00FC4EDC"/>
    <w:rsid w:val="00FC5412"/>
    <w:rsid w:val="00FC59FE"/>
    <w:rsid w:val="00FC5ACB"/>
    <w:rsid w:val="00FC77CE"/>
    <w:rsid w:val="00FC7FC2"/>
    <w:rsid w:val="00FD077D"/>
    <w:rsid w:val="00FD097E"/>
    <w:rsid w:val="00FD0B52"/>
    <w:rsid w:val="00FD0EE9"/>
    <w:rsid w:val="00FD0F18"/>
    <w:rsid w:val="00FD0F73"/>
    <w:rsid w:val="00FD1849"/>
    <w:rsid w:val="00FD1E5D"/>
    <w:rsid w:val="00FD222C"/>
    <w:rsid w:val="00FD2363"/>
    <w:rsid w:val="00FD2948"/>
    <w:rsid w:val="00FD31B3"/>
    <w:rsid w:val="00FD369F"/>
    <w:rsid w:val="00FD41A8"/>
    <w:rsid w:val="00FD439A"/>
    <w:rsid w:val="00FD4497"/>
    <w:rsid w:val="00FD4511"/>
    <w:rsid w:val="00FD4650"/>
    <w:rsid w:val="00FD6124"/>
    <w:rsid w:val="00FD6180"/>
    <w:rsid w:val="00FD6682"/>
    <w:rsid w:val="00FD7138"/>
    <w:rsid w:val="00FD7311"/>
    <w:rsid w:val="00FD7F86"/>
    <w:rsid w:val="00FE1485"/>
    <w:rsid w:val="00FE1C96"/>
    <w:rsid w:val="00FE224C"/>
    <w:rsid w:val="00FE32FA"/>
    <w:rsid w:val="00FE4294"/>
    <w:rsid w:val="00FE429D"/>
    <w:rsid w:val="00FE4325"/>
    <w:rsid w:val="00FE4ABC"/>
    <w:rsid w:val="00FE4CA6"/>
    <w:rsid w:val="00FE4E43"/>
    <w:rsid w:val="00FE565C"/>
    <w:rsid w:val="00FE61FF"/>
    <w:rsid w:val="00FE63A0"/>
    <w:rsid w:val="00FE6478"/>
    <w:rsid w:val="00FE6BA0"/>
    <w:rsid w:val="00FE7299"/>
    <w:rsid w:val="00FE7F21"/>
    <w:rsid w:val="00FF065C"/>
    <w:rsid w:val="00FF08B1"/>
    <w:rsid w:val="00FF10C6"/>
    <w:rsid w:val="00FF245F"/>
    <w:rsid w:val="00FF418D"/>
    <w:rsid w:val="00FF4211"/>
    <w:rsid w:val="00FF4ADB"/>
    <w:rsid w:val="00FF5D28"/>
    <w:rsid w:val="00FF633A"/>
    <w:rsid w:val="00FF672F"/>
    <w:rsid w:val="00FF6AC5"/>
    <w:rsid w:val="00FF6E8C"/>
    <w:rsid w:val="00FF7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09FAF8-BF9A-412F-99EC-E410D823B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6C9"/>
    <w:pPr>
      <w:spacing w:after="120"/>
      <w:ind w:firstLine="709"/>
      <w:jc w:val="both"/>
    </w:pPr>
    <w:rPr>
      <w:rFonts w:ascii="Cambria" w:eastAsia="Times New Roman" w:hAnsi="Cambria" w:cs="Tahoma"/>
      <w:bCs/>
      <w:color w:val="404040"/>
      <w:sz w:val="22"/>
      <w:szCs w:val="24"/>
      <w:lang w:val="sr-Cyrl-CS"/>
    </w:rPr>
  </w:style>
  <w:style w:type="paragraph" w:styleId="Heading1">
    <w:name w:val="heading 1"/>
    <w:basedOn w:val="Normal"/>
    <w:next w:val="Normal"/>
    <w:link w:val="Heading1Char"/>
    <w:autoRedefine/>
    <w:uiPriority w:val="9"/>
    <w:qFormat/>
    <w:rsid w:val="003E033B"/>
    <w:pPr>
      <w:keepNext/>
      <w:numPr>
        <w:numId w:val="1"/>
      </w:numPr>
      <w:spacing w:before="240" w:after="60"/>
      <w:outlineLvl w:val="0"/>
    </w:pPr>
    <w:rPr>
      <w:rFonts w:asciiTheme="majorHAnsi" w:hAnsiTheme="majorHAnsi" w:cs="Calibri"/>
      <w:color w:val="4F6228" w:themeColor="accent3" w:themeShade="80"/>
      <w:kern w:val="32"/>
      <w:sz w:val="32"/>
      <w:szCs w:val="32"/>
    </w:rPr>
  </w:style>
  <w:style w:type="paragraph" w:styleId="Heading2">
    <w:name w:val="heading 2"/>
    <w:basedOn w:val="Normal"/>
    <w:next w:val="Normal"/>
    <w:link w:val="Heading2Char"/>
    <w:uiPriority w:val="9"/>
    <w:unhideWhenUsed/>
    <w:qFormat/>
    <w:rsid w:val="001B3484"/>
    <w:pPr>
      <w:keepNext/>
      <w:numPr>
        <w:numId w:val="2"/>
      </w:numPr>
      <w:spacing w:before="240" w:after="60"/>
      <w:outlineLvl w:val="1"/>
    </w:pPr>
    <w:rPr>
      <w:rFonts w:cs="Times New Roman"/>
      <w:b/>
      <w:i/>
      <w:iCs/>
      <w:color w:val="9BBB59" w:themeColor="accent3"/>
      <w:sz w:val="28"/>
      <w:szCs w:val="28"/>
    </w:rPr>
  </w:style>
  <w:style w:type="paragraph" w:styleId="Heading3">
    <w:name w:val="heading 3"/>
    <w:basedOn w:val="Normal"/>
    <w:next w:val="Normal"/>
    <w:link w:val="Heading3Char"/>
    <w:uiPriority w:val="9"/>
    <w:unhideWhenUsed/>
    <w:qFormat/>
    <w:rsid w:val="00F32A86"/>
    <w:pPr>
      <w:keepNext/>
      <w:numPr>
        <w:numId w:val="3"/>
      </w:numPr>
      <w:spacing w:before="240" w:after="60"/>
      <w:outlineLvl w:val="2"/>
    </w:pPr>
    <w:rPr>
      <w:rFonts w:cs="Times New Roman"/>
      <w:b/>
      <w:color w:val="51671F"/>
      <w:sz w:val="26"/>
      <w:szCs w:val="26"/>
    </w:rPr>
  </w:style>
  <w:style w:type="paragraph" w:styleId="Heading4">
    <w:name w:val="heading 4"/>
    <w:basedOn w:val="Normal"/>
    <w:next w:val="Normal"/>
    <w:link w:val="Heading4Char"/>
    <w:uiPriority w:val="9"/>
    <w:unhideWhenUsed/>
    <w:qFormat/>
    <w:rsid w:val="004A606C"/>
    <w:pPr>
      <w:keepNext/>
      <w:keepLines/>
      <w:spacing w:before="200"/>
      <w:outlineLvl w:val="3"/>
    </w:pPr>
    <w:rPr>
      <w:rFonts w:cs="Times New Roman"/>
      <w:b/>
      <w:i/>
      <w:iCs/>
      <w:color w:val="4F81BD"/>
      <w:szCs w:val="22"/>
      <w:lang w:val="en-US" w:bidi="en-US"/>
    </w:rPr>
  </w:style>
  <w:style w:type="paragraph" w:styleId="Heading5">
    <w:name w:val="heading 5"/>
    <w:basedOn w:val="Normal"/>
    <w:next w:val="Normal"/>
    <w:link w:val="Heading5Char"/>
    <w:uiPriority w:val="9"/>
    <w:semiHidden/>
    <w:unhideWhenUsed/>
    <w:qFormat/>
    <w:rsid w:val="004A606C"/>
    <w:pPr>
      <w:keepNext/>
      <w:keepLines/>
      <w:spacing w:before="200"/>
      <w:outlineLvl w:val="4"/>
    </w:pPr>
    <w:rPr>
      <w:rFonts w:cs="Times New Roman"/>
      <w:bCs w:val="0"/>
      <w:color w:val="243F60"/>
      <w:szCs w:val="22"/>
      <w:lang w:val="en-US" w:bidi="en-US"/>
    </w:rPr>
  </w:style>
  <w:style w:type="paragraph" w:styleId="Heading6">
    <w:name w:val="heading 6"/>
    <w:basedOn w:val="Normal"/>
    <w:next w:val="Normal"/>
    <w:link w:val="Heading6Char"/>
    <w:uiPriority w:val="9"/>
    <w:semiHidden/>
    <w:unhideWhenUsed/>
    <w:qFormat/>
    <w:rsid w:val="004A606C"/>
    <w:pPr>
      <w:keepNext/>
      <w:keepLines/>
      <w:spacing w:before="200"/>
      <w:outlineLvl w:val="5"/>
    </w:pPr>
    <w:rPr>
      <w:rFonts w:cs="Times New Roman"/>
      <w:bCs w:val="0"/>
      <w:i/>
      <w:iCs/>
      <w:color w:val="243F60"/>
      <w:szCs w:val="22"/>
      <w:lang w:val="en-US" w:bidi="en-US"/>
    </w:rPr>
  </w:style>
  <w:style w:type="paragraph" w:styleId="Heading7">
    <w:name w:val="heading 7"/>
    <w:basedOn w:val="Normal"/>
    <w:next w:val="Normal"/>
    <w:link w:val="Heading7Char"/>
    <w:uiPriority w:val="9"/>
    <w:semiHidden/>
    <w:unhideWhenUsed/>
    <w:qFormat/>
    <w:rsid w:val="004A606C"/>
    <w:pPr>
      <w:keepNext/>
      <w:keepLines/>
      <w:spacing w:before="200"/>
      <w:outlineLvl w:val="6"/>
    </w:pPr>
    <w:rPr>
      <w:rFonts w:cs="Times New Roman"/>
      <w:bCs w:val="0"/>
      <w:i/>
      <w:iCs/>
      <w:szCs w:val="22"/>
      <w:lang w:val="en-US" w:bidi="en-US"/>
    </w:rPr>
  </w:style>
  <w:style w:type="paragraph" w:styleId="Heading8">
    <w:name w:val="heading 8"/>
    <w:basedOn w:val="Normal"/>
    <w:next w:val="Normal"/>
    <w:link w:val="Heading8Char"/>
    <w:uiPriority w:val="9"/>
    <w:semiHidden/>
    <w:unhideWhenUsed/>
    <w:qFormat/>
    <w:rsid w:val="004A606C"/>
    <w:pPr>
      <w:keepNext/>
      <w:keepLines/>
      <w:spacing w:before="200"/>
      <w:outlineLvl w:val="7"/>
    </w:pPr>
    <w:rPr>
      <w:rFonts w:cs="Times New Roman"/>
      <w:bCs w:val="0"/>
      <w:color w:val="4F81BD"/>
      <w:sz w:val="20"/>
      <w:szCs w:val="20"/>
      <w:lang w:val="en-US" w:bidi="en-US"/>
    </w:rPr>
  </w:style>
  <w:style w:type="paragraph" w:styleId="Heading9">
    <w:name w:val="heading 9"/>
    <w:basedOn w:val="Normal"/>
    <w:next w:val="Normal"/>
    <w:link w:val="Heading9Char"/>
    <w:uiPriority w:val="9"/>
    <w:semiHidden/>
    <w:unhideWhenUsed/>
    <w:qFormat/>
    <w:rsid w:val="004A606C"/>
    <w:pPr>
      <w:keepNext/>
      <w:keepLines/>
      <w:spacing w:before="200"/>
      <w:outlineLvl w:val="8"/>
    </w:pPr>
    <w:rPr>
      <w:rFonts w:cs="Times New Roman"/>
      <w:bCs w:val="0"/>
      <w:i/>
      <w:iCs/>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FS2012tekst">
    <w:name w:val="IFS 2012 tekst"/>
    <w:basedOn w:val="Normal"/>
    <w:uiPriority w:val="99"/>
    <w:qFormat/>
    <w:rsid w:val="005E6304"/>
    <w:rPr>
      <w:rFonts w:eastAsia="Calibri" w:cs="Times New Roman"/>
      <w:bCs w:val="0"/>
      <w:sz w:val="21"/>
      <w:szCs w:val="22"/>
    </w:rPr>
  </w:style>
  <w:style w:type="paragraph" w:customStyle="1" w:styleId="IFS2012naslov1">
    <w:name w:val="IFS 2012 naslov 1"/>
    <w:basedOn w:val="Heading1"/>
    <w:qFormat/>
    <w:rsid w:val="003E033B"/>
    <w:pPr>
      <w:keepLines/>
      <w:numPr>
        <w:numId w:val="20"/>
      </w:numPr>
      <w:spacing w:before="0" w:after="0"/>
      <w:jc w:val="left"/>
    </w:pPr>
    <w:rPr>
      <w:b/>
      <w:kern w:val="0"/>
      <w:szCs w:val="24"/>
    </w:rPr>
  </w:style>
  <w:style w:type="paragraph" w:customStyle="1" w:styleId="IFS2012Naslov2">
    <w:name w:val="IFS 2012 Naslov 2"/>
    <w:basedOn w:val="Heading2"/>
    <w:autoRedefine/>
    <w:qFormat/>
    <w:rsid w:val="003274D9"/>
    <w:pPr>
      <w:keepNext w:val="0"/>
      <w:keepLines/>
      <w:spacing w:before="0" w:after="0"/>
      <w:ind w:left="714" w:hanging="357"/>
      <w:jc w:val="left"/>
    </w:pPr>
    <w:rPr>
      <w:b w:val="0"/>
      <w:i w:val="0"/>
      <w:iCs w:val="0"/>
      <w:szCs w:val="24"/>
    </w:rPr>
  </w:style>
  <w:style w:type="paragraph" w:customStyle="1" w:styleId="IFS2012naslov3">
    <w:name w:val="IFS 2012 naslov 3"/>
    <w:basedOn w:val="Heading3"/>
    <w:autoRedefine/>
    <w:qFormat/>
    <w:rsid w:val="006D67D3"/>
    <w:pPr>
      <w:keepNext w:val="0"/>
      <w:keepLines/>
      <w:numPr>
        <w:numId w:val="0"/>
      </w:numPr>
      <w:spacing w:before="0" w:after="0"/>
      <w:ind w:firstLine="709"/>
      <w:outlineLvl w:val="9"/>
    </w:pPr>
    <w:rPr>
      <w:b w:val="0"/>
      <w:noProof/>
      <w:color w:val="7F7F7F" w:themeColor="text1" w:themeTint="80"/>
      <w:sz w:val="24"/>
      <w:szCs w:val="24"/>
      <w:lang w:val="sr-Cyrl-RS" w:bidi="en-US"/>
    </w:rPr>
  </w:style>
  <w:style w:type="paragraph" w:styleId="ListParagraph">
    <w:name w:val="List Paragraph"/>
    <w:basedOn w:val="Normal"/>
    <w:link w:val="ListParagraphChar"/>
    <w:uiPriority w:val="34"/>
    <w:qFormat/>
    <w:rsid w:val="00B8700B"/>
    <w:pPr>
      <w:spacing w:before="120" w:line="276" w:lineRule="auto"/>
      <w:ind w:left="720"/>
      <w:contextualSpacing/>
    </w:pPr>
    <w:rPr>
      <w:rFonts w:ascii="Calibri" w:eastAsia="Calibri" w:hAnsi="Calibri" w:cs="Times New Roman"/>
      <w:bCs w:val="0"/>
      <w:szCs w:val="22"/>
    </w:rPr>
  </w:style>
  <w:style w:type="character" w:customStyle="1" w:styleId="Heading1Char">
    <w:name w:val="Heading 1 Char"/>
    <w:link w:val="Heading1"/>
    <w:uiPriority w:val="9"/>
    <w:rsid w:val="003E033B"/>
    <w:rPr>
      <w:rFonts w:asciiTheme="majorHAnsi" w:eastAsia="Times New Roman" w:hAnsiTheme="majorHAnsi" w:cs="Calibri"/>
      <w:bCs/>
      <w:color w:val="4F6228" w:themeColor="accent3" w:themeShade="80"/>
      <w:kern w:val="32"/>
      <w:sz w:val="32"/>
      <w:szCs w:val="32"/>
      <w:lang w:val="sr-Cyrl-CS"/>
    </w:rPr>
  </w:style>
  <w:style w:type="character" w:customStyle="1" w:styleId="Heading2Char">
    <w:name w:val="Heading 2 Char"/>
    <w:link w:val="Heading2"/>
    <w:uiPriority w:val="9"/>
    <w:rsid w:val="001B3484"/>
    <w:rPr>
      <w:rFonts w:ascii="Cambria" w:eastAsia="Times New Roman" w:hAnsi="Cambria"/>
      <w:b/>
      <w:bCs/>
      <w:i/>
      <w:iCs/>
      <w:color w:val="9BBB59" w:themeColor="accent3"/>
      <w:sz w:val="28"/>
      <w:szCs w:val="28"/>
      <w:lang w:val="sr-Cyrl-CS"/>
    </w:rPr>
  </w:style>
  <w:style w:type="character" w:customStyle="1" w:styleId="Heading3Char">
    <w:name w:val="Heading 3 Char"/>
    <w:link w:val="Heading3"/>
    <w:uiPriority w:val="9"/>
    <w:rsid w:val="00F32A86"/>
    <w:rPr>
      <w:rFonts w:ascii="Cambria" w:eastAsia="Times New Roman" w:hAnsi="Cambria"/>
      <w:b/>
      <w:bCs/>
      <w:color w:val="51671F"/>
      <w:sz w:val="26"/>
      <w:szCs w:val="26"/>
      <w:lang w:val="sr-Cyrl-CS"/>
    </w:rPr>
  </w:style>
  <w:style w:type="paragraph" w:styleId="Header">
    <w:name w:val="header"/>
    <w:basedOn w:val="Normal"/>
    <w:link w:val="HeaderChar"/>
    <w:uiPriority w:val="99"/>
    <w:unhideWhenUsed/>
    <w:rsid w:val="009B6136"/>
    <w:pPr>
      <w:tabs>
        <w:tab w:val="center" w:pos="4513"/>
        <w:tab w:val="right" w:pos="9026"/>
      </w:tabs>
    </w:pPr>
  </w:style>
  <w:style w:type="character" w:customStyle="1" w:styleId="HeaderChar">
    <w:name w:val="Header Char"/>
    <w:link w:val="Header"/>
    <w:uiPriority w:val="99"/>
    <w:rsid w:val="009B6136"/>
    <w:rPr>
      <w:rFonts w:ascii="Cambria" w:eastAsia="Times New Roman" w:hAnsi="Cambria" w:cs="Tahoma"/>
      <w:bCs/>
      <w:color w:val="404040"/>
      <w:sz w:val="22"/>
      <w:szCs w:val="24"/>
      <w:lang w:val="sr-Cyrl-CS"/>
    </w:rPr>
  </w:style>
  <w:style w:type="paragraph" w:styleId="Footer">
    <w:name w:val="footer"/>
    <w:basedOn w:val="Normal"/>
    <w:link w:val="FooterChar"/>
    <w:uiPriority w:val="99"/>
    <w:unhideWhenUsed/>
    <w:rsid w:val="00D67BEF"/>
    <w:pPr>
      <w:tabs>
        <w:tab w:val="center" w:pos="4513"/>
        <w:tab w:val="right" w:pos="9026"/>
      </w:tabs>
    </w:pPr>
  </w:style>
  <w:style w:type="character" w:customStyle="1" w:styleId="FooterChar">
    <w:name w:val="Footer Char"/>
    <w:link w:val="Footer"/>
    <w:uiPriority w:val="99"/>
    <w:rsid w:val="00D67BEF"/>
    <w:rPr>
      <w:rFonts w:ascii="Times New Roman" w:eastAsia="Times New Roman" w:hAnsi="Times New Roman" w:cs="Tahoma"/>
      <w:bCs/>
      <w:sz w:val="24"/>
      <w:szCs w:val="24"/>
      <w:lang w:val="sr-Cyrl-CS" w:eastAsia="en-US"/>
    </w:rPr>
  </w:style>
  <w:style w:type="paragraph" w:styleId="NoSpacing">
    <w:name w:val="No Spacing"/>
    <w:link w:val="NoSpacingChar"/>
    <w:uiPriority w:val="1"/>
    <w:qFormat/>
    <w:rsid w:val="00133739"/>
    <w:pPr>
      <w:jc w:val="both"/>
    </w:pPr>
    <w:rPr>
      <w:rFonts w:eastAsia="Times New Roman"/>
      <w:sz w:val="22"/>
      <w:szCs w:val="22"/>
    </w:rPr>
  </w:style>
  <w:style w:type="character" w:customStyle="1" w:styleId="NoSpacingChar">
    <w:name w:val="No Spacing Char"/>
    <w:link w:val="NoSpacing"/>
    <w:uiPriority w:val="1"/>
    <w:rsid w:val="00133739"/>
    <w:rPr>
      <w:rFonts w:eastAsia="Times New Roman"/>
      <w:sz w:val="22"/>
      <w:szCs w:val="22"/>
      <w:lang w:val="en-US" w:eastAsia="en-US" w:bidi="ar-SA"/>
    </w:rPr>
  </w:style>
  <w:style w:type="paragraph" w:styleId="TOCHeading">
    <w:name w:val="TOC Heading"/>
    <w:basedOn w:val="Heading1"/>
    <w:next w:val="Normal"/>
    <w:uiPriority w:val="39"/>
    <w:unhideWhenUsed/>
    <w:qFormat/>
    <w:rsid w:val="00246043"/>
    <w:pPr>
      <w:keepLines/>
      <w:spacing w:before="480" w:after="0" w:line="276" w:lineRule="auto"/>
      <w:jc w:val="left"/>
      <w:outlineLvl w:val="9"/>
    </w:pPr>
    <w:rPr>
      <w:color w:val="365F91"/>
      <w:kern w:val="0"/>
      <w:sz w:val="28"/>
      <w:szCs w:val="28"/>
    </w:rPr>
  </w:style>
  <w:style w:type="paragraph" w:styleId="TOC1">
    <w:name w:val="toc 1"/>
    <w:basedOn w:val="Normal"/>
    <w:next w:val="Normal"/>
    <w:autoRedefine/>
    <w:uiPriority w:val="39"/>
    <w:unhideWhenUsed/>
    <w:qFormat/>
    <w:rsid w:val="002721CF"/>
    <w:pPr>
      <w:tabs>
        <w:tab w:val="left" w:pos="1320"/>
        <w:tab w:val="right" w:leader="dot" w:pos="9016"/>
      </w:tabs>
      <w:spacing w:after="0"/>
      <w:ind w:left="624" w:hanging="567"/>
      <w:jc w:val="left"/>
    </w:pPr>
  </w:style>
  <w:style w:type="paragraph" w:styleId="TOC2">
    <w:name w:val="toc 2"/>
    <w:basedOn w:val="Normal"/>
    <w:next w:val="Normal"/>
    <w:autoRedefine/>
    <w:uiPriority w:val="39"/>
    <w:unhideWhenUsed/>
    <w:qFormat/>
    <w:rsid w:val="009B6136"/>
    <w:pPr>
      <w:tabs>
        <w:tab w:val="left" w:pos="936"/>
        <w:tab w:val="left" w:pos="1540"/>
        <w:tab w:val="right" w:leader="dot" w:pos="9016"/>
      </w:tabs>
      <w:spacing w:before="120"/>
      <w:ind w:left="1333" w:hanging="936"/>
    </w:pPr>
  </w:style>
  <w:style w:type="paragraph" w:styleId="TOC3">
    <w:name w:val="toc 3"/>
    <w:basedOn w:val="Normal"/>
    <w:next w:val="Normal"/>
    <w:autoRedefine/>
    <w:uiPriority w:val="39"/>
    <w:unhideWhenUsed/>
    <w:qFormat/>
    <w:rsid w:val="004C1FB0"/>
    <w:pPr>
      <w:tabs>
        <w:tab w:val="left" w:pos="1100"/>
        <w:tab w:val="right" w:leader="dot" w:pos="9016"/>
      </w:tabs>
      <w:ind w:left="851" w:hanging="397"/>
    </w:pPr>
  </w:style>
  <w:style w:type="character" w:styleId="Hyperlink">
    <w:name w:val="Hyperlink"/>
    <w:uiPriority w:val="99"/>
    <w:unhideWhenUsed/>
    <w:rsid w:val="00246043"/>
    <w:rPr>
      <w:color w:val="0000FF"/>
      <w:u w:val="single"/>
    </w:rPr>
  </w:style>
  <w:style w:type="paragraph" w:styleId="BalloonText">
    <w:name w:val="Balloon Text"/>
    <w:basedOn w:val="Normal"/>
    <w:link w:val="BalloonTextChar"/>
    <w:uiPriority w:val="99"/>
    <w:semiHidden/>
    <w:unhideWhenUsed/>
    <w:rsid w:val="00E944B8"/>
    <w:rPr>
      <w:rFonts w:ascii="Tahoma" w:hAnsi="Tahoma"/>
      <w:sz w:val="16"/>
      <w:szCs w:val="16"/>
    </w:rPr>
  </w:style>
  <w:style w:type="character" w:customStyle="1" w:styleId="BalloonTextChar">
    <w:name w:val="Balloon Text Char"/>
    <w:link w:val="BalloonText"/>
    <w:uiPriority w:val="99"/>
    <w:semiHidden/>
    <w:rsid w:val="00E944B8"/>
    <w:rPr>
      <w:rFonts w:ascii="Tahoma" w:eastAsia="Times New Roman" w:hAnsi="Tahoma" w:cs="Tahoma"/>
      <w:bCs/>
      <w:sz w:val="16"/>
      <w:szCs w:val="16"/>
      <w:lang w:val="sr-Cyrl-CS" w:eastAsia="en-US"/>
    </w:rPr>
  </w:style>
  <w:style w:type="paragraph" w:customStyle="1" w:styleId="Analizatekst">
    <w:name w:val="Analiza tekst"/>
    <w:basedOn w:val="Normal"/>
    <w:link w:val="AnalizatekstChar"/>
    <w:qFormat/>
    <w:rsid w:val="00C36645"/>
    <w:rPr>
      <w:rFonts w:ascii="Calibri" w:hAnsi="Calibri" w:cs="Times New Roman"/>
      <w:bCs w:val="0"/>
      <w:szCs w:val="22"/>
    </w:rPr>
  </w:style>
  <w:style w:type="character" w:customStyle="1" w:styleId="AnalizatekstChar">
    <w:name w:val="Analiza tekst Char"/>
    <w:link w:val="Analizatekst"/>
    <w:rsid w:val="00C36645"/>
    <w:rPr>
      <w:rFonts w:ascii="Calibri" w:eastAsia="Times New Roman" w:hAnsi="Calibri" w:cs="Times New Roman"/>
      <w:sz w:val="22"/>
      <w:szCs w:val="22"/>
      <w:lang w:val="sr-Cyrl-CS" w:eastAsia="en-US"/>
    </w:rPr>
  </w:style>
  <w:style w:type="table" w:styleId="TableGrid">
    <w:name w:val="Table Grid"/>
    <w:basedOn w:val="TableNormal"/>
    <w:uiPriority w:val="39"/>
    <w:rsid w:val="00265328"/>
    <w:rPr>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A0842"/>
    <w:pPr>
      <w:spacing w:before="100" w:beforeAutospacing="1" w:after="100" w:afterAutospacing="1"/>
      <w:jc w:val="left"/>
    </w:pPr>
    <w:rPr>
      <w:rFonts w:cs="Times New Roman"/>
      <w:bCs w:val="0"/>
      <w:lang w:val="en-US" w:bidi="en-US"/>
    </w:rPr>
  </w:style>
  <w:style w:type="character" w:customStyle="1" w:styleId="Heading4Char">
    <w:name w:val="Heading 4 Char"/>
    <w:link w:val="Heading4"/>
    <w:uiPriority w:val="9"/>
    <w:rsid w:val="004A606C"/>
    <w:rPr>
      <w:rFonts w:ascii="Cambria" w:eastAsia="Times New Roman" w:hAnsi="Cambria" w:cs="Times New Roman"/>
      <w:b/>
      <w:bCs/>
      <w:i/>
      <w:iCs/>
      <w:color w:val="4F81BD"/>
      <w:sz w:val="22"/>
      <w:szCs w:val="22"/>
      <w:lang w:val="en-US" w:eastAsia="en-US" w:bidi="en-US"/>
    </w:rPr>
  </w:style>
  <w:style w:type="character" w:customStyle="1" w:styleId="Heading5Char">
    <w:name w:val="Heading 5 Char"/>
    <w:link w:val="Heading5"/>
    <w:uiPriority w:val="9"/>
    <w:semiHidden/>
    <w:rsid w:val="004A606C"/>
    <w:rPr>
      <w:rFonts w:ascii="Cambria" w:eastAsia="Times New Roman" w:hAnsi="Cambria" w:cs="Times New Roman"/>
      <w:color w:val="243F60"/>
      <w:sz w:val="22"/>
      <w:szCs w:val="22"/>
      <w:lang w:val="en-US" w:eastAsia="en-US" w:bidi="en-US"/>
    </w:rPr>
  </w:style>
  <w:style w:type="character" w:customStyle="1" w:styleId="Heading6Char">
    <w:name w:val="Heading 6 Char"/>
    <w:link w:val="Heading6"/>
    <w:uiPriority w:val="9"/>
    <w:semiHidden/>
    <w:rsid w:val="004A606C"/>
    <w:rPr>
      <w:rFonts w:ascii="Cambria" w:eastAsia="Times New Roman" w:hAnsi="Cambria" w:cs="Times New Roman"/>
      <w:i/>
      <w:iCs/>
      <w:color w:val="243F60"/>
      <w:sz w:val="22"/>
      <w:szCs w:val="22"/>
      <w:lang w:val="en-US" w:eastAsia="en-US" w:bidi="en-US"/>
    </w:rPr>
  </w:style>
  <w:style w:type="character" w:customStyle="1" w:styleId="Heading7Char">
    <w:name w:val="Heading 7 Char"/>
    <w:link w:val="Heading7"/>
    <w:uiPriority w:val="9"/>
    <w:semiHidden/>
    <w:rsid w:val="004A606C"/>
    <w:rPr>
      <w:rFonts w:ascii="Cambria" w:eastAsia="Times New Roman" w:hAnsi="Cambria" w:cs="Times New Roman"/>
      <w:i/>
      <w:iCs/>
      <w:color w:val="404040"/>
      <w:sz w:val="22"/>
      <w:szCs w:val="22"/>
      <w:lang w:val="en-US" w:eastAsia="en-US" w:bidi="en-US"/>
    </w:rPr>
  </w:style>
  <w:style w:type="character" w:customStyle="1" w:styleId="Heading8Char">
    <w:name w:val="Heading 8 Char"/>
    <w:link w:val="Heading8"/>
    <w:uiPriority w:val="9"/>
    <w:semiHidden/>
    <w:rsid w:val="004A606C"/>
    <w:rPr>
      <w:rFonts w:ascii="Cambria" w:eastAsia="Times New Roman" w:hAnsi="Cambria" w:cs="Times New Roman"/>
      <w:color w:val="4F81BD"/>
      <w:lang w:val="en-US" w:eastAsia="en-US" w:bidi="en-US"/>
    </w:rPr>
  </w:style>
  <w:style w:type="character" w:customStyle="1" w:styleId="Heading9Char">
    <w:name w:val="Heading 9 Char"/>
    <w:link w:val="Heading9"/>
    <w:uiPriority w:val="9"/>
    <w:semiHidden/>
    <w:rsid w:val="004A606C"/>
    <w:rPr>
      <w:rFonts w:ascii="Cambria" w:eastAsia="Times New Roman" w:hAnsi="Cambria" w:cs="Times New Roman"/>
      <w:i/>
      <w:iCs/>
      <w:color w:val="404040"/>
      <w:lang w:val="en-US" w:eastAsia="en-US" w:bidi="en-US"/>
    </w:rPr>
  </w:style>
  <w:style w:type="paragraph" w:styleId="Caption">
    <w:name w:val="caption"/>
    <w:basedOn w:val="Normal"/>
    <w:next w:val="Normal"/>
    <w:unhideWhenUsed/>
    <w:qFormat/>
    <w:rsid w:val="004A606C"/>
    <w:pPr>
      <w:spacing w:before="120"/>
    </w:pPr>
    <w:rPr>
      <w:rFonts w:ascii="Calibri" w:eastAsia="Calibri" w:hAnsi="Calibri" w:cs="Times New Roman"/>
      <w:b/>
      <w:color w:val="4F81BD"/>
      <w:sz w:val="18"/>
      <w:szCs w:val="18"/>
      <w:lang w:val="en-US" w:bidi="en-US"/>
    </w:rPr>
  </w:style>
  <w:style w:type="paragraph" w:styleId="Title">
    <w:name w:val="Title"/>
    <w:basedOn w:val="Normal"/>
    <w:next w:val="Normal"/>
    <w:link w:val="TitleChar"/>
    <w:uiPriority w:val="10"/>
    <w:qFormat/>
    <w:rsid w:val="004A606C"/>
    <w:pPr>
      <w:pBdr>
        <w:bottom w:val="single" w:sz="8" w:space="4" w:color="4F81BD"/>
      </w:pBdr>
      <w:spacing w:before="120" w:after="300"/>
      <w:contextualSpacing/>
    </w:pPr>
    <w:rPr>
      <w:rFonts w:cs="Times New Roman"/>
      <w:bCs w:val="0"/>
      <w:color w:val="17365D"/>
      <w:spacing w:val="5"/>
      <w:kern w:val="28"/>
      <w:sz w:val="52"/>
      <w:szCs w:val="52"/>
      <w:lang w:val="en-US" w:bidi="en-US"/>
    </w:rPr>
  </w:style>
  <w:style w:type="character" w:customStyle="1" w:styleId="TitleChar">
    <w:name w:val="Title Char"/>
    <w:link w:val="Title"/>
    <w:uiPriority w:val="10"/>
    <w:rsid w:val="004A606C"/>
    <w:rPr>
      <w:rFonts w:ascii="Cambria" w:eastAsia="Times New Roman" w:hAnsi="Cambria" w:cs="Times New Roman"/>
      <w:color w:val="17365D"/>
      <w:spacing w:val="5"/>
      <w:kern w:val="28"/>
      <w:sz w:val="52"/>
      <w:szCs w:val="52"/>
      <w:lang w:val="en-US" w:eastAsia="en-US" w:bidi="en-US"/>
    </w:rPr>
  </w:style>
  <w:style w:type="paragraph" w:styleId="Subtitle">
    <w:name w:val="Subtitle"/>
    <w:basedOn w:val="Normal"/>
    <w:next w:val="Normal"/>
    <w:link w:val="SubtitleChar"/>
    <w:uiPriority w:val="11"/>
    <w:qFormat/>
    <w:rsid w:val="004A606C"/>
    <w:pPr>
      <w:numPr>
        <w:ilvl w:val="1"/>
      </w:numPr>
      <w:spacing w:before="120"/>
      <w:ind w:firstLine="709"/>
    </w:pPr>
    <w:rPr>
      <w:rFonts w:cs="Times New Roman"/>
      <w:bCs w:val="0"/>
      <w:i/>
      <w:iCs/>
      <w:color w:val="4F81BD"/>
      <w:spacing w:val="15"/>
      <w:lang w:val="en-US" w:bidi="en-US"/>
    </w:rPr>
  </w:style>
  <w:style w:type="character" w:customStyle="1" w:styleId="SubtitleChar">
    <w:name w:val="Subtitle Char"/>
    <w:link w:val="Subtitle"/>
    <w:uiPriority w:val="11"/>
    <w:rsid w:val="004A606C"/>
    <w:rPr>
      <w:rFonts w:ascii="Cambria" w:eastAsia="Times New Roman" w:hAnsi="Cambria" w:cs="Times New Roman"/>
      <w:i/>
      <w:iCs/>
      <w:color w:val="4F81BD"/>
      <w:spacing w:val="15"/>
      <w:sz w:val="24"/>
      <w:szCs w:val="24"/>
      <w:lang w:val="en-US" w:eastAsia="en-US" w:bidi="en-US"/>
    </w:rPr>
  </w:style>
  <w:style w:type="character" w:styleId="Strong">
    <w:name w:val="Strong"/>
    <w:uiPriority w:val="22"/>
    <w:qFormat/>
    <w:rsid w:val="004A606C"/>
    <w:rPr>
      <w:b/>
      <w:bCs/>
    </w:rPr>
  </w:style>
  <w:style w:type="character" w:styleId="Emphasis">
    <w:name w:val="Emphasis"/>
    <w:uiPriority w:val="20"/>
    <w:qFormat/>
    <w:rsid w:val="004A606C"/>
    <w:rPr>
      <w:i/>
      <w:iCs/>
    </w:rPr>
  </w:style>
  <w:style w:type="paragraph" w:styleId="Quote">
    <w:name w:val="Quote"/>
    <w:basedOn w:val="Normal"/>
    <w:next w:val="Normal"/>
    <w:link w:val="QuoteChar"/>
    <w:uiPriority w:val="29"/>
    <w:qFormat/>
    <w:rsid w:val="004A606C"/>
    <w:pPr>
      <w:spacing w:before="120"/>
    </w:pPr>
    <w:rPr>
      <w:rFonts w:ascii="Calibri" w:eastAsia="Calibri" w:hAnsi="Calibri" w:cs="Times New Roman"/>
      <w:bCs w:val="0"/>
      <w:i/>
      <w:iCs/>
      <w:color w:val="000000"/>
      <w:szCs w:val="22"/>
      <w:lang w:val="en-US" w:bidi="en-US"/>
    </w:rPr>
  </w:style>
  <w:style w:type="character" w:customStyle="1" w:styleId="QuoteChar">
    <w:name w:val="Quote Char"/>
    <w:link w:val="Quote"/>
    <w:uiPriority w:val="29"/>
    <w:rsid w:val="004A606C"/>
    <w:rPr>
      <w:rFonts w:ascii="Calibri" w:eastAsia="Calibri" w:hAnsi="Calibri" w:cs="Times New Roman"/>
      <w:i/>
      <w:iCs/>
      <w:color w:val="000000"/>
      <w:sz w:val="22"/>
      <w:szCs w:val="22"/>
      <w:lang w:val="en-US" w:eastAsia="en-US" w:bidi="en-US"/>
    </w:rPr>
  </w:style>
  <w:style w:type="paragraph" w:styleId="IntenseQuote">
    <w:name w:val="Intense Quote"/>
    <w:basedOn w:val="Normal"/>
    <w:next w:val="Normal"/>
    <w:link w:val="IntenseQuoteChar"/>
    <w:uiPriority w:val="30"/>
    <w:qFormat/>
    <w:rsid w:val="004A606C"/>
    <w:pPr>
      <w:pBdr>
        <w:bottom w:val="single" w:sz="4" w:space="4" w:color="4F81BD"/>
      </w:pBdr>
      <w:spacing w:before="200" w:after="280"/>
      <w:ind w:left="936" w:right="936"/>
    </w:pPr>
    <w:rPr>
      <w:rFonts w:ascii="Calibri" w:eastAsia="Calibri" w:hAnsi="Calibri" w:cs="Times New Roman"/>
      <w:b/>
      <w:i/>
      <w:iCs/>
      <w:color w:val="4F81BD"/>
      <w:szCs w:val="22"/>
      <w:lang w:val="en-US" w:bidi="en-US"/>
    </w:rPr>
  </w:style>
  <w:style w:type="character" w:customStyle="1" w:styleId="IntenseQuoteChar">
    <w:name w:val="Intense Quote Char"/>
    <w:link w:val="IntenseQuote"/>
    <w:uiPriority w:val="30"/>
    <w:rsid w:val="004A606C"/>
    <w:rPr>
      <w:rFonts w:ascii="Calibri" w:eastAsia="Calibri" w:hAnsi="Calibri" w:cs="Times New Roman"/>
      <w:b/>
      <w:bCs/>
      <w:i/>
      <w:iCs/>
      <w:color w:val="4F81BD"/>
      <w:sz w:val="22"/>
      <w:szCs w:val="22"/>
      <w:lang w:val="en-US" w:eastAsia="en-US" w:bidi="en-US"/>
    </w:rPr>
  </w:style>
  <w:style w:type="character" w:styleId="SubtleEmphasis">
    <w:name w:val="Subtle Emphasis"/>
    <w:uiPriority w:val="19"/>
    <w:qFormat/>
    <w:rsid w:val="004A606C"/>
    <w:rPr>
      <w:i/>
      <w:iCs/>
      <w:color w:val="808080"/>
    </w:rPr>
  </w:style>
  <w:style w:type="character" w:styleId="IntenseEmphasis">
    <w:name w:val="Intense Emphasis"/>
    <w:uiPriority w:val="21"/>
    <w:qFormat/>
    <w:rsid w:val="004A606C"/>
    <w:rPr>
      <w:b/>
      <w:bCs/>
      <w:i/>
      <w:iCs/>
      <w:color w:val="4F81BD"/>
    </w:rPr>
  </w:style>
  <w:style w:type="character" w:styleId="SubtleReference">
    <w:name w:val="Subtle Reference"/>
    <w:uiPriority w:val="31"/>
    <w:qFormat/>
    <w:rsid w:val="004A606C"/>
    <w:rPr>
      <w:smallCaps/>
      <w:color w:val="C0504D"/>
      <w:u w:val="single"/>
    </w:rPr>
  </w:style>
  <w:style w:type="character" w:styleId="IntenseReference">
    <w:name w:val="Intense Reference"/>
    <w:uiPriority w:val="32"/>
    <w:qFormat/>
    <w:rsid w:val="004A606C"/>
    <w:rPr>
      <w:b/>
      <w:bCs/>
      <w:smallCaps/>
      <w:color w:val="C0504D"/>
      <w:spacing w:val="5"/>
      <w:u w:val="single"/>
    </w:rPr>
  </w:style>
  <w:style w:type="character" w:styleId="BookTitle">
    <w:name w:val="Book Title"/>
    <w:uiPriority w:val="33"/>
    <w:qFormat/>
    <w:rsid w:val="004A606C"/>
    <w:rPr>
      <w:b/>
      <w:bCs/>
      <w:smallCaps/>
      <w:spacing w:val="5"/>
    </w:rPr>
  </w:style>
  <w:style w:type="table" w:styleId="LightList-Accent3">
    <w:name w:val="Light List Accent 3"/>
    <w:aliases w:val="tabele 3"/>
    <w:basedOn w:val="TableNormal"/>
    <w:uiPriority w:val="61"/>
    <w:rsid w:val="004A606C"/>
    <w:rPr>
      <w:rFonts w:ascii="Cambria Math"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D526BA"/>
    <w:pPr>
      <w:spacing w:line="276" w:lineRule="auto"/>
      <w:jc w:val="left"/>
    </w:pPr>
    <w:rPr>
      <w:rFonts w:ascii="Calibri" w:eastAsia="Calibri" w:hAnsi="Calibri" w:cs="Times New Roman"/>
      <w:bCs w:val="0"/>
      <w:szCs w:val="22"/>
      <w:lang w:val="en-US"/>
    </w:rPr>
  </w:style>
  <w:style w:type="character" w:customStyle="1" w:styleId="BodyTextChar">
    <w:name w:val="Body Text Char"/>
    <w:link w:val="BodyText"/>
    <w:uiPriority w:val="99"/>
    <w:rsid w:val="00D526BA"/>
    <w:rPr>
      <w:rFonts w:ascii="Calibri" w:eastAsia="Calibri" w:hAnsi="Calibri" w:cs="Times New Roman"/>
      <w:sz w:val="22"/>
      <w:szCs w:val="22"/>
    </w:rPr>
  </w:style>
  <w:style w:type="table" w:customStyle="1" w:styleId="LightShading-Accent11">
    <w:name w:val="Light Shading - Accent 11"/>
    <w:basedOn w:val="TableNormal"/>
    <w:uiPriority w:val="60"/>
    <w:rsid w:val="00A9291D"/>
    <w:pPr>
      <w:ind w:left="568" w:hanging="284"/>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B054C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B054C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003F06"/>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003F06"/>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003F06"/>
    <w:rPr>
      <w:rFonts w:ascii="Constantia" w:eastAsia="Constantia" w:hAnsi="Constantia"/>
      <w:sz w:val="22"/>
      <w:szCs w:val="22"/>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003F06"/>
    <w:rPr>
      <w:rFonts w:ascii="Times New Roman" w:eastAsia="Constantia" w:hAnsi="Times New Roman"/>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003F06"/>
    <w:rPr>
      <w:rFonts w:ascii="Constantia" w:eastAsia="Constantia" w:hAnsi="Constantia"/>
      <w:color w:val="000000"/>
      <w:sz w:val="22"/>
      <w:szCs w:val="22"/>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
    <w:basedOn w:val="Normal"/>
    <w:link w:val="FootnoteTextChar"/>
    <w:uiPriority w:val="99"/>
    <w:unhideWhenUsed/>
    <w:rsid w:val="00003F06"/>
    <w:rPr>
      <w:sz w:val="20"/>
      <w:szCs w:val="20"/>
    </w:rPr>
  </w:style>
  <w:style w:type="character" w:customStyle="1" w:styleId="FootnoteTextChar">
    <w:name w:val="Footnote Text Char"/>
    <w:aliases w:val="Footnote Text Char Char Char Char,Footnote Text Char Char Char1"/>
    <w:link w:val="FootnoteText"/>
    <w:uiPriority w:val="99"/>
    <w:rsid w:val="00003F06"/>
    <w:rPr>
      <w:rFonts w:ascii="Times New Roman" w:eastAsia="Times New Roman" w:hAnsi="Times New Roman" w:cs="Tahoma"/>
      <w:bCs/>
      <w:lang w:val="sr-Cyrl-CS"/>
    </w:rPr>
  </w:style>
  <w:style w:type="character" w:styleId="FootnoteReference">
    <w:name w:val="footnote reference"/>
    <w:uiPriority w:val="99"/>
    <w:unhideWhenUsed/>
    <w:rsid w:val="00003F06"/>
    <w:rPr>
      <w:vertAlign w:val="superscript"/>
    </w:rPr>
  </w:style>
  <w:style w:type="table" w:styleId="MediumList1-Accent5">
    <w:name w:val="Medium List 1 Accent 5"/>
    <w:basedOn w:val="TableNormal"/>
    <w:uiPriority w:val="65"/>
    <w:rsid w:val="00003F06"/>
    <w:rPr>
      <w:color w:val="00000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41">
    <w:name w:val="Heading 41"/>
    <w:basedOn w:val="Normal"/>
    <w:next w:val="Normal"/>
    <w:uiPriority w:val="9"/>
    <w:unhideWhenUsed/>
    <w:qFormat/>
    <w:rsid w:val="000132E2"/>
    <w:pPr>
      <w:keepNext/>
      <w:keepLines/>
      <w:spacing w:before="200" w:line="276" w:lineRule="auto"/>
      <w:outlineLvl w:val="3"/>
    </w:pPr>
    <w:rPr>
      <w:rFonts w:cs="Times New Roman"/>
      <w:b/>
      <w:i/>
      <w:iCs/>
      <w:color w:val="4F81BD"/>
      <w:szCs w:val="22"/>
    </w:rPr>
  </w:style>
  <w:style w:type="numbering" w:customStyle="1" w:styleId="NoList1">
    <w:name w:val="No List1"/>
    <w:next w:val="NoList"/>
    <w:uiPriority w:val="99"/>
    <w:semiHidden/>
    <w:unhideWhenUsed/>
    <w:rsid w:val="000132E2"/>
  </w:style>
  <w:style w:type="paragraph" w:customStyle="1" w:styleId="Title1">
    <w:name w:val="Title1"/>
    <w:basedOn w:val="Normal"/>
    <w:next w:val="Normal"/>
    <w:uiPriority w:val="10"/>
    <w:qFormat/>
    <w:rsid w:val="000132E2"/>
    <w:pPr>
      <w:pBdr>
        <w:bottom w:val="single" w:sz="8" w:space="4" w:color="4F81BD"/>
      </w:pBdr>
      <w:spacing w:after="300"/>
      <w:contextualSpacing/>
      <w:jc w:val="center"/>
    </w:pPr>
    <w:rPr>
      <w:rFonts w:ascii="Calibri" w:hAnsi="Calibri" w:cs="Times New Roman"/>
      <w:b/>
      <w:bCs w:val="0"/>
      <w:i/>
      <w:color w:val="17365D"/>
      <w:spacing w:val="5"/>
      <w:kern w:val="28"/>
      <w:sz w:val="3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ookTitle1">
    <w:name w:val="Book Title1"/>
    <w:uiPriority w:val="33"/>
    <w:qFormat/>
    <w:rsid w:val="000132E2"/>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0132E2"/>
    <w:pPr>
      <w:tabs>
        <w:tab w:val="left" w:pos="660"/>
        <w:tab w:val="right" w:leader="dot" w:pos="8755"/>
      </w:tabs>
      <w:ind w:left="440"/>
      <w:jc w:val="left"/>
    </w:pPr>
    <w:rPr>
      <w:rFonts w:ascii="Calibri" w:hAnsi="Calibri" w:cs="Times New Roman"/>
      <w:b/>
      <w:bCs w:val="0"/>
      <w:i/>
      <w:noProof/>
    </w:rPr>
  </w:style>
  <w:style w:type="paragraph" w:customStyle="1" w:styleId="TOC31">
    <w:name w:val="TOC 31"/>
    <w:basedOn w:val="Normal"/>
    <w:next w:val="Normal"/>
    <w:autoRedefine/>
    <w:uiPriority w:val="39"/>
    <w:unhideWhenUsed/>
    <w:qFormat/>
    <w:rsid w:val="000132E2"/>
    <w:pPr>
      <w:tabs>
        <w:tab w:val="right" w:leader="dot" w:pos="8755"/>
      </w:tabs>
      <w:spacing w:after="240" w:line="276" w:lineRule="auto"/>
      <w:ind w:left="708"/>
      <w:jc w:val="center"/>
    </w:pPr>
    <w:rPr>
      <w:rFonts w:ascii="Calibri" w:hAnsi="Calibri" w:cs="Times New Roman"/>
      <w:bCs w:val="0"/>
      <w:smallCaps/>
      <w:noProof/>
      <w:spacing w:val="5"/>
      <w:lang w:bidi="en-US"/>
    </w:rPr>
  </w:style>
  <w:style w:type="table" w:customStyle="1" w:styleId="LightGrid-Accent51">
    <w:name w:val="Light Grid - Accent 51"/>
    <w:basedOn w:val="TableNormal"/>
    <w:next w:val="LightGrid-Accent5"/>
    <w:uiPriority w:val="62"/>
    <w:rsid w:val="000132E2"/>
    <w:rPr>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0132E2"/>
    <w:rPr>
      <w:color w:val="365F91"/>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0132E2"/>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0132E2"/>
    <w:rPr>
      <w:rFonts w:ascii="Cambria" w:eastAsia="Times New Roman" w:hAnsi="Cambria" w:cs="Times New Roman"/>
      <w:b/>
      <w:bCs/>
      <w:i/>
      <w:iCs/>
      <w:color w:val="D16349"/>
    </w:rPr>
  </w:style>
  <w:style w:type="table" w:styleId="LightGrid-Accent5">
    <w:name w:val="Light Grid Accent 5"/>
    <w:basedOn w:val="TableNormal"/>
    <w:uiPriority w:val="62"/>
    <w:rsid w:val="000132E2"/>
    <w:rPr>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0132E2"/>
    <w:rPr>
      <w:rFonts w:ascii="Cambria Math" w:hAnsi="Cambria Math"/>
      <w:lang w:val="en-GB" w:eastAsia="en-GB"/>
    </w:rPr>
    <w:tblPr/>
  </w:style>
  <w:style w:type="table" w:customStyle="1" w:styleId="MediumList2-Accent31">
    <w:name w:val="Medium List 2 - Accent 31"/>
    <w:aliases w:val="tabele za ifs 1"/>
    <w:basedOn w:val="TableNormal"/>
    <w:uiPriority w:val="66"/>
    <w:rsid w:val="000132E2"/>
    <w:rPr>
      <w:rFonts w:ascii="Cambria Math" w:eastAsia="Times New Roman" w:hAnsi="Cambria Math"/>
      <w:color w:val="00000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semiHidden/>
    <w:unhideWhenUsed/>
    <w:rsid w:val="000132E2"/>
    <w:pPr>
      <w:spacing w:after="100" w:line="276" w:lineRule="auto"/>
      <w:ind w:left="660"/>
      <w:jc w:val="left"/>
    </w:pPr>
    <w:rPr>
      <w:rFonts w:eastAsia="Calibri" w:cs="Times New Roman"/>
      <w:bCs w:val="0"/>
      <w:sz w:val="21"/>
      <w:szCs w:val="22"/>
    </w:rPr>
  </w:style>
  <w:style w:type="paragraph" w:styleId="TOC5">
    <w:name w:val="toc 5"/>
    <w:basedOn w:val="Normal"/>
    <w:next w:val="Normal"/>
    <w:autoRedefine/>
    <w:uiPriority w:val="39"/>
    <w:semiHidden/>
    <w:unhideWhenUsed/>
    <w:rsid w:val="000132E2"/>
    <w:pPr>
      <w:spacing w:after="100" w:line="276" w:lineRule="auto"/>
      <w:ind w:left="880"/>
      <w:jc w:val="left"/>
    </w:pPr>
    <w:rPr>
      <w:rFonts w:eastAsia="Calibri" w:cs="Times New Roman"/>
      <w:bCs w:val="0"/>
      <w:sz w:val="21"/>
      <w:szCs w:val="22"/>
    </w:rPr>
  </w:style>
  <w:style w:type="paragraph" w:styleId="EndnoteText">
    <w:name w:val="endnote text"/>
    <w:basedOn w:val="Normal"/>
    <w:link w:val="EndnoteTextChar"/>
    <w:uiPriority w:val="99"/>
    <w:semiHidden/>
    <w:unhideWhenUsed/>
    <w:rsid w:val="000132E2"/>
    <w:pPr>
      <w:jc w:val="left"/>
    </w:pPr>
    <w:rPr>
      <w:rFonts w:ascii="Calibri" w:eastAsia="Calibri" w:hAnsi="Calibri" w:cs="Times New Roman"/>
      <w:bCs w:val="0"/>
      <w:sz w:val="20"/>
      <w:szCs w:val="20"/>
    </w:rPr>
  </w:style>
  <w:style w:type="character" w:customStyle="1" w:styleId="EndnoteTextChar">
    <w:name w:val="Endnote Text Char"/>
    <w:link w:val="EndnoteText"/>
    <w:uiPriority w:val="99"/>
    <w:semiHidden/>
    <w:rsid w:val="000132E2"/>
    <w:rPr>
      <w:lang w:val="sr-Cyrl-CS"/>
    </w:rPr>
  </w:style>
  <w:style w:type="character" w:styleId="EndnoteReference">
    <w:name w:val="endnote reference"/>
    <w:uiPriority w:val="99"/>
    <w:semiHidden/>
    <w:unhideWhenUsed/>
    <w:rsid w:val="000132E2"/>
    <w:rPr>
      <w:vertAlign w:val="superscript"/>
    </w:rPr>
  </w:style>
  <w:style w:type="table" w:customStyle="1" w:styleId="LightShading-Accent12">
    <w:name w:val="Light Shading - Accent 12"/>
    <w:basedOn w:val="TableNormal"/>
    <w:uiPriority w:val="60"/>
    <w:rsid w:val="00E80DB2"/>
    <w:rPr>
      <w:rFonts w:ascii="Cambria" w:hAnsi="Cambria"/>
      <w:color w:val="A8422A"/>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character" w:customStyle="1" w:styleId="apple-style-span">
    <w:name w:val="apple-style-span"/>
    <w:basedOn w:val="DefaultParagraphFont"/>
    <w:rsid w:val="000132E2"/>
  </w:style>
  <w:style w:type="paragraph" w:customStyle="1" w:styleId="Default">
    <w:name w:val="Default"/>
    <w:rsid w:val="000132E2"/>
    <w:pPr>
      <w:autoSpaceDE w:val="0"/>
      <w:autoSpaceDN w:val="0"/>
      <w:adjustRightInd w:val="0"/>
      <w:jc w:val="both"/>
    </w:pPr>
    <w:rPr>
      <w:rFonts w:ascii="Arial" w:eastAsia="Times New Roman" w:hAnsi="Arial" w:cs="Arial"/>
      <w:color w:val="000000"/>
      <w:sz w:val="24"/>
      <w:szCs w:val="24"/>
    </w:rPr>
  </w:style>
  <w:style w:type="paragraph" w:customStyle="1" w:styleId="msolistparagraph0">
    <w:name w:val="msolistparagraph"/>
    <w:basedOn w:val="Normal"/>
    <w:rsid w:val="000132E2"/>
    <w:pPr>
      <w:spacing w:after="200" w:line="276" w:lineRule="auto"/>
      <w:ind w:left="720"/>
      <w:contextualSpacing/>
      <w:jc w:val="left"/>
    </w:pPr>
    <w:rPr>
      <w:rFonts w:ascii="Calibri" w:hAnsi="Calibri" w:cs="Times New Roman"/>
      <w:bCs w:val="0"/>
      <w:szCs w:val="22"/>
      <w:lang w:val="en-US"/>
    </w:rPr>
  </w:style>
  <w:style w:type="character" w:styleId="CommentReference">
    <w:name w:val="annotation reference"/>
    <w:uiPriority w:val="99"/>
    <w:semiHidden/>
    <w:unhideWhenUsed/>
    <w:rsid w:val="000132E2"/>
    <w:rPr>
      <w:sz w:val="16"/>
      <w:szCs w:val="16"/>
    </w:rPr>
  </w:style>
  <w:style w:type="paragraph" w:styleId="CommentText">
    <w:name w:val="annotation text"/>
    <w:basedOn w:val="Normal"/>
    <w:link w:val="CommentTextChar"/>
    <w:uiPriority w:val="99"/>
    <w:semiHidden/>
    <w:unhideWhenUsed/>
    <w:rsid w:val="000132E2"/>
    <w:pPr>
      <w:spacing w:after="200"/>
      <w:jc w:val="left"/>
    </w:pPr>
    <w:rPr>
      <w:rFonts w:ascii="Calibri" w:eastAsia="Calibri" w:hAnsi="Calibri" w:cs="Times New Roman"/>
      <w:bCs w:val="0"/>
      <w:sz w:val="20"/>
      <w:szCs w:val="20"/>
    </w:rPr>
  </w:style>
  <w:style w:type="character" w:customStyle="1" w:styleId="CommentTextChar">
    <w:name w:val="Comment Text Char"/>
    <w:link w:val="CommentText"/>
    <w:uiPriority w:val="99"/>
    <w:semiHidden/>
    <w:rsid w:val="000132E2"/>
    <w:rPr>
      <w:lang w:val="sr-Cyrl-CS"/>
    </w:rPr>
  </w:style>
  <w:style w:type="paragraph" w:styleId="CommentSubject">
    <w:name w:val="annotation subject"/>
    <w:basedOn w:val="CommentText"/>
    <w:next w:val="CommentText"/>
    <w:link w:val="CommentSubjectChar"/>
    <w:uiPriority w:val="99"/>
    <w:semiHidden/>
    <w:unhideWhenUsed/>
    <w:rsid w:val="000132E2"/>
    <w:rPr>
      <w:b/>
      <w:bCs/>
    </w:rPr>
  </w:style>
  <w:style w:type="character" w:customStyle="1" w:styleId="CommentSubjectChar">
    <w:name w:val="Comment Subject Char"/>
    <w:link w:val="CommentSubject"/>
    <w:uiPriority w:val="99"/>
    <w:semiHidden/>
    <w:rsid w:val="000132E2"/>
    <w:rPr>
      <w:b/>
      <w:bCs/>
      <w:lang w:val="sr-Cyrl-CS"/>
    </w:rPr>
  </w:style>
  <w:style w:type="paragraph" w:styleId="Revision">
    <w:name w:val="Revision"/>
    <w:hidden/>
    <w:uiPriority w:val="99"/>
    <w:semiHidden/>
    <w:rsid w:val="000132E2"/>
    <w:pPr>
      <w:jc w:val="both"/>
    </w:pPr>
    <w:rPr>
      <w:sz w:val="22"/>
      <w:szCs w:val="22"/>
      <w:lang w:val="sr-Cyrl-CS"/>
    </w:rPr>
  </w:style>
  <w:style w:type="table" w:styleId="ColorfulList-Accent1">
    <w:name w:val="Colorful List Accent 1"/>
    <w:basedOn w:val="TableNormal"/>
    <w:uiPriority w:val="72"/>
    <w:rsid w:val="000132E2"/>
    <w:rPr>
      <w:color w:val="00000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0132E2"/>
    <w:rPr>
      <w:rFonts w:ascii="Arial" w:hAnsi="Arial" w:cs="Arial"/>
      <w:kern w:val="20"/>
      <w:sz w:val="24"/>
      <w:szCs w:val="24"/>
      <w:lang w:val="en-GB"/>
    </w:rPr>
  </w:style>
  <w:style w:type="paragraph" w:customStyle="1" w:styleId="Body">
    <w:name w:val="Body"/>
    <w:basedOn w:val="Normal"/>
    <w:link w:val="BodyChar"/>
    <w:rsid w:val="000132E2"/>
    <w:pPr>
      <w:spacing w:after="140" w:line="288" w:lineRule="auto"/>
    </w:pPr>
    <w:rPr>
      <w:rFonts w:ascii="Arial" w:eastAsia="Calibri" w:hAnsi="Arial" w:cs="Arial"/>
      <w:bCs w:val="0"/>
      <w:kern w:val="20"/>
      <w:lang w:val="en-GB"/>
    </w:rPr>
  </w:style>
  <w:style w:type="paragraph" w:customStyle="1" w:styleId="Body5">
    <w:name w:val="Body 5"/>
    <w:basedOn w:val="Normal"/>
    <w:rsid w:val="000132E2"/>
    <w:pPr>
      <w:spacing w:after="140" w:line="290" w:lineRule="auto"/>
      <w:ind w:left="2608"/>
    </w:pPr>
    <w:rPr>
      <w:rFonts w:ascii="Arial" w:eastAsia="Batang" w:hAnsi="Arial" w:cs="Times New Roman"/>
      <w:bCs w:val="0"/>
      <w:kern w:val="20"/>
      <w:sz w:val="20"/>
      <w:lang w:val="en-GB"/>
    </w:rPr>
  </w:style>
  <w:style w:type="paragraph" w:customStyle="1" w:styleId="Body6">
    <w:name w:val="Body 6"/>
    <w:basedOn w:val="Normal"/>
    <w:rsid w:val="000132E2"/>
    <w:pPr>
      <w:spacing w:after="140" w:line="290" w:lineRule="auto"/>
      <w:ind w:left="3288"/>
    </w:pPr>
    <w:rPr>
      <w:rFonts w:ascii="Arial" w:eastAsia="Batang" w:hAnsi="Arial" w:cs="Times New Roman"/>
      <w:bCs w:val="0"/>
      <w:kern w:val="20"/>
      <w:sz w:val="20"/>
      <w:lang w:val="en-GB"/>
    </w:rPr>
  </w:style>
  <w:style w:type="paragraph" w:customStyle="1" w:styleId="Level1">
    <w:name w:val="Level 1"/>
    <w:basedOn w:val="Normal"/>
    <w:next w:val="Normal"/>
    <w:rsid w:val="000132E2"/>
    <w:pPr>
      <w:keepNext/>
      <w:tabs>
        <w:tab w:val="num" w:pos="680"/>
      </w:tabs>
      <w:spacing w:before="280" w:after="140" w:line="290" w:lineRule="auto"/>
      <w:ind w:left="680" w:hanging="680"/>
      <w:outlineLvl w:val="0"/>
    </w:pPr>
    <w:rPr>
      <w:rFonts w:ascii="Arial" w:eastAsia="Batang" w:hAnsi="Arial" w:cs="Times New Roman"/>
      <w:b/>
      <w:kern w:val="20"/>
      <w:szCs w:val="32"/>
      <w:lang w:val="en-GB"/>
    </w:rPr>
  </w:style>
  <w:style w:type="paragraph" w:customStyle="1" w:styleId="Level2">
    <w:name w:val="Level 2"/>
    <w:basedOn w:val="Normal"/>
    <w:rsid w:val="000132E2"/>
    <w:pPr>
      <w:tabs>
        <w:tab w:val="num" w:pos="680"/>
      </w:tabs>
      <w:spacing w:after="140" w:line="290" w:lineRule="auto"/>
      <w:ind w:left="680" w:hanging="360"/>
    </w:pPr>
    <w:rPr>
      <w:rFonts w:ascii="Arial" w:eastAsia="Batang" w:hAnsi="Arial" w:cs="Times New Roman"/>
      <w:bCs w:val="0"/>
      <w:kern w:val="20"/>
      <w:sz w:val="20"/>
      <w:szCs w:val="28"/>
      <w:lang w:val="en-GB"/>
    </w:rPr>
  </w:style>
  <w:style w:type="paragraph" w:customStyle="1" w:styleId="Level3">
    <w:name w:val="Level 3"/>
    <w:basedOn w:val="Normal"/>
    <w:rsid w:val="000132E2"/>
    <w:pPr>
      <w:tabs>
        <w:tab w:val="num" w:pos="1361"/>
      </w:tabs>
      <w:spacing w:after="140" w:line="290" w:lineRule="auto"/>
      <w:ind w:left="1361" w:hanging="681"/>
    </w:pPr>
    <w:rPr>
      <w:rFonts w:ascii="Arial" w:eastAsia="Batang" w:hAnsi="Arial" w:cs="Times New Roman"/>
      <w:bCs w:val="0"/>
      <w:kern w:val="20"/>
      <w:sz w:val="20"/>
      <w:szCs w:val="28"/>
      <w:lang w:val="en-GB"/>
    </w:rPr>
  </w:style>
  <w:style w:type="paragraph" w:customStyle="1" w:styleId="Level4">
    <w:name w:val="Level 4"/>
    <w:basedOn w:val="Normal"/>
    <w:rsid w:val="000132E2"/>
    <w:pPr>
      <w:tabs>
        <w:tab w:val="num" w:pos="2041"/>
      </w:tabs>
      <w:spacing w:after="140" w:line="290" w:lineRule="auto"/>
      <w:ind w:left="2041" w:hanging="360"/>
    </w:pPr>
    <w:rPr>
      <w:rFonts w:ascii="Arial" w:eastAsia="Batang" w:hAnsi="Arial" w:cs="Times New Roman"/>
      <w:bCs w:val="0"/>
      <w:kern w:val="20"/>
      <w:sz w:val="20"/>
      <w:lang w:val="en-GB"/>
    </w:rPr>
  </w:style>
  <w:style w:type="character" w:customStyle="1" w:styleId="apple-converted-space">
    <w:name w:val="apple-converted-space"/>
    <w:basedOn w:val="DefaultParagraphFont"/>
    <w:rsid w:val="00EB1312"/>
  </w:style>
  <w:style w:type="numbering" w:customStyle="1" w:styleId="NoList2">
    <w:name w:val="No List2"/>
    <w:next w:val="NoList"/>
    <w:uiPriority w:val="99"/>
    <w:semiHidden/>
    <w:unhideWhenUsed/>
    <w:rsid w:val="008412B3"/>
  </w:style>
  <w:style w:type="table" w:customStyle="1" w:styleId="LightList-Accent32">
    <w:name w:val="Light List - Accent 32"/>
    <w:basedOn w:val="TableNormal"/>
    <w:next w:val="LightList-Accent3"/>
    <w:uiPriority w:val="61"/>
    <w:rsid w:val="008412B3"/>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F07EC0"/>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26529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4D2D9A"/>
    <w:pPr>
      <w:jc w:val="center"/>
    </w:pPr>
    <w:rPr>
      <w:rFonts w:eastAsia="Calibri" w:cs="Times New Roman"/>
      <w:sz w:val="21"/>
      <w:szCs w:val="21"/>
    </w:rPr>
  </w:style>
  <w:style w:type="character" w:customStyle="1" w:styleId="BodyTextIndentChar">
    <w:name w:val="Body Text Indent Char"/>
    <w:link w:val="BodyTextIndent"/>
    <w:uiPriority w:val="99"/>
    <w:rsid w:val="004D2D9A"/>
    <w:rPr>
      <w:rFonts w:ascii="Cambria" w:hAnsi="Cambria"/>
      <w:bCs/>
      <w:color w:val="404040"/>
      <w:sz w:val="21"/>
      <w:szCs w:val="21"/>
      <w:lang w:val="sr-Cyrl-CS"/>
    </w:rPr>
  </w:style>
  <w:style w:type="character" w:customStyle="1" w:styleId="ListParagraphChar">
    <w:name w:val="List Paragraph Char"/>
    <w:link w:val="ListParagraph"/>
    <w:uiPriority w:val="34"/>
    <w:locked/>
    <w:rsid w:val="00663002"/>
    <w:rPr>
      <w:color w:val="404040"/>
      <w:sz w:val="22"/>
      <w:szCs w:val="22"/>
      <w:lang w:val="sr-Cyrl-CS"/>
    </w:rPr>
  </w:style>
  <w:style w:type="paragraph" w:styleId="BodyText2">
    <w:name w:val="Body Text 2"/>
    <w:basedOn w:val="Normal"/>
    <w:link w:val="BodyText2Char"/>
    <w:uiPriority w:val="99"/>
    <w:semiHidden/>
    <w:unhideWhenUsed/>
    <w:rsid w:val="00766435"/>
    <w:pPr>
      <w:spacing w:line="480" w:lineRule="auto"/>
    </w:pPr>
  </w:style>
  <w:style w:type="character" w:customStyle="1" w:styleId="BodyText2Char">
    <w:name w:val="Body Text 2 Char"/>
    <w:link w:val="BodyText2"/>
    <w:uiPriority w:val="99"/>
    <w:semiHidden/>
    <w:rsid w:val="00766435"/>
    <w:rPr>
      <w:rFonts w:ascii="Cambria" w:eastAsia="Times New Roman" w:hAnsi="Cambria" w:cs="Tahoma"/>
      <w:bCs/>
      <w:color w:val="404040"/>
      <w:sz w:val="22"/>
      <w:szCs w:val="24"/>
      <w:lang w:val="sr-Cyrl-CS"/>
    </w:rPr>
  </w:style>
  <w:style w:type="paragraph" w:styleId="BodyTextIndent2">
    <w:name w:val="Body Text Indent 2"/>
    <w:basedOn w:val="Normal"/>
    <w:link w:val="BodyTextIndent2Char"/>
    <w:uiPriority w:val="99"/>
    <w:unhideWhenUsed/>
    <w:rsid w:val="008C471D"/>
    <w:pPr>
      <w:ind w:firstLine="708"/>
    </w:pPr>
    <w:rPr>
      <w:sz w:val="21"/>
      <w:szCs w:val="21"/>
    </w:rPr>
  </w:style>
  <w:style w:type="character" w:customStyle="1" w:styleId="BodyTextIndent2Char">
    <w:name w:val="Body Text Indent 2 Char"/>
    <w:link w:val="BodyTextIndent2"/>
    <w:uiPriority w:val="99"/>
    <w:rsid w:val="008C471D"/>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587DA6"/>
    <w:pPr>
      <w:ind w:firstLine="0"/>
    </w:pPr>
    <w:rPr>
      <w:bCs w:val="0"/>
      <w:kern w:val="20"/>
      <w:sz w:val="21"/>
      <w:szCs w:val="21"/>
      <w:lang w:eastAsia="ko-KR"/>
    </w:rPr>
  </w:style>
  <w:style w:type="character" w:customStyle="1" w:styleId="BodyText3Char">
    <w:name w:val="Body Text 3 Char"/>
    <w:link w:val="BodyText3"/>
    <w:uiPriority w:val="99"/>
    <w:rsid w:val="00587DA6"/>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47478A"/>
    <w:rPr>
      <w:bCs w:val="0"/>
      <w:sz w:val="21"/>
      <w:szCs w:val="21"/>
    </w:rPr>
  </w:style>
  <w:style w:type="character" w:customStyle="1" w:styleId="BodyTextIndent3Char">
    <w:name w:val="Body Text Indent 3 Char"/>
    <w:link w:val="BodyTextIndent3"/>
    <w:uiPriority w:val="99"/>
    <w:rsid w:val="0047478A"/>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35C3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863F4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20600C"/>
    <w:rPr>
      <w:rFonts w:ascii="Cambria Math"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20600C"/>
    <w:pPr>
      <w:ind w:left="568" w:hanging="284"/>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20600C"/>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20600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20600C"/>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20600C"/>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20600C"/>
    <w:rPr>
      <w:rFonts w:ascii="Times New Roman" w:eastAsia="Constantia" w:hAnsi="Times New Roman"/>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20600C"/>
    <w:rPr>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20600C"/>
    <w:rPr>
      <w:color w:val="365F91"/>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20600C"/>
    <w:rPr>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
    <w:name w:val="Light Shading - Accent 121"/>
    <w:basedOn w:val="TableNormal"/>
    <w:uiPriority w:val="60"/>
    <w:rsid w:val="0020600C"/>
    <w:rPr>
      <w:rFonts w:ascii="Cambria" w:hAnsi="Cambria"/>
      <w:color w:val="A8422A"/>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1">
    <w:name w:val="Light List - Accent 321"/>
    <w:basedOn w:val="TableNormal"/>
    <w:next w:val="LightList-Accent3"/>
    <w:uiPriority w:val="61"/>
    <w:rsid w:val="0020600C"/>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20600C"/>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20600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20600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20600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20600C"/>
    <w:pPr>
      <w:ind w:left="568" w:hanging="284"/>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20600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20600C"/>
    <w:pPr>
      <w:ind w:left="568" w:hanging="284"/>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20600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20600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476038"/>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9A1BBD"/>
    <w:rPr>
      <w:rFonts w:ascii="Cambria Math"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9A1BBD"/>
    <w:pPr>
      <w:ind w:left="568" w:hanging="284"/>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9A1BB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9A1BB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9A1BBD"/>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9A1BBD"/>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9A1BBD"/>
    <w:rPr>
      <w:rFonts w:ascii="Times New Roman" w:eastAsia="Constantia" w:hAnsi="Times New Roman"/>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9A1BBD"/>
    <w:rPr>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9A1BBD"/>
    <w:rPr>
      <w:color w:val="365F91"/>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9A1BBD"/>
    <w:rPr>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2">
    <w:name w:val="Light Shading - Accent 122"/>
    <w:basedOn w:val="TableNormal"/>
    <w:uiPriority w:val="60"/>
    <w:rsid w:val="009A1BBD"/>
    <w:rPr>
      <w:rFonts w:ascii="Cambria" w:hAnsi="Cambria"/>
      <w:color w:val="A8422A"/>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2">
    <w:name w:val="Light List - Accent 322"/>
    <w:basedOn w:val="TableNormal"/>
    <w:next w:val="LightList-Accent3"/>
    <w:uiPriority w:val="61"/>
    <w:rsid w:val="009A1BBD"/>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9A1BBD"/>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9A1B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9A1B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9A1B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3A09D7"/>
    <w:pPr>
      <w:ind w:left="568" w:hanging="284"/>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3A09D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3A09D7"/>
    <w:pPr>
      <w:ind w:left="568" w:hanging="284"/>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3A09D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1B6B3A"/>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3691B"/>
    <w:rPr>
      <w:rFonts w:ascii="Cambria Math"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3691B"/>
    <w:pPr>
      <w:ind w:left="568" w:hanging="284"/>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3691B"/>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3691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3691B"/>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3691B"/>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3691B"/>
    <w:rPr>
      <w:rFonts w:ascii="Times New Roman" w:eastAsia="Constantia" w:hAnsi="Times New Roman"/>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3691B"/>
    <w:rPr>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3691B"/>
    <w:rPr>
      <w:color w:val="365F91"/>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3691B"/>
    <w:rPr>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3691B"/>
    <w:rPr>
      <w:rFonts w:ascii="Cambria" w:hAnsi="Cambria"/>
      <w:color w:val="A8422A"/>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3691B"/>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3691B"/>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3691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3691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3691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5A47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5A47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5A473C"/>
    <w:pPr>
      <w:ind w:left="568" w:hanging="284"/>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5A47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5A473C"/>
    <w:pPr>
      <w:ind w:left="568" w:hanging="284"/>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5A47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5A47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basedOn w:val="DefaultParagraphFont"/>
    <w:uiPriority w:val="99"/>
    <w:semiHidden/>
    <w:unhideWhenUsed/>
    <w:rsid w:val="0013458C"/>
    <w:rPr>
      <w:color w:val="800080" w:themeColor="followedHyperlink"/>
      <w:u w:val="single"/>
    </w:rPr>
  </w:style>
  <w:style w:type="table" w:customStyle="1" w:styleId="LightShading-Accent119">
    <w:name w:val="Light Shading - Accent 119"/>
    <w:basedOn w:val="TableNormal"/>
    <w:uiPriority w:val="60"/>
    <w:rsid w:val="000A2F9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0A2F9D"/>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TMLPreformatted">
    <w:name w:val="HTML Preformatted"/>
    <w:basedOn w:val="Normal"/>
    <w:link w:val="HTMLPreformattedChar"/>
    <w:uiPriority w:val="99"/>
    <w:semiHidden/>
    <w:unhideWhenUsed/>
    <w:rsid w:val="00CA6C11"/>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A6C11"/>
    <w:rPr>
      <w:rFonts w:ascii="Consolas" w:eastAsia="Times New Roman" w:hAnsi="Consolas" w:cs="Consolas"/>
      <w:bCs/>
      <w:color w:val="404040"/>
      <w:lang w:val="sr-Cyrl-CS"/>
    </w:rPr>
  </w:style>
  <w:style w:type="table" w:customStyle="1" w:styleId="LightShading-Accent331">
    <w:name w:val="Light Shading - Accent 331"/>
    <w:basedOn w:val="TableNormal"/>
    <w:next w:val="LightShading-Accent3"/>
    <w:uiPriority w:val="60"/>
    <w:rsid w:val="003F2BA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3F2BA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3F2BA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A46B3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197D7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171A80"/>
    <w:rPr>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171A80"/>
    <w:rPr>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171A80"/>
    <w:rPr>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171A80"/>
    <w:rPr>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171A80"/>
    <w:rPr>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171A80"/>
    <w:rPr>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171A80"/>
    <w:rPr>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171A80"/>
    <w:rPr>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styleId="LightShading-Accent6">
    <w:name w:val="Light Shading Accent 6"/>
    <w:basedOn w:val="TableNormal"/>
    <w:uiPriority w:val="60"/>
    <w:rsid w:val="00171A8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PlaceholderText">
    <w:name w:val="Placeholder Text"/>
    <w:basedOn w:val="DefaultParagraphFont"/>
    <w:uiPriority w:val="99"/>
    <w:semiHidden/>
    <w:rsid w:val="002436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7040">
      <w:bodyDiv w:val="1"/>
      <w:marLeft w:val="0"/>
      <w:marRight w:val="0"/>
      <w:marTop w:val="0"/>
      <w:marBottom w:val="0"/>
      <w:divBdr>
        <w:top w:val="none" w:sz="0" w:space="0" w:color="auto"/>
        <w:left w:val="none" w:sz="0" w:space="0" w:color="auto"/>
        <w:bottom w:val="none" w:sz="0" w:space="0" w:color="auto"/>
        <w:right w:val="none" w:sz="0" w:space="0" w:color="auto"/>
      </w:divBdr>
    </w:div>
    <w:div w:id="77944542">
      <w:bodyDiv w:val="1"/>
      <w:marLeft w:val="0"/>
      <w:marRight w:val="0"/>
      <w:marTop w:val="0"/>
      <w:marBottom w:val="0"/>
      <w:divBdr>
        <w:top w:val="none" w:sz="0" w:space="0" w:color="auto"/>
        <w:left w:val="none" w:sz="0" w:space="0" w:color="auto"/>
        <w:bottom w:val="none" w:sz="0" w:space="0" w:color="auto"/>
        <w:right w:val="none" w:sz="0" w:space="0" w:color="auto"/>
      </w:divBdr>
    </w:div>
    <w:div w:id="102969247">
      <w:bodyDiv w:val="1"/>
      <w:marLeft w:val="0"/>
      <w:marRight w:val="0"/>
      <w:marTop w:val="0"/>
      <w:marBottom w:val="0"/>
      <w:divBdr>
        <w:top w:val="none" w:sz="0" w:space="0" w:color="auto"/>
        <w:left w:val="none" w:sz="0" w:space="0" w:color="auto"/>
        <w:bottom w:val="none" w:sz="0" w:space="0" w:color="auto"/>
        <w:right w:val="none" w:sz="0" w:space="0" w:color="auto"/>
      </w:divBdr>
    </w:div>
    <w:div w:id="157620915">
      <w:bodyDiv w:val="1"/>
      <w:marLeft w:val="0"/>
      <w:marRight w:val="0"/>
      <w:marTop w:val="0"/>
      <w:marBottom w:val="0"/>
      <w:divBdr>
        <w:top w:val="none" w:sz="0" w:space="0" w:color="auto"/>
        <w:left w:val="none" w:sz="0" w:space="0" w:color="auto"/>
        <w:bottom w:val="none" w:sz="0" w:space="0" w:color="auto"/>
        <w:right w:val="none" w:sz="0" w:space="0" w:color="auto"/>
      </w:divBdr>
    </w:div>
    <w:div w:id="240408277">
      <w:bodyDiv w:val="1"/>
      <w:marLeft w:val="0"/>
      <w:marRight w:val="0"/>
      <w:marTop w:val="0"/>
      <w:marBottom w:val="0"/>
      <w:divBdr>
        <w:top w:val="none" w:sz="0" w:space="0" w:color="auto"/>
        <w:left w:val="none" w:sz="0" w:space="0" w:color="auto"/>
        <w:bottom w:val="none" w:sz="0" w:space="0" w:color="auto"/>
        <w:right w:val="none" w:sz="0" w:space="0" w:color="auto"/>
      </w:divBdr>
    </w:div>
    <w:div w:id="272788768">
      <w:bodyDiv w:val="1"/>
      <w:marLeft w:val="0"/>
      <w:marRight w:val="0"/>
      <w:marTop w:val="0"/>
      <w:marBottom w:val="0"/>
      <w:divBdr>
        <w:top w:val="none" w:sz="0" w:space="0" w:color="auto"/>
        <w:left w:val="none" w:sz="0" w:space="0" w:color="auto"/>
        <w:bottom w:val="none" w:sz="0" w:space="0" w:color="auto"/>
        <w:right w:val="none" w:sz="0" w:space="0" w:color="auto"/>
      </w:divBdr>
    </w:div>
    <w:div w:id="303245614">
      <w:bodyDiv w:val="1"/>
      <w:marLeft w:val="0"/>
      <w:marRight w:val="0"/>
      <w:marTop w:val="0"/>
      <w:marBottom w:val="0"/>
      <w:divBdr>
        <w:top w:val="none" w:sz="0" w:space="0" w:color="auto"/>
        <w:left w:val="none" w:sz="0" w:space="0" w:color="auto"/>
        <w:bottom w:val="none" w:sz="0" w:space="0" w:color="auto"/>
        <w:right w:val="none" w:sz="0" w:space="0" w:color="auto"/>
      </w:divBdr>
    </w:div>
    <w:div w:id="303514170">
      <w:bodyDiv w:val="1"/>
      <w:marLeft w:val="0"/>
      <w:marRight w:val="0"/>
      <w:marTop w:val="0"/>
      <w:marBottom w:val="0"/>
      <w:divBdr>
        <w:top w:val="none" w:sz="0" w:space="0" w:color="auto"/>
        <w:left w:val="none" w:sz="0" w:space="0" w:color="auto"/>
        <w:bottom w:val="none" w:sz="0" w:space="0" w:color="auto"/>
        <w:right w:val="none" w:sz="0" w:space="0" w:color="auto"/>
      </w:divBdr>
    </w:div>
    <w:div w:id="357660988">
      <w:bodyDiv w:val="1"/>
      <w:marLeft w:val="0"/>
      <w:marRight w:val="0"/>
      <w:marTop w:val="0"/>
      <w:marBottom w:val="0"/>
      <w:divBdr>
        <w:top w:val="none" w:sz="0" w:space="0" w:color="auto"/>
        <w:left w:val="none" w:sz="0" w:space="0" w:color="auto"/>
        <w:bottom w:val="none" w:sz="0" w:space="0" w:color="auto"/>
        <w:right w:val="none" w:sz="0" w:space="0" w:color="auto"/>
      </w:divBdr>
    </w:div>
    <w:div w:id="391929553">
      <w:bodyDiv w:val="1"/>
      <w:marLeft w:val="0"/>
      <w:marRight w:val="0"/>
      <w:marTop w:val="0"/>
      <w:marBottom w:val="0"/>
      <w:divBdr>
        <w:top w:val="none" w:sz="0" w:space="0" w:color="auto"/>
        <w:left w:val="none" w:sz="0" w:space="0" w:color="auto"/>
        <w:bottom w:val="none" w:sz="0" w:space="0" w:color="auto"/>
        <w:right w:val="none" w:sz="0" w:space="0" w:color="auto"/>
      </w:divBdr>
    </w:div>
    <w:div w:id="493107714">
      <w:bodyDiv w:val="1"/>
      <w:marLeft w:val="0"/>
      <w:marRight w:val="0"/>
      <w:marTop w:val="0"/>
      <w:marBottom w:val="0"/>
      <w:divBdr>
        <w:top w:val="none" w:sz="0" w:space="0" w:color="auto"/>
        <w:left w:val="none" w:sz="0" w:space="0" w:color="auto"/>
        <w:bottom w:val="none" w:sz="0" w:space="0" w:color="auto"/>
        <w:right w:val="none" w:sz="0" w:space="0" w:color="auto"/>
      </w:divBdr>
    </w:div>
    <w:div w:id="496308800">
      <w:bodyDiv w:val="1"/>
      <w:marLeft w:val="0"/>
      <w:marRight w:val="0"/>
      <w:marTop w:val="0"/>
      <w:marBottom w:val="0"/>
      <w:divBdr>
        <w:top w:val="none" w:sz="0" w:space="0" w:color="auto"/>
        <w:left w:val="none" w:sz="0" w:space="0" w:color="auto"/>
        <w:bottom w:val="none" w:sz="0" w:space="0" w:color="auto"/>
        <w:right w:val="none" w:sz="0" w:space="0" w:color="auto"/>
      </w:divBdr>
    </w:div>
    <w:div w:id="501971021">
      <w:bodyDiv w:val="1"/>
      <w:marLeft w:val="0"/>
      <w:marRight w:val="0"/>
      <w:marTop w:val="0"/>
      <w:marBottom w:val="0"/>
      <w:divBdr>
        <w:top w:val="none" w:sz="0" w:space="0" w:color="auto"/>
        <w:left w:val="none" w:sz="0" w:space="0" w:color="auto"/>
        <w:bottom w:val="none" w:sz="0" w:space="0" w:color="auto"/>
        <w:right w:val="none" w:sz="0" w:space="0" w:color="auto"/>
      </w:divBdr>
    </w:div>
    <w:div w:id="628243239">
      <w:bodyDiv w:val="1"/>
      <w:marLeft w:val="0"/>
      <w:marRight w:val="0"/>
      <w:marTop w:val="0"/>
      <w:marBottom w:val="0"/>
      <w:divBdr>
        <w:top w:val="none" w:sz="0" w:space="0" w:color="auto"/>
        <w:left w:val="none" w:sz="0" w:space="0" w:color="auto"/>
        <w:bottom w:val="none" w:sz="0" w:space="0" w:color="auto"/>
        <w:right w:val="none" w:sz="0" w:space="0" w:color="auto"/>
      </w:divBdr>
    </w:div>
    <w:div w:id="668171377">
      <w:bodyDiv w:val="1"/>
      <w:marLeft w:val="0"/>
      <w:marRight w:val="0"/>
      <w:marTop w:val="0"/>
      <w:marBottom w:val="0"/>
      <w:divBdr>
        <w:top w:val="none" w:sz="0" w:space="0" w:color="auto"/>
        <w:left w:val="none" w:sz="0" w:space="0" w:color="auto"/>
        <w:bottom w:val="none" w:sz="0" w:space="0" w:color="auto"/>
        <w:right w:val="none" w:sz="0" w:space="0" w:color="auto"/>
      </w:divBdr>
    </w:div>
    <w:div w:id="697391310">
      <w:bodyDiv w:val="1"/>
      <w:marLeft w:val="0"/>
      <w:marRight w:val="0"/>
      <w:marTop w:val="0"/>
      <w:marBottom w:val="0"/>
      <w:divBdr>
        <w:top w:val="none" w:sz="0" w:space="0" w:color="auto"/>
        <w:left w:val="none" w:sz="0" w:space="0" w:color="auto"/>
        <w:bottom w:val="none" w:sz="0" w:space="0" w:color="auto"/>
        <w:right w:val="none" w:sz="0" w:space="0" w:color="auto"/>
      </w:divBdr>
    </w:div>
    <w:div w:id="749042213">
      <w:bodyDiv w:val="1"/>
      <w:marLeft w:val="0"/>
      <w:marRight w:val="0"/>
      <w:marTop w:val="0"/>
      <w:marBottom w:val="0"/>
      <w:divBdr>
        <w:top w:val="none" w:sz="0" w:space="0" w:color="auto"/>
        <w:left w:val="none" w:sz="0" w:space="0" w:color="auto"/>
        <w:bottom w:val="none" w:sz="0" w:space="0" w:color="auto"/>
        <w:right w:val="none" w:sz="0" w:space="0" w:color="auto"/>
      </w:divBdr>
    </w:div>
    <w:div w:id="775633349">
      <w:bodyDiv w:val="1"/>
      <w:marLeft w:val="0"/>
      <w:marRight w:val="0"/>
      <w:marTop w:val="0"/>
      <w:marBottom w:val="0"/>
      <w:divBdr>
        <w:top w:val="none" w:sz="0" w:space="0" w:color="auto"/>
        <w:left w:val="none" w:sz="0" w:space="0" w:color="auto"/>
        <w:bottom w:val="none" w:sz="0" w:space="0" w:color="auto"/>
        <w:right w:val="none" w:sz="0" w:space="0" w:color="auto"/>
      </w:divBdr>
    </w:div>
    <w:div w:id="917398177">
      <w:bodyDiv w:val="1"/>
      <w:marLeft w:val="0"/>
      <w:marRight w:val="0"/>
      <w:marTop w:val="0"/>
      <w:marBottom w:val="0"/>
      <w:divBdr>
        <w:top w:val="none" w:sz="0" w:space="0" w:color="auto"/>
        <w:left w:val="none" w:sz="0" w:space="0" w:color="auto"/>
        <w:bottom w:val="none" w:sz="0" w:space="0" w:color="auto"/>
        <w:right w:val="none" w:sz="0" w:space="0" w:color="auto"/>
      </w:divBdr>
    </w:div>
    <w:div w:id="1083913398">
      <w:bodyDiv w:val="1"/>
      <w:marLeft w:val="0"/>
      <w:marRight w:val="0"/>
      <w:marTop w:val="0"/>
      <w:marBottom w:val="0"/>
      <w:divBdr>
        <w:top w:val="none" w:sz="0" w:space="0" w:color="auto"/>
        <w:left w:val="none" w:sz="0" w:space="0" w:color="auto"/>
        <w:bottom w:val="none" w:sz="0" w:space="0" w:color="auto"/>
        <w:right w:val="none" w:sz="0" w:space="0" w:color="auto"/>
      </w:divBdr>
    </w:div>
    <w:div w:id="1106583478">
      <w:bodyDiv w:val="1"/>
      <w:marLeft w:val="0"/>
      <w:marRight w:val="0"/>
      <w:marTop w:val="0"/>
      <w:marBottom w:val="0"/>
      <w:divBdr>
        <w:top w:val="none" w:sz="0" w:space="0" w:color="auto"/>
        <w:left w:val="none" w:sz="0" w:space="0" w:color="auto"/>
        <w:bottom w:val="none" w:sz="0" w:space="0" w:color="auto"/>
        <w:right w:val="none" w:sz="0" w:space="0" w:color="auto"/>
      </w:divBdr>
    </w:div>
    <w:div w:id="1133985236">
      <w:bodyDiv w:val="1"/>
      <w:marLeft w:val="0"/>
      <w:marRight w:val="0"/>
      <w:marTop w:val="0"/>
      <w:marBottom w:val="0"/>
      <w:divBdr>
        <w:top w:val="none" w:sz="0" w:space="0" w:color="auto"/>
        <w:left w:val="none" w:sz="0" w:space="0" w:color="auto"/>
        <w:bottom w:val="none" w:sz="0" w:space="0" w:color="auto"/>
        <w:right w:val="none" w:sz="0" w:space="0" w:color="auto"/>
      </w:divBdr>
    </w:div>
    <w:div w:id="1156150229">
      <w:bodyDiv w:val="1"/>
      <w:marLeft w:val="0"/>
      <w:marRight w:val="0"/>
      <w:marTop w:val="0"/>
      <w:marBottom w:val="0"/>
      <w:divBdr>
        <w:top w:val="none" w:sz="0" w:space="0" w:color="auto"/>
        <w:left w:val="none" w:sz="0" w:space="0" w:color="auto"/>
        <w:bottom w:val="none" w:sz="0" w:space="0" w:color="auto"/>
        <w:right w:val="none" w:sz="0" w:space="0" w:color="auto"/>
      </w:divBdr>
    </w:div>
    <w:div w:id="1187675739">
      <w:bodyDiv w:val="1"/>
      <w:marLeft w:val="0"/>
      <w:marRight w:val="0"/>
      <w:marTop w:val="0"/>
      <w:marBottom w:val="0"/>
      <w:divBdr>
        <w:top w:val="none" w:sz="0" w:space="0" w:color="auto"/>
        <w:left w:val="none" w:sz="0" w:space="0" w:color="auto"/>
        <w:bottom w:val="none" w:sz="0" w:space="0" w:color="auto"/>
        <w:right w:val="none" w:sz="0" w:space="0" w:color="auto"/>
      </w:divBdr>
    </w:div>
    <w:div w:id="1226574844">
      <w:bodyDiv w:val="1"/>
      <w:marLeft w:val="0"/>
      <w:marRight w:val="0"/>
      <w:marTop w:val="0"/>
      <w:marBottom w:val="0"/>
      <w:divBdr>
        <w:top w:val="none" w:sz="0" w:space="0" w:color="auto"/>
        <w:left w:val="none" w:sz="0" w:space="0" w:color="auto"/>
        <w:bottom w:val="none" w:sz="0" w:space="0" w:color="auto"/>
        <w:right w:val="none" w:sz="0" w:space="0" w:color="auto"/>
      </w:divBdr>
    </w:div>
    <w:div w:id="1232739763">
      <w:bodyDiv w:val="1"/>
      <w:marLeft w:val="0"/>
      <w:marRight w:val="0"/>
      <w:marTop w:val="0"/>
      <w:marBottom w:val="0"/>
      <w:divBdr>
        <w:top w:val="none" w:sz="0" w:space="0" w:color="auto"/>
        <w:left w:val="none" w:sz="0" w:space="0" w:color="auto"/>
        <w:bottom w:val="none" w:sz="0" w:space="0" w:color="auto"/>
        <w:right w:val="none" w:sz="0" w:space="0" w:color="auto"/>
      </w:divBdr>
    </w:div>
    <w:div w:id="1241334275">
      <w:bodyDiv w:val="1"/>
      <w:marLeft w:val="0"/>
      <w:marRight w:val="0"/>
      <w:marTop w:val="0"/>
      <w:marBottom w:val="0"/>
      <w:divBdr>
        <w:top w:val="none" w:sz="0" w:space="0" w:color="auto"/>
        <w:left w:val="none" w:sz="0" w:space="0" w:color="auto"/>
        <w:bottom w:val="none" w:sz="0" w:space="0" w:color="auto"/>
        <w:right w:val="none" w:sz="0" w:space="0" w:color="auto"/>
      </w:divBdr>
    </w:div>
    <w:div w:id="1289508507">
      <w:bodyDiv w:val="1"/>
      <w:marLeft w:val="0"/>
      <w:marRight w:val="0"/>
      <w:marTop w:val="0"/>
      <w:marBottom w:val="0"/>
      <w:divBdr>
        <w:top w:val="none" w:sz="0" w:space="0" w:color="auto"/>
        <w:left w:val="none" w:sz="0" w:space="0" w:color="auto"/>
        <w:bottom w:val="none" w:sz="0" w:space="0" w:color="auto"/>
        <w:right w:val="none" w:sz="0" w:space="0" w:color="auto"/>
      </w:divBdr>
    </w:div>
    <w:div w:id="1300301326">
      <w:bodyDiv w:val="1"/>
      <w:marLeft w:val="0"/>
      <w:marRight w:val="0"/>
      <w:marTop w:val="0"/>
      <w:marBottom w:val="0"/>
      <w:divBdr>
        <w:top w:val="none" w:sz="0" w:space="0" w:color="auto"/>
        <w:left w:val="none" w:sz="0" w:space="0" w:color="auto"/>
        <w:bottom w:val="none" w:sz="0" w:space="0" w:color="auto"/>
        <w:right w:val="none" w:sz="0" w:space="0" w:color="auto"/>
      </w:divBdr>
    </w:div>
    <w:div w:id="1413547465">
      <w:bodyDiv w:val="1"/>
      <w:marLeft w:val="0"/>
      <w:marRight w:val="0"/>
      <w:marTop w:val="0"/>
      <w:marBottom w:val="0"/>
      <w:divBdr>
        <w:top w:val="none" w:sz="0" w:space="0" w:color="auto"/>
        <w:left w:val="none" w:sz="0" w:space="0" w:color="auto"/>
        <w:bottom w:val="none" w:sz="0" w:space="0" w:color="auto"/>
        <w:right w:val="none" w:sz="0" w:space="0" w:color="auto"/>
      </w:divBdr>
    </w:div>
    <w:div w:id="1487673834">
      <w:bodyDiv w:val="1"/>
      <w:marLeft w:val="0"/>
      <w:marRight w:val="0"/>
      <w:marTop w:val="0"/>
      <w:marBottom w:val="0"/>
      <w:divBdr>
        <w:top w:val="none" w:sz="0" w:space="0" w:color="auto"/>
        <w:left w:val="none" w:sz="0" w:space="0" w:color="auto"/>
        <w:bottom w:val="none" w:sz="0" w:space="0" w:color="auto"/>
        <w:right w:val="none" w:sz="0" w:space="0" w:color="auto"/>
      </w:divBdr>
    </w:div>
    <w:div w:id="1613971309">
      <w:bodyDiv w:val="1"/>
      <w:marLeft w:val="0"/>
      <w:marRight w:val="0"/>
      <w:marTop w:val="0"/>
      <w:marBottom w:val="0"/>
      <w:divBdr>
        <w:top w:val="none" w:sz="0" w:space="0" w:color="auto"/>
        <w:left w:val="none" w:sz="0" w:space="0" w:color="auto"/>
        <w:bottom w:val="none" w:sz="0" w:space="0" w:color="auto"/>
        <w:right w:val="none" w:sz="0" w:space="0" w:color="auto"/>
      </w:divBdr>
    </w:div>
    <w:div w:id="1632905447">
      <w:bodyDiv w:val="1"/>
      <w:marLeft w:val="0"/>
      <w:marRight w:val="0"/>
      <w:marTop w:val="0"/>
      <w:marBottom w:val="0"/>
      <w:divBdr>
        <w:top w:val="none" w:sz="0" w:space="0" w:color="auto"/>
        <w:left w:val="none" w:sz="0" w:space="0" w:color="auto"/>
        <w:bottom w:val="none" w:sz="0" w:space="0" w:color="auto"/>
        <w:right w:val="none" w:sz="0" w:space="0" w:color="auto"/>
      </w:divBdr>
    </w:div>
    <w:div w:id="1676178990">
      <w:bodyDiv w:val="1"/>
      <w:marLeft w:val="0"/>
      <w:marRight w:val="0"/>
      <w:marTop w:val="0"/>
      <w:marBottom w:val="0"/>
      <w:divBdr>
        <w:top w:val="none" w:sz="0" w:space="0" w:color="auto"/>
        <w:left w:val="none" w:sz="0" w:space="0" w:color="auto"/>
        <w:bottom w:val="none" w:sz="0" w:space="0" w:color="auto"/>
        <w:right w:val="none" w:sz="0" w:space="0" w:color="auto"/>
      </w:divBdr>
    </w:div>
    <w:div w:id="1694266314">
      <w:bodyDiv w:val="1"/>
      <w:marLeft w:val="0"/>
      <w:marRight w:val="0"/>
      <w:marTop w:val="0"/>
      <w:marBottom w:val="0"/>
      <w:divBdr>
        <w:top w:val="none" w:sz="0" w:space="0" w:color="auto"/>
        <w:left w:val="none" w:sz="0" w:space="0" w:color="auto"/>
        <w:bottom w:val="none" w:sz="0" w:space="0" w:color="auto"/>
        <w:right w:val="none" w:sz="0" w:space="0" w:color="auto"/>
      </w:divBdr>
    </w:div>
    <w:div w:id="1771855273">
      <w:bodyDiv w:val="1"/>
      <w:marLeft w:val="0"/>
      <w:marRight w:val="0"/>
      <w:marTop w:val="0"/>
      <w:marBottom w:val="0"/>
      <w:divBdr>
        <w:top w:val="none" w:sz="0" w:space="0" w:color="auto"/>
        <w:left w:val="none" w:sz="0" w:space="0" w:color="auto"/>
        <w:bottom w:val="none" w:sz="0" w:space="0" w:color="auto"/>
        <w:right w:val="none" w:sz="0" w:space="0" w:color="auto"/>
      </w:divBdr>
    </w:div>
    <w:div w:id="1783306777">
      <w:bodyDiv w:val="1"/>
      <w:marLeft w:val="0"/>
      <w:marRight w:val="0"/>
      <w:marTop w:val="0"/>
      <w:marBottom w:val="0"/>
      <w:divBdr>
        <w:top w:val="none" w:sz="0" w:space="0" w:color="auto"/>
        <w:left w:val="none" w:sz="0" w:space="0" w:color="auto"/>
        <w:bottom w:val="none" w:sz="0" w:space="0" w:color="auto"/>
        <w:right w:val="none" w:sz="0" w:space="0" w:color="auto"/>
      </w:divBdr>
    </w:div>
    <w:div w:id="1784572192">
      <w:bodyDiv w:val="1"/>
      <w:marLeft w:val="0"/>
      <w:marRight w:val="0"/>
      <w:marTop w:val="0"/>
      <w:marBottom w:val="0"/>
      <w:divBdr>
        <w:top w:val="none" w:sz="0" w:space="0" w:color="auto"/>
        <w:left w:val="none" w:sz="0" w:space="0" w:color="auto"/>
        <w:bottom w:val="none" w:sz="0" w:space="0" w:color="auto"/>
        <w:right w:val="none" w:sz="0" w:space="0" w:color="auto"/>
      </w:divBdr>
    </w:div>
    <w:div w:id="1864511744">
      <w:bodyDiv w:val="1"/>
      <w:marLeft w:val="0"/>
      <w:marRight w:val="0"/>
      <w:marTop w:val="0"/>
      <w:marBottom w:val="0"/>
      <w:divBdr>
        <w:top w:val="none" w:sz="0" w:space="0" w:color="auto"/>
        <w:left w:val="none" w:sz="0" w:space="0" w:color="auto"/>
        <w:bottom w:val="none" w:sz="0" w:space="0" w:color="auto"/>
        <w:right w:val="none" w:sz="0" w:space="0" w:color="auto"/>
      </w:divBdr>
    </w:div>
    <w:div w:id="1867521311">
      <w:bodyDiv w:val="1"/>
      <w:marLeft w:val="0"/>
      <w:marRight w:val="0"/>
      <w:marTop w:val="0"/>
      <w:marBottom w:val="0"/>
      <w:divBdr>
        <w:top w:val="none" w:sz="0" w:space="0" w:color="auto"/>
        <w:left w:val="none" w:sz="0" w:space="0" w:color="auto"/>
        <w:bottom w:val="none" w:sz="0" w:space="0" w:color="auto"/>
        <w:right w:val="none" w:sz="0" w:space="0" w:color="auto"/>
      </w:divBdr>
    </w:div>
    <w:div w:id="1872760302">
      <w:bodyDiv w:val="1"/>
      <w:marLeft w:val="0"/>
      <w:marRight w:val="0"/>
      <w:marTop w:val="0"/>
      <w:marBottom w:val="0"/>
      <w:divBdr>
        <w:top w:val="none" w:sz="0" w:space="0" w:color="auto"/>
        <w:left w:val="none" w:sz="0" w:space="0" w:color="auto"/>
        <w:bottom w:val="none" w:sz="0" w:space="0" w:color="auto"/>
        <w:right w:val="none" w:sz="0" w:space="0" w:color="auto"/>
      </w:divBdr>
    </w:div>
    <w:div w:id="1908831821">
      <w:bodyDiv w:val="1"/>
      <w:marLeft w:val="0"/>
      <w:marRight w:val="0"/>
      <w:marTop w:val="0"/>
      <w:marBottom w:val="0"/>
      <w:divBdr>
        <w:top w:val="none" w:sz="0" w:space="0" w:color="auto"/>
        <w:left w:val="none" w:sz="0" w:space="0" w:color="auto"/>
        <w:bottom w:val="none" w:sz="0" w:space="0" w:color="auto"/>
        <w:right w:val="none" w:sz="0" w:space="0" w:color="auto"/>
      </w:divBdr>
    </w:div>
    <w:div w:id="1941139766">
      <w:bodyDiv w:val="1"/>
      <w:marLeft w:val="0"/>
      <w:marRight w:val="0"/>
      <w:marTop w:val="0"/>
      <w:marBottom w:val="0"/>
      <w:divBdr>
        <w:top w:val="none" w:sz="0" w:space="0" w:color="auto"/>
        <w:left w:val="none" w:sz="0" w:space="0" w:color="auto"/>
        <w:bottom w:val="none" w:sz="0" w:space="0" w:color="auto"/>
        <w:right w:val="none" w:sz="0" w:space="0" w:color="auto"/>
      </w:divBdr>
    </w:div>
    <w:div w:id="1996688997">
      <w:bodyDiv w:val="1"/>
      <w:marLeft w:val="0"/>
      <w:marRight w:val="0"/>
      <w:marTop w:val="0"/>
      <w:marBottom w:val="0"/>
      <w:divBdr>
        <w:top w:val="none" w:sz="0" w:space="0" w:color="auto"/>
        <w:left w:val="none" w:sz="0" w:space="0" w:color="auto"/>
        <w:bottom w:val="none" w:sz="0" w:space="0" w:color="auto"/>
        <w:right w:val="none" w:sz="0" w:space="0" w:color="auto"/>
      </w:divBdr>
    </w:div>
    <w:div w:id="211978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lica.jovanovic\Desktop\decembar2014\RXS-XP_1910201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9.xml"/><Relationship Id="rId4"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0.xml"/><Relationship Id="rId4" Type="http://schemas.openxmlformats.org/officeDocument/2006/relationships/oleObject" Target="file:///C:\Users\danilo.vukojcic\Desktop\PEP%202015\Fiskalni%20pokazatelji-201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1.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2.xml"/><Relationship Id="rId4"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3.xml"/><Relationship Id="rId4" Type="http://schemas.openxmlformats.org/officeDocument/2006/relationships/oleObject" Target="file:///C:\Users\milica.jovanovic\AppData\Local\Microsoft\Windows\Temporary%20Internet%20Files\Content.Outlook\72ML24MG\Scenarija%20javni%20dug%20fiskalno%20prilagodjavanje%20jul%202013%20(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Dropbox\Dropbox\Makro%20sektor\Fiskal\Za%20FS%20dug%20i%20ciklicni\Scenarija%20javni%20dug%20fiskalno%20prilagodjavanje%20jul%202013%20(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vladimir.malbasic\Desktop\Dropbox\Makro%20sektor\Fiskal\Za%20FS%20dug%20i%20ciklicni\Grafikoni%20ciklicnog%20deficita,%20poreske%20elasticnosti%20i%20osetljivost%20balans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4.xml"/><Relationship Id="rId4" Type="http://schemas.openxmlformats.org/officeDocument/2006/relationships/oleObject" Target="file:///C:\Users\vladimir.malbasic\Desktop\Dropbox\Makro%20sektor\Fiskal\Za%20FS%20dug%20i%20ciklicni\Grafikoni%20ciklicnog%20deficita,%20poreske%20elasticnosti%20i%20osetljivost%20balansa.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D:\2014\December%202014\Strategija\grafikon%2018.xlsx" TargetMode="External"/><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Stefan\Dropbox\Radna%20dokumenta\Javni%20dug\Special%20reports\Strategija\Oktobar%202014\Strategija%20radna%20tabela.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lica.jovanovic\Desktop\decembar2014\RXS-XP_19102014.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Stefan\Dropbox\Radna%20dokumenta\Javni%20dug\Special%20reports\Strategija\Oktobar%202014\Strategija%20radna%20tabela.xlsx" TargetMode="External"/><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Stefan\Dropbox\Radna%20dokumenta\Javni%20dug\Special%20reports\Strategija\Oktobar%202014\Strategija%20radna%20tabela.xlsx" TargetMode="External"/><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Oliver%20Minic\AppData\Local\Microsoft\Windows\Temporary%20Internet%20Files\Content.Outlook\3U54FWYO\Copy%20of%20Strategija%20radna%20tabela.xlsx" TargetMode="External"/><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milos.dasic\Desktop\Strategija%20radna%20tabela.xlsx" TargetMode="External"/><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milos.dasic\Desktop\Strategija%20radna%20tabela.xlsx" TargetMode="External"/><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Korisnik\AppData\Local\Microsoft\Windows\Temporary%20Internet%20Files\Content.Outlook\8JCGUKXQ\Copy%20of%20Strategija%20radna%20tabela%20(3).xlsx" TargetMode="External"/><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milos.dasic\Desktop\Strategija%202015-2017\Strategija%20radna%20tabela.xlsx" TargetMode="External"/><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milos.dasic\Desktop\Strategija%202015-2017\Strategija%20radna%20tabela.xlsx" TargetMode="External"/><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Stefan\Dropbox\Radna%20dokumenta\Javni%20dug\Special%20reports\Strategija\Oktobar%202014\Strategija%20radna%20tabela.xlsx" TargetMode="External"/><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Stefan\Dropbox\Radna%20dokumenta\Javni%20dug\Special%20reports\Strategija\Oktobar%202014\Strategija%20radna%20tabela.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lica.jovanovic\Desktop\decembar2014\RXS-XP_1910201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Stefan%20Nemanja\Dropbox\Radna%20dokumenta\Javni%20dug\Special%20reports\Strategija\Oktobar%202014\Strategija%20radna%20tabela.xlsx" TargetMode="External"/><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Oliver%20Minic\Desktop\MTDS%20za%20strategiju%202015-2017%20v4%20test%201.xlsm" TargetMode="External"/><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Oliver%20Minic\Desktop\MTDS%20za%20strategiju%202015-2017%20v4%20test%201.xlsm" TargetMode="External"/><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Users\Korisnik\AppData\Local\Microsoft\Windows\Temporary%20Internet%20Files\Content.Outlook\8JCGUKXQ\32graf_CaR_08102013.xlsx" TargetMode="External"/><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Stefan%20Nemanja\Dropbox\Radna%20dokumenta\Javni%20dug\Middle%20office\Struktura%20imaoca\Imaoci%20FI-%2031%2010%202014.xlsx" TargetMode="External"/><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lica.jovanovic\Desktop\decembar2014\RXS-XP_19102014.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lica.jovanovic\Desktop\decembar2014\RXS-XP_19102014.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lica.jovanovic\Desktop\decembar2014\RXS-XP_19102014.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lica.jovanovic\Desktop\decembar2014\RXS-XP_19102014.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ilica.jovanovic\Desktop\decembar2014\RXS-XP_1910201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8.xml"/><Relationship Id="rId4" Type="http://schemas.openxmlformats.org/officeDocument/2006/relationships/oleObject" Target="file:///C:\Users\danilo.vukojcic\Desktop\PEP%202015\Fiskalni%20pokazatelji-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3.5288157558858758E-2"/>
          <c:y val="5.5944055944055944E-2"/>
          <c:w val="0.94642422814355198"/>
          <c:h val="0.8437842996898115"/>
        </c:manualLayout>
      </c:layout>
      <c:lineChart>
        <c:grouping val="standard"/>
        <c:varyColors val="0"/>
        <c:ser>
          <c:idx val="0"/>
          <c:order val="0"/>
          <c:tx>
            <c:strRef>
              <c:f>Makro!$B$3</c:f>
              <c:strCache>
                <c:ptCount val="1"/>
                <c:pt idx="0">
                  <c:v>Реални раст БДП</c:v>
                </c:pt>
              </c:strCache>
            </c:strRef>
          </c:tx>
          <c:spPr>
            <a:ln w="25400" cap="rnd" cmpd="sng" algn="ctr">
              <a:solidFill>
                <a:schemeClr val="accent3">
                  <a:shade val="76000"/>
                  <a:shade val="95000"/>
                  <a:satMod val="105000"/>
                </a:schemeClr>
              </a:solidFill>
              <a:prstDash val="solid"/>
              <a:round/>
            </a:ln>
            <a:effectLst/>
          </c:spPr>
          <c:marker>
            <c:spPr>
              <a:solidFill>
                <a:schemeClr val="accent3">
                  <a:shade val="76000"/>
                </a:schemeClr>
              </a:solidFill>
              <a:ln w="9525" cap="flat" cmpd="sng" algn="ctr">
                <a:solidFill>
                  <a:schemeClr val="accent3">
                    <a:shade val="76000"/>
                    <a:shade val="95000"/>
                    <a:satMod val="105000"/>
                  </a:schemeClr>
                </a:solidFill>
                <a:prstDash val="solid"/>
                <a:round/>
              </a:ln>
              <a:effectLst/>
            </c:spPr>
          </c:marker>
          <c:dLbls>
            <c:dLbl>
              <c:idx val="13"/>
              <c:layout>
                <c:manualLayout>
                  <c:x val="-3.323731442499446E-2"/>
                  <c:y val="8.484848484848477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6.9526355183887126E-2"/>
                  <c:y val="-0.10007778573132904"/>
                </c:manualLayout>
              </c:layout>
              <c:showLegendKey val="0"/>
              <c:showVal val="1"/>
              <c:showCatName val="0"/>
              <c:showSerName val="0"/>
              <c:showPercent val="0"/>
              <c:showBubbleSize val="0"/>
              <c:extLst>
                <c:ext xmlns:c15="http://schemas.microsoft.com/office/drawing/2012/chart" uri="{CE6537A1-D6FC-4f65-9D91-7224C49458BB}">
                  <c15:layout>
                    <c:manualLayout>
                      <c:w val="7.2968729008585878E-2"/>
                      <c:h val="6.7599141016463846E-2"/>
                    </c:manualLayout>
                  </c15:layout>
                </c:ext>
              </c:extLst>
            </c:dLbl>
            <c:dLbl>
              <c:idx val="15"/>
              <c:layout>
                <c:manualLayout>
                  <c:x val="-1.9950124688279301E-2"/>
                  <c:y val="-0.1212121212121212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50000"/>
                      </a:schemeClr>
                    </a:solidFill>
                    <a:latin typeface="Cambria (Headings)"/>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shade val="95000"/>
                          <a:satMod val="105000"/>
                        </a:schemeClr>
                      </a:solidFill>
                      <a:prstDash val="solid"/>
                      <a:round/>
                    </a:ln>
                    <a:effectLst/>
                  </c:spPr>
                </c15:leaderLines>
              </c:ext>
            </c:extLst>
          </c:dLbls>
          <c:cat>
            <c:numRef>
              <c:f>Makro!$D$2:$S$2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Makro!$D$3:$S$3</c:f>
              <c:numCache>
                <c:formatCode>0.0</c:formatCode>
                <c:ptCount val="16"/>
                <c:pt idx="0">
                  <c:v>7.1157886525926548</c:v>
                </c:pt>
                <c:pt idx="1">
                  <c:v>4.4154145060854262</c:v>
                </c:pt>
                <c:pt idx="2">
                  <c:v>9.046512148277003</c:v>
                </c:pt>
                <c:pt idx="3">
                  <c:v>5.5404276249064139</c:v>
                </c:pt>
                <c:pt idx="4">
                  <c:v>4.9043496452824371</c:v>
                </c:pt>
                <c:pt idx="5">
                  <c:v>5.8887610935680357</c:v>
                </c:pt>
                <c:pt idx="6">
                  <c:v>5.3666826558265806</c:v>
                </c:pt>
                <c:pt idx="7">
                  <c:v>-3.1159740131087688</c:v>
                </c:pt>
                <c:pt idx="8">
                  <c:v>0.58447958723866122</c:v>
                </c:pt>
                <c:pt idx="9">
                  <c:v>1.4014662271424783</c:v>
                </c:pt>
                <c:pt idx="10">
                  <c:v>-1.0152722940312344</c:v>
                </c:pt>
                <c:pt idx="11">
                  <c:v>2.5717364741589535</c:v>
                </c:pt>
                <c:pt idx="12">
                  <c:v>-2.0000000000000018</c:v>
                </c:pt>
                <c:pt idx="13">
                  <c:v>-0.50000000000000044</c:v>
                </c:pt>
                <c:pt idx="14">
                  <c:v>1.4999999999999902</c:v>
                </c:pt>
                <c:pt idx="15">
                  <c:v>2.0000000000000018</c:v>
                </c:pt>
              </c:numCache>
            </c:numRef>
          </c:val>
          <c:smooth val="1"/>
        </c:ser>
        <c:ser>
          <c:idx val="1"/>
          <c:order val="1"/>
          <c:tx>
            <c:strRef>
              <c:f>Makro!$B$4</c:f>
              <c:strCache>
                <c:ptCount val="1"/>
                <c:pt idx="0">
                  <c:v>Потенцијални раст БДП</c:v>
                </c:pt>
              </c:strCache>
            </c:strRef>
          </c:tx>
          <c:spPr>
            <a:ln w="19050" cap="rnd" cmpd="sng" algn="ctr">
              <a:solidFill>
                <a:schemeClr val="accent3">
                  <a:tint val="77000"/>
                  <a:shade val="95000"/>
                  <a:satMod val="105000"/>
                </a:schemeClr>
              </a:solidFill>
              <a:prstDash val="sysDash"/>
              <a:round/>
            </a:ln>
            <a:effectLst/>
          </c:spPr>
          <c:marker>
            <c:symbol val="none"/>
          </c:marker>
          <c:cat>
            <c:numRef>
              <c:f>Makro!$D$2:$S$2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Makro!$D$4:$S$4</c:f>
              <c:numCache>
                <c:formatCode>0.0</c:formatCode>
                <c:ptCount val="16"/>
                <c:pt idx="0">
                  <c:v>6.6871251079862359</c:v>
                </c:pt>
                <c:pt idx="1">
                  <c:v>6.6113695385143334</c:v>
                </c:pt>
                <c:pt idx="2">
                  <c:v>6.4588491631275557</c:v>
                </c:pt>
                <c:pt idx="3">
                  <c:v>6.0482585344021178</c:v>
                </c:pt>
                <c:pt idx="4">
                  <c:v>5.2915180003849205</c:v>
                </c:pt>
                <c:pt idx="5">
                  <c:v>4.239556719536397</c:v>
                </c:pt>
                <c:pt idx="6">
                  <c:v>2.9249387078101874</c:v>
                </c:pt>
                <c:pt idx="7">
                  <c:v>1.6263086852997155</c:v>
                </c:pt>
                <c:pt idx="8">
                  <c:v>0.75448044920785051</c:v>
                </c:pt>
                <c:pt idx="9">
                  <c:v>0.29393472337542192</c:v>
                </c:pt>
                <c:pt idx="10">
                  <c:v>7.1811601028937133E-2</c:v>
                </c:pt>
                <c:pt idx="11">
                  <c:v>9.9078522515227974E-4</c:v>
                </c:pt>
                <c:pt idx="12">
                  <c:v>2.2533225331100581E-2</c:v>
                </c:pt>
                <c:pt idx="13">
                  <c:v>0.20804997567329675</c:v>
                </c:pt>
                <c:pt idx="14">
                  <c:v>0.48418444173321529</c:v>
                </c:pt>
                <c:pt idx="15">
                  <c:v>0.66929887433504476</c:v>
                </c:pt>
              </c:numCache>
            </c:numRef>
          </c:val>
          <c:smooth val="1"/>
        </c:ser>
        <c:dLbls>
          <c:showLegendKey val="0"/>
          <c:showVal val="0"/>
          <c:showCatName val="0"/>
          <c:showSerName val="0"/>
          <c:showPercent val="0"/>
          <c:showBubbleSize val="0"/>
        </c:dLbls>
        <c:marker val="1"/>
        <c:smooth val="0"/>
        <c:axId val="205508928"/>
        <c:axId val="205506184"/>
      </c:lineChart>
      <c:catAx>
        <c:axId val="205508928"/>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none"/>
        <c:minorTickMark val="none"/>
        <c:tickLblPos val="low"/>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Cambria (Headings)"/>
                <a:ea typeface="+mn-ea"/>
                <a:cs typeface="+mn-cs"/>
              </a:defRPr>
            </a:pPr>
            <a:endParaRPr lang="en-US"/>
          </a:p>
        </c:txPr>
        <c:crossAx val="205506184"/>
        <c:crosses val="autoZero"/>
        <c:auto val="1"/>
        <c:lblAlgn val="ctr"/>
        <c:lblOffset val="100"/>
        <c:noMultiLvlLbl val="0"/>
      </c:catAx>
      <c:valAx>
        <c:axId val="205506184"/>
        <c:scaling>
          <c:orientation val="minMax"/>
          <c:min val="-4"/>
        </c:scaling>
        <c:delete val="0"/>
        <c:axPos val="l"/>
        <c:majorGridlines>
          <c:spPr>
            <a:ln w="9525" cap="flat" cmpd="sng" algn="ctr">
              <a:solidFill>
                <a:schemeClr val="dk1">
                  <a:tint val="75000"/>
                  <a:shade val="95000"/>
                  <a:satMod val="105000"/>
                </a:schemeClr>
              </a:solidFill>
              <a:prstDash val="sysDot"/>
              <a:round/>
            </a:ln>
            <a:effectLst/>
          </c:spPr>
        </c:majorGridlines>
        <c:numFmt formatCode="0" sourceLinked="0"/>
        <c:majorTickMark val="none"/>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Cambria (Headings)"/>
                <a:ea typeface="+mn-ea"/>
                <a:cs typeface="+mn-cs"/>
              </a:defRPr>
            </a:pPr>
            <a:endParaRPr lang="en-US"/>
          </a:p>
        </c:txPr>
        <c:crossAx val="205508928"/>
        <c:crosses val="autoZero"/>
        <c:crossBetween val="between"/>
      </c:valAx>
      <c:spPr>
        <a:solidFill>
          <a:schemeClr val="accent3">
            <a:tint val="20000"/>
          </a:schemeClr>
        </a:solidFill>
        <a:ln>
          <a:noFill/>
        </a:ln>
        <a:effectLst/>
      </c:spPr>
    </c:plotArea>
    <c:legend>
      <c:legendPos val="b"/>
      <c:legendEntry>
        <c:idx val="1"/>
        <c:delete val="1"/>
      </c:legendEntry>
      <c:layout>
        <c:manualLayout>
          <c:xMode val="edge"/>
          <c:yMode val="edge"/>
          <c:x val="2.7285305268594139E-2"/>
          <c:y val="0.55292547522468793"/>
          <c:w val="0.53168564120567763"/>
          <c:h val="8.374905933961074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Cambria (Headings)"/>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1000">
          <a:solidFill>
            <a:schemeClr val="bg1">
              <a:lumMod val="50000"/>
            </a:schemeClr>
          </a:solidFill>
          <a:latin typeface="Cambria (Headings)"/>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947676504465721"/>
          <c:y val="2.1959161482019634E-2"/>
          <c:w val="0.79019711760614719"/>
          <c:h val="0.91147764560518019"/>
        </c:manualLayout>
      </c:layout>
      <c:barChart>
        <c:barDir val="bar"/>
        <c:grouping val="clustered"/>
        <c:varyColors val="0"/>
        <c:ser>
          <c:idx val="0"/>
          <c:order val="0"/>
          <c:tx>
            <c:strRef>
              <c:f>'Т-дефицит-дуг'!$M$4</c:f>
              <c:strCache>
                <c:ptCount val="1"/>
                <c:pt idx="0">
                  <c:v>Јавни дуг, % БДП 2013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Pt>
            <c:idx val="10"/>
            <c:invertIfNegative val="0"/>
            <c:bubble3D val="0"/>
          </c:dPt>
          <c:dPt>
            <c:idx val="11"/>
            <c:invertIfNegative val="0"/>
            <c:bubble3D val="0"/>
          </c:dPt>
          <c:dPt>
            <c:idx val="12"/>
            <c:invertIfNegative val="0"/>
            <c:bubble3D val="0"/>
            <c:spPr>
              <a:solidFill>
                <a:schemeClr val="accent2"/>
              </a:solidFill>
              <a:ln>
                <a:noFill/>
              </a:ln>
              <a:effectLst/>
            </c:spPr>
          </c:dPt>
          <c:dPt>
            <c:idx val="13"/>
            <c:invertIfNegative val="0"/>
            <c:bubble3D val="0"/>
          </c:dPt>
          <c:dLbls>
            <c:dLbl>
              <c:idx val="3"/>
              <c:layout>
                <c:manualLayout>
                  <c:x val="-7.6738609112709827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1942446043165464E-2"/>
                  <c:y val="-1.1055704234915597E-1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6738609112709827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1942446043165464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1127098321342928E-2"/>
                  <c:y val="-3.0152268958239109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3165467625899283E-2"/>
                  <c:y val="-1.1055704234915597E-16"/>
                </c:manualLayout>
              </c:layout>
              <c:showLegendKey val="0"/>
              <c:showVal val="1"/>
              <c:showCatName val="0"/>
              <c:showSerName val="0"/>
              <c:showPercent val="0"/>
              <c:showBubbleSize val="0"/>
              <c:extLst>
                <c:ext xmlns:c15="http://schemas.microsoft.com/office/drawing/2012/chart" uri="{CE6537A1-D6FC-4f65-9D91-7224C49458BB}"/>
              </c:extLst>
            </c:dLbl>
            <c:dLbl>
              <c:idx val="12"/>
              <c:tx>
                <c:rich>
                  <a:bodyPr/>
                  <a:lstStyle/>
                  <a:p>
                    <a:r>
                      <a:rPr lang="en-US"/>
                      <a:t>61,1</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'Т-дефицит-дуг'!$L$5:$L$34</c:f>
              <c:strCache>
                <c:ptCount val="30"/>
                <c:pt idx="0">
                  <c:v>Естонија</c:v>
                </c:pt>
                <c:pt idx="1">
                  <c:v>Бугарска</c:v>
                </c:pt>
                <c:pt idx="2">
                  <c:v>Луксембург</c:v>
                </c:pt>
                <c:pt idx="3">
                  <c:v>Румунија</c:v>
                </c:pt>
                <c:pt idx="4">
                  <c:v>Летонија</c:v>
                </c:pt>
                <c:pt idx="5">
                  <c:v>Шведска</c:v>
                </c:pt>
                <c:pt idx="6">
                  <c:v>Литванија</c:v>
                </c:pt>
                <c:pt idx="7">
                  <c:v>Данска</c:v>
                </c:pt>
                <c:pt idx="8">
                  <c:v>Чешка Република</c:v>
                </c:pt>
                <c:pt idx="9">
                  <c:v>Словачка</c:v>
                </c:pt>
                <c:pt idx="10">
                  <c:v>Пољска</c:v>
                </c:pt>
                <c:pt idx="11">
                  <c:v>Финска</c:v>
                </c:pt>
                <c:pt idx="12">
                  <c:v>Србија</c:v>
                </c:pt>
                <c:pt idx="13">
                  <c:v>Холандија</c:v>
                </c:pt>
                <c:pt idx="14">
                  <c:v>Малта</c:v>
                </c:pt>
                <c:pt idx="15">
                  <c:v>Словенија</c:v>
                </c:pt>
                <c:pt idx="16">
                  <c:v>Хрватска</c:v>
                </c:pt>
                <c:pt idx="17">
                  <c:v>Немачка</c:v>
                </c:pt>
                <c:pt idx="18">
                  <c:v>Мађарска</c:v>
                </c:pt>
                <c:pt idx="19">
                  <c:v>Аустрија</c:v>
                </c:pt>
                <c:pt idx="20">
                  <c:v>ЕУ 27</c:v>
                </c:pt>
                <c:pt idx="21">
                  <c:v>УК</c:v>
                </c:pt>
                <c:pt idx="22">
                  <c:v>Шпанија</c:v>
                </c:pt>
                <c:pt idx="23">
                  <c:v>Француска</c:v>
                </c:pt>
                <c:pt idx="24">
                  <c:v>Кипар</c:v>
                </c:pt>
                <c:pt idx="25">
                  <c:v>Белгија</c:v>
                </c:pt>
                <c:pt idx="26">
                  <c:v>Ирска</c:v>
                </c:pt>
                <c:pt idx="27">
                  <c:v>Италија</c:v>
                </c:pt>
                <c:pt idx="28">
                  <c:v>Португалија</c:v>
                </c:pt>
                <c:pt idx="29">
                  <c:v>Грчка</c:v>
                </c:pt>
              </c:strCache>
            </c:strRef>
          </c:cat>
          <c:val>
            <c:numRef>
              <c:f>'Т-дефицит-дуг'!$M$5:$M$34</c:f>
              <c:numCache>
                <c:formatCode>#,##0.0</c:formatCode>
                <c:ptCount val="30"/>
                <c:pt idx="0">
                  <c:v>10.1</c:v>
                </c:pt>
                <c:pt idx="1">
                  <c:v>18.3</c:v>
                </c:pt>
                <c:pt idx="2">
                  <c:v>23.6</c:v>
                </c:pt>
                <c:pt idx="3">
                  <c:v>37.9</c:v>
                </c:pt>
                <c:pt idx="4">
                  <c:v>38.200000000000003</c:v>
                </c:pt>
                <c:pt idx="5">
                  <c:v>38.6</c:v>
                </c:pt>
                <c:pt idx="6">
                  <c:v>39</c:v>
                </c:pt>
                <c:pt idx="7">
                  <c:v>45</c:v>
                </c:pt>
                <c:pt idx="8">
                  <c:v>45.7</c:v>
                </c:pt>
                <c:pt idx="9">
                  <c:v>54.6</c:v>
                </c:pt>
                <c:pt idx="10">
                  <c:v>55.7</c:v>
                </c:pt>
                <c:pt idx="11">
                  <c:v>56</c:v>
                </c:pt>
                <c:pt idx="12">
                  <c:v>60.8</c:v>
                </c:pt>
                <c:pt idx="13">
                  <c:v>68.599999999999994</c:v>
                </c:pt>
                <c:pt idx="14">
                  <c:v>69.8</c:v>
                </c:pt>
                <c:pt idx="15">
                  <c:v>70.400000000000006</c:v>
                </c:pt>
                <c:pt idx="16">
                  <c:v>75.7</c:v>
                </c:pt>
                <c:pt idx="17">
                  <c:v>76.900000000000006</c:v>
                </c:pt>
                <c:pt idx="18">
                  <c:v>77.3</c:v>
                </c:pt>
                <c:pt idx="19">
                  <c:v>81.2</c:v>
                </c:pt>
                <c:pt idx="20" formatCode="0.0">
                  <c:v>87.1</c:v>
                </c:pt>
                <c:pt idx="21">
                  <c:v>87.2</c:v>
                </c:pt>
                <c:pt idx="22">
                  <c:v>92.1</c:v>
                </c:pt>
                <c:pt idx="23">
                  <c:v>92.2</c:v>
                </c:pt>
                <c:pt idx="24" formatCode="General">
                  <c:v>102.2</c:v>
                </c:pt>
                <c:pt idx="25">
                  <c:v>104.5</c:v>
                </c:pt>
                <c:pt idx="26">
                  <c:v>123.3</c:v>
                </c:pt>
                <c:pt idx="27">
                  <c:v>127.9</c:v>
                </c:pt>
                <c:pt idx="28">
                  <c:v>128</c:v>
                </c:pt>
                <c:pt idx="29">
                  <c:v>174.9</c:v>
                </c:pt>
              </c:numCache>
            </c:numRef>
          </c:val>
        </c:ser>
        <c:dLbls>
          <c:showLegendKey val="0"/>
          <c:showVal val="1"/>
          <c:showCatName val="0"/>
          <c:showSerName val="0"/>
          <c:showPercent val="0"/>
          <c:showBubbleSize val="0"/>
        </c:dLbls>
        <c:gapWidth val="100"/>
        <c:axId val="278568944"/>
        <c:axId val="304675944"/>
      </c:barChart>
      <c:catAx>
        <c:axId val="2785689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bg1">
                    <a:lumMod val="50000"/>
                  </a:schemeClr>
                </a:solidFill>
                <a:latin typeface="Cambria" panose="02040503050406030204" pitchFamily="18" charset="0"/>
                <a:ea typeface="+mn-ea"/>
                <a:cs typeface="+mn-cs"/>
              </a:defRPr>
            </a:pPr>
            <a:endParaRPr lang="en-US"/>
          </a:p>
        </c:txPr>
        <c:crossAx val="304675944"/>
        <c:crosses val="autoZero"/>
        <c:auto val="1"/>
        <c:lblAlgn val="ctr"/>
        <c:lblOffset val="100"/>
        <c:tickLblSkip val="1"/>
        <c:noMultiLvlLbl val="0"/>
      </c:catAx>
      <c:valAx>
        <c:axId val="304675944"/>
        <c:scaling>
          <c:orientation val="minMax"/>
          <c:max val="180"/>
          <c:min val="0"/>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bg1">
                    <a:lumMod val="50000"/>
                  </a:schemeClr>
                </a:solidFill>
                <a:latin typeface="Cambria" panose="02040503050406030204" pitchFamily="18" charset="0"/>
                <a:ea typeface="+mn-ea"/>
                <a:cs typeface="+mn-cs"/>
              </a:defRPr>
            </a:pPr>
            <a:endParaRPr lang="en-US"/>
          </a:p>
        </c:txPr>
        <c:crossAx val="278568944"/>
        <c:crosses val="autoZero"/>
        <c:crossBetween val="between"/>
        <c:majorUnit val="30"/>
      </c:valAx>
      <c:spPr>
        <a:solidFill>
          <a:srgbClr val="9BBB59">
            <a:lumMod val="20000"/>
            <a:lumOff val="80000"/>
          </a:srgb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chemeClr val="bg1">
              <a:lumMod val="50000"/>
            </a:schemeClr>
          </a:solidFill>
          <a:latin typeface="Cambria" panose="02040503050406030204" pitchFamily="18" charset="0"/>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83391003460208"/>
          <c:y val="3.5362318840579707E-2"/>
          <c:w val="0.88023607610104837"/>
          <c:h val="0.8967632089467078"/>
        </c:manualLayout>
      </c:layout>
      <c:barChart>
        <c:barDir val="bar"/>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Pt>
            <c:idx val="0"/>
            <c:invertIfNegative val="0"/>
            <c:bubble3D val="0"/>
            <c:spPr>
              <a:solidFill>
                <a:schemeClr val="accent2"/>
              </a:solidFill>
              <a:ln>
                <a:noFill/>
              </a:ln>
              <a:effectLst/>
            </c:spPr>
          </c:dPt>
          <c:dPt>
            <c:idx val="6"/>
            <c:invertIfNegative val="0"/>
            <c:bubble3D val="0"/>
          </c:dPt>
          <c:dLbls>
            <c:dLbl>
              <c:idx val="0"/>
              <c:layout>
                <c:manualLayout>
                  <c:x val="-0.10337916715634426"/>
                  <c:y val="0"/>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4.4776119402985169E-2"/>
                  <c:y val="-5.0400334151336879E-17"/>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9800995024875711E-2"/>
                  <c:y val="0"/>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3.482587064676617E-2"/>
                  <c:y val="0"/>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9850746268656716E-2"/>
                  <c:y val="0"/>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4.4004400440044202E-3"/>
                  <c:y val="0"/>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7.4626865671641784E-2"/>
                  <c:y val="0"/>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7.9601990049751242E-2"/>
                  <c:y val="-2.749140893470793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'Т-дефицит-дуг'!$O$5:$O$34</c:f>
              <c:strCache>
                <c:ptCount val="30"/>
                <c:pt idx="0">
                  <c:v>Србија</c:v>
                </c:pt>
                <c:pt idx="1">
                  <c:v>Шпанија</c:v>
                </c:pt>
                <c:pt idx="2">
                  <c:v>Хрватска</c:v>
                </c:pt>
                <c:pt idx="3">
                  <c:v>УК</c:v>
                </c:pt>
                <c:pt idx="4">
                  <c:v>Португалија</c:v>
                </c:pt>
                <c:pt idx="5">
                  <c:v>Словенија</c:v>
                </c:pt>
                <c:pt idx="6">
                  <c:v>Француска</c:v>
                </c:pt>
                <c:pt idx="7">
                  <c:v>Ирска</c:v>
                </c:pt>
                <c:pt idx="8">
                  <c:v>Бугарска</c:v>
                </c:pt>
                <c:pt idx="9">
                  <c:v>Пољска</c:v>
                </c:pt>
                <c:pt idx="10">
                  <c:v>Кипар</c:v>
                </c:pt>
                <c:pt idx="11">
                  <c:v>ЕУ 27</c:v>
                </c:pt>
                <c:pt idx="12">
                  <c:v>Словачка</c:v>
                </c:pt>
                <c:pt idx="13">
                  <c:v>Белгија</c:v>
                </c:pt>
                <c:pt idx="14">
                  <c:v>Италија</c:v>
                </c:pt>
                <c:pt idx="15">
                  <c:v>Мађарска</c:v>
                </c:pt>
                <c:pt idx="16">
                  <c:v>Аустрија</c:v>
                </c:pt>
                <c:pt idx="17">
                  <c:v>Финска</c:v>
                </c:pt>
                <c:pt idx="18">
                  <c:v>Малта</c:v>
                </c:pt>
                <c:pt idx="19">
                  <c:v>Холандија</c:v>
                </c:pt>
                <c:pt idx="20">
                  <c:v>Шведска</c:v>
                </c:pt>
                <c:pt idx="21">
                  <c:v>Румунија</c:v>
                </c:pt>
                <c:pt idx="22">
                  <c:v>Грчка</c:v>
                </c:pt>
                <c:pt idx="23">
                  <c:v>Чешка Република</c:v>
                </c:pt>
                <c:pt idx="24">
                  <c:v>Литванија</c:v>
                </c:pt>
                <c:pt idx="25">
                  <c:v>Летонија</c:v>
                </c:pt>
                <c:pt idx="26">
                  <c:v>Данска</c:v>
                </c:pt>
                <c:pt idx="27">
                  <c:v>Естонија</c:v>
                </c:pt>
                <c:pt idx="28">
                  <c:v>Луксембург</c:v>
                </c:pt>
                <c:pt idx="29">
                  <c:v>Немачка</c:v>
                </c:pt>
              </c:strCache>
            </c:strRef>
          </c:cat>
          <c:val>
            <c:numRef>
              <c:f>'Т-дефицит-дуг'!$P$5:$P$34</c:f>
              <c:numCache>
                <c:formatCode>#,##0.0</c:formatCode>
                <c:ptCount val="30"/>
                <c:pt idx="0">
                  <c:v>-7.9</c:v>
                </c:pt>
                <c:pt idx="1">
                  <c:v>-5.6</c:v>
                </c:pt>
                <c:pt idx="2">
                  <c:v>-5.6</c:v>
                </c:pt>
                <c:pt idx="3">
                  <c:v>-5.4</c:v>
                </c:pt>
                <c:pt idx="4">
                  <c:v>-4.9000000000000004</c:v>
                </c:pt>
                <c:pt idx="5">
                  <c:v>-4.4000000000000004</c:v>
                </c:pt>
                <c:pt idx="6">
                  <c:v>-4.4000000000000004</c:v>
                </c:pt>
                <c:pt idx="7">
                  <c:v>-3.7</c:v>
                </c:pt>
                <c:pt idx="8">
                  <c:v>-3.6</c:v>
                </c:pt>
                <c:pt idx="9">
                  <c:v>-3.4</c:v>
                </c:pt>
                <c:pt idx="10">
                  <c:v>-3</c:v>
                </c:pt>
                <c:pt idx="11">
                  <c:v>-3</c:v>
                </c:pt>
                <c:pt idx="12">
                  <c:v>-3</c:v>
                </c:pt>
                <c:pt idx="13">
                  <c:v>-3</c:v>
                </c:pt>
                <c:pt idx="14">
                  <c:v>-3</c:v>
                </c:pt>
                <c:pt idx="15">
                  <c:v>-2.9</c:v>
                </c:pt>
                <c:pt idx="16">
                  <c:v>-2.9</c:v>
                </c:pt>
                <c:pt idx="17">
                  <c:v>-2.9</c:v>
                </c:pt>
                <c:pt idx="18">
                  <c:v>-2.5</c:v>
                </c:pt>
                <c:pt idx="19">
                  <c:v>-2.5</c:v>
                </c:pt>
                <c:pt idx="20">
                  <c:v>-2.4</c:v>
                </c:pt>
                <c:pt idx="21">
                  <c:v>-2.1</c:v>
                </c:pt>
                <c:pt idx="22">
                  <c:v>-1.6</c:v>
                </c:pt>
                <c:pt idx="23">
                  <c:v>-1.4</c:v>
                </c:pt>
                <c:pt idx="24">
                  <c:v>-1.2</c:v>
                </c:pt>
                <c:pt idx="25">
                  <c:v>-1.1000000000000001</c:v>
                </c:pt>
                <c:pt idx="26">
                  <c:v>-1</c:v>
                </c:pt>
                <c:pt idx="27">
                  <c:v>-0.4</c:v>
                </c:pt>
                <c:pt idx="28">
                  <c:v>0.2</c:v>
                </c:pt>
                <c:pt idx="29">
                  <c:v>0.2</c:v>
                </c:pt>
              </c:numCache>
            </c:numRef>
          </c:val>
        </c:ser>
        <c:dLbls>
          <c:showLegendKey val="0"/>
          <c:showVal val="0"/>
          <c:showCatName val="0"/>
          <c:showSerName val="0"/>
          <c:showPercent val="0"/>
          <c:showBubbleSize val="0"/>
        </c:dLbls>
        <c:gapWidth val="100"/>
        <c:axId val="304676336"/>
        <c:axId val="304676728"/>
      </c:barChart>
      <c:catAx>
        <c:axId val="304676336"/>
        <c:scaling>
          <c:orientation val="minMax"/>
        </c:scaling>
        <c:delete val="0"/>
        <c:axPos val="l"/>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bg1">
                    <a:lumMod val="50000"/>
                  </a:schemeClr>
                </a:solidFill>
                <a:latin typeface="+mj-lt"/>
                <a:ea typeface="+mn-ea"/>
                <a:cs typeface="+mn-cs"/>
              </a:defRPr>
            </a:pPr>
            <a:endParaRPr lang="en-US"/>
          </a:p>
        </c:txPr>
        <c:crossAx val="304676728"/>
        <c:crosses val="autoZero"/>
        <c:auto val="1"/>
        <c:lblAlgn val="ctr"/>
        <c:lblOffset val="100"/>
        <c:tickLblSkip val="1"/>
        <c:noMultiLvlLbl val="0"/>
      </c:catAx>
      <c:valAx>
        <c:axId val="304676728"/>
        <c:scaling>
          <c:orientation val="minMax"/>
          <c:max val="0.5"/>
          <c:min val="-8"/>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bg1">
                    <a:lumMod val="50000"/>
                  </a:schemeClr>
                </a:solidFill>
                <a:latin typeface="+mj-lt"/>
                <a:ea typeface="+mn-ea"/>
                <a:cs typeface="+mn-cs"/>
              </a:defRPr>
            </a:pPr>
            <a:endParaRPr lang="en-US"/>
          </a:p>
        </c:txPr>
        <c:crossAx val="304676336"/>
        <c:crosses val="autoZero"/>
        <c:crossBetween val="between"/>
      </c:valAx>
      <c:spPr>
        <a:solidFill>
          <a:srgbClr val="9BBB59">
            <a:lumMod val="20000"/>
            <a:lumOff val="80000"/>
          </a:srgb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bg1">
              <a:lumMod val="50000"/>
            </a:schemeClr>
          </a:solidFill>
          <a:latin typeface="+mj-lt"/>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74662445544824"/>
          <c:y val="3.4561313023644971E-2"/>
          <c:w val="0.80089468842167955"/>
          <c:h val="0.8972678196884778"/>
        </c:manualLayout>
      </c:layout>
      <c:barChart>
        <c:barDir val="bar"/>
        <c:grouping val="clustered"/>
        <c:varyColors val="0"/>
        <c:ser>
          <c:idx val="0"/>
          <c:order val="0"/>
          <c:tx>
            <c:strRef>
              <c:f>'Т-дефицит-дуг'!$S$4</c:f>
              <c:strCache>
                <c:ptCount val="1"/>
                <c:pt idx="0">
                  <c:v>Јавни дуг, % БДП 2014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c:spPr>
          <c:invertIfNegative val="0"/>
          <c:dPt>
            <c:idx val="9"/>
            <c:invertIfNegative val="0"/>
            <c:bubble3D val="0"/>
          </c:dPt>
          <c:dPt>
            <c:idx val="10"/>
            <c:invertIfNegative val="0"/>
            <c:bubble3D val="0"/>
          </c:dPt>
          <c:dPt>
            <c:idx val="13"/>
            <c:invertIfNegative val="0"/>
            <c:bubble3D val="0"/>
            <c:spPr>
              <a:solidFill>
                <a:schemeClr val="accent2"/>
              </a:solidFill>
              <a:ln>
                <a:noFill/>
              </a:ln>
              <a:effectLst/>
            </c:spPr>
          </c:dPt>
          <c:dPt>
            <c:idx val="14"/>
            <c:invertIfNegative val="0"/>
            <c:bubble3D val="0"/>
          </c:dPt>
          <c:dLbls>
            <c:dLbl>
              <c:idx val="3"/>
              <c:layout>
                <c:manualLayout>
                  <c:x val="5.2169788949490072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684372776855585E-2"/>
                  <c:y val="-1.0080066830267376E-1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6912497035807447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79416646905383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897083234526915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3198956604221008E-2"/>
                  <c:y val="-1.0080066830267376E-16"/>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8456248517903637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8456248517903723E-2"/>
                  <c:y val="-1.0080066830267376E-16"/>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'Т-дефицит-дуг'!$R$5:$R$34</c:f>
              <c:strCache>
                <c:ptCount val="30"/>
                <c:pt idx="0">
                  <c:v>Естонија</c:v>
                </c:pt>
                <c:pt idx="1">
                  <c:v>Луксембург</c:v>
                </c:pt>
                <c:pt idx="2">
                  <c:v>Бугарска</c:v>
                </c:pt>
                <c:pt idx="3">
                  <c:v>Румунија</c:v>
                </c:pt>
                <c:pt idx="4">
                  <c:v>Шведска</c:v>
                </c:pt>
                <c:pt idx="5">
                  <c:v>Летонија</c:v>
                </c:pt>
                <c:pt idx="6">
                  <c:v>Литванија</c:v>
                </c:pt>
                <c:pt idx="7">
                  <c:v>Данска</c:v>
                </c:pt>
                <c:pt idx="8">
                  <c:v>Чешка Република</c:v>
                </c:pt>
                <c:pt idx="9">
                  <c:v>Пољска</c:v>
                </c:pt>
                <c:pt idx="10">
                  <c:v>Словачка</c:v>
                </c:pt>
                <c:pt idx="11">
                  <c:v>Финска</c:v>
                </c:pt>
                <c:pt idx="12">
                  <c:v>Холандија</c:v>
                </c:pt>
                <c:pt idx="13">
                  <c:v>Србија</c:v>
                </c:pt>
                <c:pt idx="14">
                  <c:v>Малта</c:v>
                </c:pt>
                <c:pt idx="15">
                  <c:v>Немачка</c:v>
                </c:pt>
                <c:pt idx="16">
                  <c:v>Мађарска</c:v>
                </c:pt>
                <c:pt idx="17">
                  <c:v>Хрватска</c:v>
                </c:pt>
                <c:pt idx="18">
                  <c:v>Словенија</c:v>
                </c:pt>
                <c:pt idx="19">
                  <c:v>Аустрија</c:v>
                </c:pt>
                <c:pt idx="20">
                  <c:v>ЕУ 27</c:v>
                </c:pt>
                <c:pt idx="21">
                  <c:v>УК</c:v>
                </c:pt>
                <c:pt idx="22">
                  <c:v>Француска</c:v>
                </c:pt>
                <c:pt idx="23">
                  <c:v>Шпанија</c:v>
                </c:pt>
                <c:pt idx="24">
                  <c:v>Белгија</c:v>
                </c:pt>
                <c:pt idx="25">
                  <c:v>Кипар</c:v>
                </c:pt>
                <c:pt idx="26">
                  <c:v>Ирска</c:v>
                </c:pt>
                <c:pt idx="27">
                  <c:v>Португалија</c:v>
                </c:pt>
                <c:pt idx="28">
                  <c:v>Италија</c:v>
                </c:pt>
                <c:pt idx="29">
                  <c:v>Грчка</c:v>
                </c:pt>
              </c:strCache>
            </c:strRef>
          </c:cat>
          <c:val>
            <c:numRef>
              <c:f>'Т-дефицит-дуг'!$S$5:$S$34</c:f>
              <c:numCache>
                <c:formatCode>#,##0.0</c:formatCode>
                <c:ptCount val="30"/>
                <c:pt idx="0">
                  <c:v>9.9</c:v>
                </c:pt>
                <c:pt idx="1">
                  <c:v>23</c:v>
                </c:pt>
                <c:pt idx="2">
                  <c:v>25.3</c:v>
                </c:pt>
                <c:pt idx="3">
                  <c:v>39.4</c:v>
                </c:pt>
                <c:pt idx="4">
                  <c:v>40.299999999999997</c:v>
                </c:pt>
                <c:pt idx="5">
                  <c:v>40.299999999999997</c:v>
                </c:pt>
                <c:pt idx="6">
                  <c:v>41.3</c:v>
                </c:pt>
                <c:pt idx="7">
                  <c:v>44.1</c:v>
                </c:pt>
                <c:pt idx="8">
                  <c:v>44.4</c:v>
                </c:pt>
                <c:pt idx="9">
                  <c:v>49.1</c:v>
                </c:pt>
                <c:pt idx="10">
                  <c:v>54.1</c:v>
                </c:pt>
                <c:pt idx="11">
                  <c:v>59.8</c:v>
                </c:pt>
                <c:pt idx="12">
                  <c:v>69.7</c:v>
                </c:pt>
                <c:pt idx="13">
                  <c:v>69.900000000000006</c:v>
                </c:pt>
                <c:pt idx="14">
                  <c:v>71</c:v>
                </c:pt>
                <c:pt idx="15">
                  <c:v>74.5</c:v>
                </c:pt>
                <c:pt idx="16">
                  <c:v>76.900000000000006</c:v>
                </c:pt>
                <c:pt idx="17">
                  <c:v>81.7</c:v>
                </c:pt>
                <c:pt idx="18">
                  <c:v>82.2</c:v>
                </c:pt>
                <c:pt idx="19">
                  <c:v>87</c:v>
                </c:pt>
                <c:pt idx="20" formatCode="0.0">
                  <c:v>88.1</c:v>
                </c:pt>
                <c:pt idx="21">
                  <c:v>89</c:v>
                </c:pt>
                <c:pt idx="22">
                  <c:v>95.5</c:v>
                </c:pt>
                <c:pt idx="23">
                  <c:v>98.1</c:v>
                </c:pt>
                <c:pt idx="24">
                  <c:v>105.8</c:v>
                </c:pt>
                <c:pt idx="25" formatCode="General">
                  <c:v>107.5</c:v>
                </c:pt>
                <c:pt idx="26">
                  <c:v>110.5</c:v>
                </c:pt>
                <c:pt idx="27">
                  <c:v>127.7</c:v>
                </c:pt>
                <c:pt idx="28">
                  <c:v>132.19999999999999</c:v>
                </c:pt>
                <c:pt idx="29">
                  <c:v>175.5</c:v>
                </c:pt>
              </c:numCache>
            </c:numRef>
          </c:val>
        </c:ser>
        <c:dLbls>
          <c:showLegendKey val="0"/>
          <c:showVal val="1"/>
          <c:showCatName val="0"/>
          <c:showSerName val="0"/>
          <c:showPercent val="0"/>
          <c:showBubbleSize val="0"/>
        </c:dLbls>
        <c:gapWidth val="100"/>
        <c:axId val="355730744"/>
        <c:axId val="355723688"/>
      </c:barChart>
      <c:catAx>
        <c:axId val="355730744"/>
        <c:scaling>
          <c:orientation val="minMax"/>
        </c:scaling>
        <c:delete val="0"/>
        <c:axPos val="l"/>
        <c:numFmt formatCode="#,##0.00" sourceLinked="0"/>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bg1">
                    <a:lumMod val="50000"/>
                  </a:schemeClr>
                </a:solidFill>
                <a:latin typeface="+mj-lt"/>
                <a:ea typeface="+mn-ea"/>
                <a:cs typeface="+mn-cs"/>
              </a:defRPr>
            </a:pPr>
            <a:endParaRPr lang="en-US"/>
          </a:p>
        </c:txPr>
        <c:crossAx val="355723688"/>
        <c:crosses val="autoZero"/>
        <c:auto val="1"/>
        <c:lblAlgn val="ctr"/>
        <c:lblOffset val="100"/>
        <c:tickLblSkip val="1"/>
        <c:noMultiLvlLbl val="0"/>
      </c:catAx>
      <c:valAx>
        <c:axId val="355723688"/>
        <c:scaling>
          <c:orientation val="minMax"/>
          <c:max val="180"/>
          <c:min val="0"/>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bg1">
                    <a:lumMod val="50000"/>
                  </a:schemeClr>
                </a:solidFill>
                <a:latin typeface="+mj-lt"/>
                <a:ea typeface="+mn-ea"/>
                <a:cs typeface="+mn-cs"/>
              </a:defRPr>
            </a:pPr>
            <a:endParaRPr lang="en-US"/>
          </a:p>
        </c:txPr>
        <c:crossAx val="355730744"/>
        <c:crosses val="autoZero"/>
        <c:crossBetween val="between"/>
        <c:majorUnit val="30"/>
      </c:valAx>
      <c:spPr>
        <a:solidFill>
          <a:srgbClr val="9BBB59">
            <a:lumMod val="20000"/>
            <a:lumOff val="80000"/>
          </a:srgb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chemeClr val="bg1">
              <a:lumMod val="50000"/>
            </a:schemeClr>
          </a:solidFill>
          <a:latin typeface="+mj-lt"/>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65439299591201E-2"/>
          <c:y val="3.9590320158635429E-2"/>
          <c:w val="0.86085795889739358"/>
          <c:h val="0.77226862702119403"/>
        </c:manualLayout>
      </c:layout>
      <c:barChart>
        <c:barDir val="col"/>
        <c:grouping val="clustered"/>
        <c:varyColors val="0"/>
        <c:ser>
          <c:idx val="0"/>
          <c:order val="0"/>
          <c:tx>
            <c:strRef>
              <c:f>'мемо 2011-2016'!$E$50</c:f>
              <c:strCache>
                <c:ptCount val="1"/>
                <c:pt idx="0">
                  <c:v>дуг опште државе -  без мера</c:v>
                </c:pt>
              </c:strCache>
            </c:strRef>
          </c:tx>
          <c:spPr>
            <a:solidFill>
              <a:schemeClr val="accent3">
                <a:shade val="58000"/>
              </a:schemeClr>
            </a:solidFill>
            <a:ln w="9525" cap="flat" cmpd="sng" algn="ctr">
              <a:solidFill>
                <a:schemeClr val="accent3">
                  <a:shade val="50000"/>
                  <a:shade val="95000"/>
                  <a:satMod val="105000"/>
                </a:schemeClr>
              </a:solidFill>
              <a:prstDash val="solid"/>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mbria Math"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2014</c:v>
                </c:pt>
                <c:pt idx="1">
                  <c:v>2015</c:v>
                </c:pt>
                <c:pt idx="2">
                  <c:v>2016</c:v>
                </c:pt>
                <c:pt idx="3">
                  <c:v>2017</c:v>
                </c:pt>
              </c:numCache>
            </c:numRef>
          </c:cat>
          <c:val>
            <c:numRef>
              <c:f>'мемо 2011-2016'!$F$50:$I$50</c:f>
              <c:numCache>
                <c:formatCode>#,##0.0</c:formatCode>
                <c:ptCount val="4"/>
                <c:pt idx="0">
                  <c:v>69.900000000000006</c:v>
                </c:pt>
                <c:pt idx="1">
                  <c:v>78.7</c:v>
                </c:pt>
                <c:pt idx="2">
                  <c:v>83.1</c:v>
                </c:pt>
                <c:pt idx="3">
                  <c:v>86.1</c:v>
                </c:pt>
              </c:numCache>
            </c:numRef>
          </c:val>
        </c:ser>
        <c:ser>
          <c:idx val="1"/>
          <c:order val="1"/>
          <c:tx>
            <c:strRef>
              <c:f>'мемо 2011-2016'!$E$52</c:f>
              <c:strCache>
                <c:ptCount val="1"/>
                <c:pt idx="0">
                  <c:v>дуг опште државе - са мерама</c:v>
                </c:pt>
              </c:strCache>
            </c:strRef>
          </c:tx>
          <c:spPr>
            <a:solidFill>
              <a:schemeClr val="accent3">
                <a:lumMod val="20000"/>
                <a:lumOff val="80000"/>
              </a:schemeClr>
            </a:solidFill>
            <a:ln w="9525" cap="flat" cmpd="sng" algn="ctr">
              <a:solidFill>
                <a:schemeClr val="accent3">
                  <a:shade val="50000"/>
                  <a:shade val="95000"/>
                  <a:satMod val="105000"/>
                </a:schemeClr>
              </a:solidFill>
              <a:prstDash val="solid"/>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Cambria Math"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2014</c:v>
                </c:pt>
                <c:pt idx="1">
                  <c:v>2015</c:v>
                </c:pt>
                <c:pt idx="2">
                  <c:v>2016</c:v>
                </c:pt>
                <c:pt idx="3">
                  <c:v>2017</c:v>
                </c:pt>
              </c:numCache>
            </c:numRef>
          </c:cat>
          <c:val>
            <c:numRef>
              <c:f>'мемо 2011-2016'!$F$52:$I$52</c:f>
              <c:numCache>
                <c:formatCode>#,##0.0</c:formatCode>
                <c:ptCount val="4"/>
                <c:pt idx="0">
                  <c:v>69.900000000000006</c:v>
                </c:pt>
                <c:pt idx="1">
                  <c:v>77.7</c:v>
                </c:pt>
                <c:pt idx="2">
                  <c:v>79.2</c:v>
                </c:pt>
                <c:pt idx="3">
                  <c:v>78.7</c:v>
                </c:pt>
              </c:numCache>
            </c:numRef>
          </c:val>
        </c:ser>
        <c:dLbls>
          <c:showLegendKey val="0"/>
          <c:showVal val="0"/>
          <c:showCatName val="0"/>
          <c:showSerName val="0"/>
          <c:showPercent val="0"/>
          <c:showBubbleSize val="0"/>
        </c:dLbls>
        <c:gapWidth val="198"/>
        <c:axId val="480706672"/>
        <c:axId val="480707064"/>
      </c:barChart>
      <c:lineChart>
        <c:grouping val="standard"/>
        <c:varyColors val="0"/>
        <c:ser>
          <c:idx val="2"/>
          <c:order val="2"/>
          <c:tx>
            <c:strRef>
              <c:f>'мемо 2011-2016'!$E$49</c:f>
              <c:strCache>
                <c:ptCount val="1"/>
                <c:pt idx="0">
                  <c:v>дефицит (десна скала) - без мера</c:v>
                </c:pt>
              </c:strCache>
            </c:strRef>
          </c:tx>
          <c:spPr>
            <a:ln w="47625" cap="rnd" cmpd="sng" algn="ctr">
              <a:solidFill>
                <a:schemeClr val="accent3">
                  <a:lumMod val="50000"/>
                </a:schemeClr>
              </a:solidFill>
              <a:prstDash val="solid"/>
              <a:round/>
            </a:ln>
            <a:effectLst/>
          </c:spPr>
          <c:marker>
            <c:spPr>
              <a:solidFill>
                <a:schemeClr val="accent3">
                  <a:tint val="86000"/>
                </a:schemeClr>
              </a:solidFill>
              <a:ln w="9525" cap="flat" cmpd="sng" algn="ctr">
                <a:solidFill>
                  <a:schemeClr val="accent3">
                    <a:tint val="86000"/>
                    <a:shade val="95000"/>
                    <a:satMod val="105000"/>
                  </a:schemeClr>
                </a:solidFill>
                <a:prstDash val="solid"/>
                <a:round/>
              </a:ln>
              <a:effectLst/>
            </c:spPr>
          </c:marker>
          <c:dLbls>
            <c:dLbl>
              <c:idx val="1"/>
              <c:layout>
                <c:manualLayout>
                  <c:x val="8.6050621912899048E-4"/>
                  <c:y val="-3.762455282926294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47754137115839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Cambria Math"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'мемо 2011-2016'!$F$49:$I$49</c:f>
              <c:numCache>
                <c:formatCode>#,##0.0</c:formatCode>
                <c:ptCount val="4"/>
                <c:pt idx="0">
                  <c:v>8.1</c:v>
                </c:pt>
                <c:pt idx="1">
                  <c:v>7.3</c:v>
                </c:pt>
                <c:pt idx="2">
                  <c:v>6.8</c:v>
                </c:pt>
                <c:pt idx="3">
                  <c:v>6.8</c:v>
                </c:pt>
              </c:numCache>
            </c:numRef>
          </c:val>
          <c:smooth val="0"/>
        </c:ser>
        <c:ser>
          <c:idx val="3"/>
          <c:order val="3"/>
          <c:tx>
            <c:strRef>
              <c:f>'мемо 2011-2016'!$E$51</c:f>
              <c:strCache>
                <c:ptCount val="1"/>
                <c:pt idx="0">
                  <c:v>дефицит (десна скала) - са мерама</c:v>
                </c:pt>
              </c:strCache>
            </c:strRef>
          </c:tx>
          <c:spPr>
            <a:ln w="47625" cap="rnd" cmpd="sng" algn="ctr">
              <a:solidFill>
                <a:schemeClr val="bg2">
                  <a:lumMod val="75000"/>
                </a:schemeClr>
              </a:solidFill>
              <a:prstDash val="solid"/>
              <a:round/>
            </a:ln>
            <a:effectLst/>
          </c:spPr>
          <c:marker>
            <c:symbol val="diamond"/>
            <c:size val="9"/>
            <c:spPr>
              <a:solidFill>
                <a:schemeClr val="accent3">
                  <a:tint val="58000"/>
                </a:schemeClr>
              </a:solidFill>
              <a:ln w="9525" cap="flat" cmpd="sng" algn="ctr">
                <a:solidFill>
                  <a:schemeClr val="accent3">
                    <a:tint val="58000"/>
                    <a:shade val="95000"/>
                    <a:satMod val="105000"/>
                  </a:schemeClr>
                </a:solidFill>
                <a:prstDash val="solid"/>
                <a:round/>
              </a:ln>
              <a:effectLst/>
            </c:spPr>
          </c:marker>
          <c:dLbls>
            <c:dLbl>
              <c:idx val="0"/>
              <c:layout>
                <c:manualLayout>
                  <c:x val="-3.3267847391001672E-2"/>
                  <c:y val="4.4169560474632143E-2"/>
                </c:manualLayout>
              </c:layout>
              <c:tx>
                <c:rich>
                  <a:bodyPr/>
                  <a:lstStyle/>
                  <a:p>
                    <a:r>
                      <a:rPr lang="en-US"/>
                      <a:t>7,9</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6450617283950612E-3"/>
                  <c:y val="-8.865248226950355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716049382716049E-3"/>
                  <c:y val="-2.06855791962174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711220952244696E-2"/>
                  <c:y val="-3.84160509881818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Cambria Math"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'мемо 2011-2016'!$F$51:$I$51</c:f>
              <c:numCache>
                <c:formatCode>#,##0.0</c:formatCode>
                <c:ptCount val="4"/>
                <c:pt idx="0">
                  <c:v>8</c:v>
                </c:pt>
                <c:pt idx="1">
                  <c:v>5.9</c:v>
                </c:pt>
                <c:pt idx="2">
                  <c:v>4.7</c:v>
                </c:pt>
                <c:pt idx="3">
                  <c:v>3.8</c:v>
                </c:pt>
              </c:numCache>
            </c:numRef>
          </c:val>
          <c:smooth val="0"/>
        </c:ser>
        <c:dLbls>
          <c:showLegendKey val="0"/>
          <c:showVal val="0"/>
          <c:showCatName val="0"/>
          <c:showSerName val="0"/>
          <c:showPercent val="0"/>
          <c:showBubbleSize val="0"/>
        </c:dLbls>
        <c:marker val="1"/>
        <c:smooth val="0"/>
        <c:axId val="494219376"/>
        <c:axId val="494219768"/>
      </c:lineChart>
      <c:catAx>
        <c:axId val="480706672"/>
        <c:scaling>
          <c:orientation val="minMax"/>
        </c:scaling>
        <c:delete val="0"/>
        <c:axPos val="b"/>
        <c:majorGridlines>
          <c:spPr>
            <a:ln w="9525" cap="flat" cmpd="sng" algn="ctr">
              <a:solidFill>
                <a:sysClr val="window" lastClr="FFFFFF">
                  <a:lumMod val="75000"/>
                </a:sysClr>
              </a:solidFill>
              <a:prstDash val="solid"/>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Cambria Math" pitchFamily="18" charset="0"/>
                <a:ea typeface="+mn-ea"/>
                <a:cs typeface="+mn-cs"/>
              </a:defRPr>
            </a:pPr>
            <a:endParaRPr lang="en-US"/>
          </a:p>
        </c:txPr>
        <c:crossAx val="480707064"/>
        <c:crosses val="autoZero"/>
        <c:auto val="1"/>
        <c:lblAlgn val="ctr"/>
        <c:lblOffset val="100"/>
        <c:noMultiLvlLbl val="0"/>
      </c:catAx>
      <c:valAx>
        <c:axId val="480707064"/>
        <c:scaling>
          <c:orientation val="minMax"/>
          <c:max val="100"/>
        </c:scaling>
        <c:delete val="0"/>
        <c:axPos val="l"/>
        <c:majorGridlines>
          <c:spPr>
            <a:ln w="9525" cap="flat" cmpd="sng" algn="ctr">
              <a:solidFill>
                <a:sysClr val="window" lastClr="FFFFFF">
                  <a:lumMod val="75000"/>
                </a:sysClr>
              </a:solidFill>
              <a:prstDash val="solid"/>
              <a:round/>
            </a:ln>
            <a:effectLst/>
          </c:spPr>
        </c:majorGridlines>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Cambria Math" pitchFamily="18" charset="0"/>
                <a:ea typeface="+mn-ea"/>
                <a:cs typeface="+mn-cs"/>
              </a:defRPr>
            </a:pPr>
            <a:endParaRPr lang="en-US"/>
          </a:p>
        </c:txPr>
        <c:crossAx val="480706672"/>
        <c:crosses val="autoZero"/>
        <c:crossBetween val="between"/>
      </c:valAx>
      <c:valAx>
        <c:axId val="494219768"/>
        <c:scaling>
          <c:orientation val="minMax"/>
          <c:min val="2"/>
        </c:scaling>
        <c:delete val="0"/>
        <c:axPos val="r"/>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Cambria Math" pitchFamily="18" charset="0"/>
                <a:ea typeface="+mn-ea"/>
                <a:cs typeface="+mn-cs"/>
              </a:defRPr>
            </a:pPr>
            <a:endParaRPr lang="en-US"/>
          </a:p>
        </c:txPr>
        <c:crossAx val="494219376"/>
        <c:crosses val="max"/>
        <c:crossBetween val="between"/>
      </c:valAx>
      <c:catAx>
        <c:axId val="494219376"/>
        <c:scaling>
          <c:orientation val="minMax"/>
        </c:scaling>
        <c:delete val="1"/>
        <c:axPos val="b"/>
        <c:majorTickMark val="out"/>
        <c:minorTickMark val="none"/>
        <c:tickLblPos val="nextTo"/>
        <c:crossAx val="494219768"/>
        <c:crosses val="autoZero"/>
        <c:auto val="1"/>
        <c:lblAlgn val="ctr"/>
        <c:lblOffset val="100"/>
        <c:noMultiLvlLbl val="0"/>
      </c:catAx>
      <c:spPr>
        <a:solidFill>
          <a:schemeClr val="accent3">
            <a:tint val="20000"/>
          </a:schemeClr>
        </a:solidFill>
        <a:ln>
          <a:noFill/>
        </a:ln>
        <a:effectLst/>
      </c:spPr>
    </c:plotArea>
    <c:legend>
      <c:legendPos val="b"/>
      <c:layout>
        <c:manualLayout>
          <c:xMode val="edge"/>
          <c:yMode val="edge"/>
          <c:x val="6.0314646576556614E-2"/>
          <c:y val="0.85386855681152374"/>
          <c:w val="0.91482384223354751"/>
          <c:h val="0.1316123869271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1">
                  <a:lumMod val="50000"/>
                </a:schemeClr>
              </a:solidFill>
              <a:latin typeface="Cambria Math" pitchFamily="18" charset="0"/>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solidFill>
            <a:schemeClr val="bg1">
              <a:lumMod val="50000"/>
            </a:schemeClr>
          </a:solidFill>
          <a:latin typeface="Cambria Math" pitchFamily="18" charset="0"/>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755267611654526E-2"/>
          <c:y val="2.9912508455518919E-2"/>
          <c:w val="0.89089384467006638"/>
          <c:h val="0.74694553747644321"/>
        </c:manualLayout>
      </c:layout>
      <c:lineChart>
        <c:grouping val="standard"/>
        <c:varyColors val="0"/>
        <c:ser>
          <c:idx val="3"/>
          <c:order val="0"/>
          <c:tx>
            <c:strRef>
              <c:f>'manje prilg + manji rast'!$B$33</c:f>
              <c:strCache>
                <c:ptCount val="1"/>
                <c:pt idx="0">
                  <c:v>Мањи раст, нема консолидације након 2018</c:v>
                </c:pt>
              </c:strCache>
            </c:strRef>
          </c:tx>
          <c:spPr>
            <a:ln w="34925" cap="rnd">
              <a:solidFill>
                <a:schemeClr val="accent1">
                  <a:lumMod val="60000"/>
                </a:schemeClr>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4170619721703136E-2"/>
                  <c:y val="-3.91075426629891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'manje prilg + manji rast'!$C$39:$T$39</c:f>
              <c:numCache>
                <c:formatCode>#,##0.0</c:formatCode>
                <c:ptCount val="18"/>
                <c:pt idx="0">
                  <c:v>61.1</c:v>
                </c:pt>
                <c:pt idx="1">
                  <c:v>69.900000000000006</c:v>
                </c:pt>
                <c:pt idx="2">
                  <c:v>77.7</c:v>
                </c:pt>
                <c:pt idx="3">
                  <c:v>79.2</c:v>
                </c:pt>
                <c:pt idx="4">
                  <c:v>78.7</c:v>
                </c:pt>
                <c:pt idx="5">
                  <c:v>78.701041111431749</c:v>
                </c:pt>
                <c:pt idx="6">
                  <c:v>78.614142421030479</c:v>
                </c:pt>
                <c:pt idx="7">
                  <c:v>78.469722372487681</c:v>
                </c:pt>
                <c:pt idx="8">
                  <c:v>78.288887937458512</c:v>
                </c:pt>
                <c:pt idx="9">
                  <c:v>78.229443833292478</c:v>
                </c:pt>
                <c:pt idx="10">
                  <c:v>78.223281649286363</c:v>
                </c:pt>
                <c:pt idx="11">
                  <c:v>78.274501844551637</c:v>
                </c:pt>
                <c:pt idx="12">
                  <c:v>78.313209972360013</c:v>
                </c:pt>
                <c:pt idx="13">
                  <c:v>78.415147123800807</c:v>
                </c:pt>
                <c:pt idx="14">
                  <c:v>78.507789322966843</c:v>
                </c:pt>
                <c:pt idx="15">
                  <c:v>78.593042144059666</c:v>
                </c:pt>
                <c:pt idx="16">
                  <c:v>78.672276110537283</c:v>
                </c:pt>
                <c:pt idx="17">
                  <c:v>78.746485691345171</c:v>
                </c:pt>
              </c:numCache>
            </c:numRef>
          </c:val>
          <c:smooth val="0"/>
        </c:ser>
        <c:ser>
          <c:idx val="2"/>
          <c:order val="1"/>
          <c:tx>
            <c:strRef>
              <c:f>'manji rast'!$B$33</c:f>
              <c:strCache>
                <c:ptCount val="1"/>
                <c:pt idx="0">
                  <c:v>Успорен раст након 2018, наставак консолидације</c:v>
                </c:pt>
              </c:strCache>
            </c:strRef>
          </c:tx>
          <c:spPr>
            <a:ln w="34925" cap="rnd">
              <a:solidFill>
                <a:schemeClr val="accent5"/>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2748818561602949E-2"/>
                  <c:y val="-4.2115815175526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'manji rast'!$C$39:$T$39</c:f>
              <c:numCache>
                <c:formatCode>#,##0.0</c:formatCode>
                <c:ptCount val="18"/>
                <c:pt idx="0">
                  <c:v>61.1</c:v>
                </c:pt>
                <c:pt idx="1">
                  <c:v>69.900000000000006</c:v>
                </c:pt>
                <c:pt idx="2">
                  <c:v>77.7</c:v>
                </c:pt>
                <c:pt idx="3">
                  <c:v>79.2</c:v>
                </c:pt>
                <c:pt idx="4">
                  <c:v>78.7</c:v>
                </c:pt>
                <c:pt idx="5">
                  <c:v>78.401041111431738</c:v>
                </c:pt>
                <c:pt idx="6">
                  <c:v>77.683423948714875</c:v>
                </c:pt>
                <c:pt idx="7">
                  <c:v>76.685471868281525</c:v>
                </c:pt>
                <c:pt idx="8">
                  <c:v>75.459592912444748</c:v>
                </c:pt>
                <c:pt idx="9">
                  <c:v>74.086238667038813</c:v>
                </c:pt>
                <c:pt idx="10">
                  <c:v>72.502206353125842</c:v>
                </c:pt>
                <c:pt idx="11">
                  <c:v>70.651720156043737</c:v>
                </c:pt>
                <c:pt idx="12">
                  <c:v>68.912634258186571</c:v>
                </c:pt>
                <c:pt idx="13">
                  <c:v>67.333795599531769</c:v>
                </c:pt>
                <c:pt idx="14">
                  <c:v>65.88658565835722</c:v>
                </c:pt>
                <c:pt idx="15">
                  <c:v>64.495702288805262</c:v>
                </c:pt>
                <c:pt idx="16">
                  <c:v>63.169919467043847</c:v>
                </c:pt>
                <c:pt idx="17">
                  <c:v>62.904314152015665</c:v>
                </c:pt>
              </c:numCache>
            </c:numRef>
          </c:val>
          <c:smooth val="0"/>
        </c:ser>
        <c:ser>
          <c:idx val="4"/>
          <c:order val="2"/>
          <c:tx>
            <c:strRef>
              <c:f>'manje prilagodjavanje'!$B$33</c:f>
              <c:strCache>
                <c:ptCount val="1"/>
                <c:pt idx="0">
                  <c:v>Нема консолидације након 2018</c:v>
                </c:pt>
              </c:strCache>
            </c:strRef>
          </c:tx>
          <c:spPr>
            <a:ln w="34925" cap="rnd">
              <a:solidFill>
                <a:schemeClr val="accent3">
                  <a:lumMod val="60000"/>
                </a:schemeClr>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4170619721703136E-2"/>
                  <c:y val="4.2115815175526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'manje prilagodjavanje'!$C$39:$T$39</c:f>
              <c:numCache>
                <c:formatCode>#,##0.0</c:formatCode>
                <c:ptCount val="18"/>
                <c:pt idx="0">
                  <c:v>61.1</c:v>
                </c:pt>
                <c:pt idx="1">
                  <c:v>69.900000000000006</c:v>
                </c:pt>
                <c:pt idx="2">
                  <c:v>77.7</c:v>
                </c:pt>
                <c:pt idx="3">
                  <c:v>79.2</c:v>
                </c:pt>
                <c:pt idx="4">
                  <c:v>78.7</c:v>
                </c:pt>
                <c:pt idx="5">
                  <c:v>78.072160189434115</c:v>
                </c:pt>
                <c:pt idx="6">
                  <c:v>77.461164318804123</c:v>
                </c:pt>
                <c:pt idx="7">
                  <c:v>76.871448035592323</c:v>
                </c:pt>
                <c:pt idx="8">
                  <c:v>76.305591315292517</c:v>
                </c:pt>
                <c:pt idx="9">
                  <c:v>75.903128403642711</c:v>
                </c:pt>
                <c:pt idx="10">
                  <c:v>75.586852732975913</c:v>
                </c:pt>
                <c:pt idx="11">
                  <c:v>75.352998132454132</c:v>
                </c:pt>
                <c:pt idx="12">
                  <c:v>75.129127921387507</c:v>
                </c:pt>
                <c:pt idx="13">
                  <c:v>74.983862484698406</c:v>
                </c:pt>
                <c:pt idx="14">
                  <c:v>74.84494280306275</c:v>
                </c:pt>
                <c:pt idx="15">
                  <c:v>74.712356041349736</c:v>
                </c:pt>
                <c:pt idx="16">
                  <c:v>74.585997187623377</c:v>
                </c:pt>
                <c:pt idx="17">
                  <c:v>74.465701582852759</c:v>
                </c:pt>
              </c:numCache>
            </c:numRef>
          </c:val>
          <c:smooth val="0"/>
        </c:ser>
        <c:ser>
          <c:idx val="1"/>
          <c:order val="3"/>
          <c:tx>
            <c:strRef>
              <c:f>'Сценарио vise garancije'!$B$33</c:f>
              <c:strCache>
                <c:ptCount val="1"/>
                <c:pt idx="0">
                  <c:v>Сценарио - више издате гаранције</c:v>
                </c:pt>
              </c:strCache>
            </c:strRef>
          </c:tx>
          <c:spPr>
            <a:ln w="34925" cap="rnd">
              <a:solidFill>
                <a:schemeClr val="accent3"/>
              </a:solidFill>
              <a:round/>
            </a:ln>
            <a:effectLst/>
          </c:spPr>
          <c:marker>
            <c:symbol val="none"/>
          </c:marker>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1.8483415081302291E-2"/>
                  <c:y val="-4.2115815175526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'Сценарио vise garancije'!$C$39:$T$39</c:f>
              <c:numCache>
                <c:formatCode>#,##0.0</c:formatCode>
                <c:ptCount val="18"/>
                <c:pt idx="0">
                  <c:v>61.1</c:v>
                </c:pt>
                <c:pt idx="1">
                  <c:v>69.900000000000006</c:v>
                </c:pt>
                <c:pt idx="2">
                  <c:v>77.7</c:v>
                </c:pt>
                <c:pt idx="3">
                  <c:v>79.2</c:v>
                </c:pt>
                <c:pt idx="4">
                  <c:v>78.7</c:v>
                </c:pt>
                <c:pt idx="5">
                  <c:v>78.272160189434103</c:v>
                </c:pt>
                <c:pt idx="6">
                  <c:v>77.1555613648936</c:v>
                </c:pt>
                <c:pt idx="7">
                  <c:v>75.591347849430036</c:v>
                </c:pt>
                <c:pt idx="8">
                  <c:v>73.70257890926203</c:v>
                </c:pt>
                <c:pt idx="9">
                  <c:v>71.613800268298263</c:v>
                </c:pt>
                <c:pt idx="10">
                  <c:v>69.295239241675191</c:v>
                </c:pt>
                <c:pt idx="11">
                  <c:v>66.712952688262163</c:v>
                </c:pt>
                <c:pt idx="12">
                  <c:v>64.264160015505027</c:v>
                </c:pt>
                <c:pt idx="13">
                  <c:v>62.000558162589144</c:v>
                </c:pt>
                <c:pt idx="14">
                  <c:v>59.901911444847492</c:v>
                </c:pt>
                <c:pt idx="15">
                  <c:v>57.894842753100178</c:v>
                </c:pt>
                <c:pt idx="16">
                  <c:v>55.989201373555119</c:v>
                </c:pt>
                <c:pt idx="17">
                  <c:v>54.179986404621765</c:v>
                </c:pt>
              </c:numCache>
            </c:numRef>
          </c:val>
          <c:smooth val="0"/>
        </c:ser>
        <c:ser>
          <c:idx val="5"/>
          <c:order val="4"/>
          <c:tx>
            <c:v>Без примене мера</c:v>
          </c:tx>
          <c:spPr>
            <a:ln w="34925" cap="rnd">
              <a:solidFill>
                <a:srgbClr val="C00000"/>
              </a:solidFill>
              <a:prstDash val="dash"/>
              <a:round/>
            </a:ln>
            <a:effectLst/>
          </c:spPr>
          <c:marker>
            <c:symbol val="none"/>
          </c:marker>
          <c:dLbls>
            <c:dLbl>
              <c:idx val="2"/>
              <c:layout>
                <c:manualLayout>
                  <c:x val="-4.2603553471820627E-2"/>
                  <c:y val="-6.585182302782162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603553471820627E-2"/>
                  <c:y val="-4.489897024624198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9704145717124087E-2"/>
                  <c:y val="-5.9865293661655973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2.2748818561602949E-2"/>
                  <c:y val="4.2115815175526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'bez mera'!$C$39:$T$39</c:f>
              <c:numCache>
                <c:formatCode>#,##0.0</c:formatCode>
                <c:ptCount val="18"/>
                <c:pt idx="0">
                  <c:v>61.1</c:v>
                </c:pt>
                <c:pt idx="1">
                  <c:v>69.900000000000006</c:v>
                </c:pt>
                <c:pt idx="2">
                  <c:v>78.7</c:v>
                </c:pt>
                <c:pt idx="3">
                  <c:v>83.1</c:v>
                </c:pt>
                <c:pt idx="4">
                  <c:v>86.1</c:v>
                </c:pt>
                <c:pt idx="5">
                  <c:v>87.386442606958724</c:v>
                </c:pt>
                <c:pt idx="6">
                  <c:v>87.386442606958724</c:v>
                </c:pt>
                <c:pt idx="7">
                  <c:v>88.616096369197379</c:v>
                </c:pt>
                <c:pt idx="8">
                  <c:v>89.78778776549531</c:v>
                </c:pt>
                <c:pt idx="9">
                  <c:v>91.064349421694146</c:v>
                </c:pt>
                <c:pt idx="10">
                  <c:v>92.360247565666967</c:v>
                </c:pt>
                <c:pt idx="11">
                  <c:v>93.675482630158825</c:v>
                </c:pt>
                <c:pt idx="12">
                  <c:v>94.925142943771007</c:v>
                </c:pt>
                <c:pt idx="13">
                  <c:v>96.19844883344571</c:v>
                </c:pt>
                <c:pt idx="14">
                  <c:v>97.408275586655904</c:v>
                </c:pt>
                <c:pt idx="15">
                  <c:v>98.557491545633098</c:v>
                </c:pt>
                <c:pt idx="16">
                  <c:v>99.648926004093326</c:v>
                </c:pt>
                <c:pt idx="17">
                  <c:v>100.68533920492656</c:v>
                </c:pt>
              </c:numCache>
            </c:numRef>
          </c:val>
          <c:smooth val="0"/>
        </c:ser>
        <c:ser>
          <c:idx val="0"/>
          <c:order val="5"/>
          <c:tx>
            <c:strRef>
              <c:f>'Сценарио 1'!$B$33</c:f>
              <c:strCache>
                <c:ptCount val="1"/>
                <c:pt idx="0">
                  <c:v>Сценарио са применом мера</c:v>
                </c:pt>
              </c:strCache>
            </c:strRef>
          </c:tx>
          <c:spPr>
            <a:ln w="38100" cap="rnd">
              <a:solidFill>
                <a:schemeClr val="accent1"/>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5837267033541045E-3"/>
                  <c:y val="4.79973432453149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708710893877721E-2"/>
                  <c:y val="8.406653067064105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608647542540962E-2"/>
                  <c:y val="6.0165450250752539E-2"/>
                </c:manualLayout>
              </c:layout>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1327017401502765E-2"/>
                  <c:y val="-4.2115815175526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'Сценарио 1'!$C$39:$T$39</c:f>
              <c:numCache>
                <c:formatCode>#,##0.0</c:formatCode>
                <c:ptCount val="18"/>
                <c:pt idx="0">
                  <c:v>61.1</c:v>
                </c:pt>
                <c:pt idx="1">
                  <c:v>69.900000000000006</c:v>
                </c:pt>
                <c:pt idx="2">
                  <c:v>77.7</c:v>
                </c:pt>
                <c:pt idx="3">
                  <c:v>79.2</c:v>
                </c:pt>
                <c:pt idx="4">
                  <c:v>78.7</c:v>
                </c:pt>
                <c:pt idx="5">
                  <c:v>77.272160189434103</c:v>
                </c:pt>
                <c:pt idx="6">
                  <c:v>75.210887234731473</c:v>
                </c:pt>
                <c:pt idx="7">
                  <c:v>72.75426450707036</c:v>
                </c:pt>
                <c:pt idx="8">
                  <c:v>70.022459670620961</c:v>
                </c:pt>
                <c:pt idx="9">
                  <c:v>67.130620454793316</c:v>
                </c:pt>
                <c:pt idx="10">
                  <c:v>64.047901938158958</c:v>
                </c:pt>
                <c:pt idx="11">
                  <c:v>60.736881723809276</c:v>
                </c:pt>
                <c:pt idx="12">
                  <c:v>57.597028004037632</c:v>
                </c:pt>
                <c:pt idx="13">
                  <c:v>54.492010898530097</c:v>
                </c:pt>
                <c:pt idx="14">
                  <c:v>51.774679501143943</c:v>
                </c:pt>
                <c:pt idx="15">
                  <c:v>49.080345516022348</c:v>
                </c:pt>
                <c:pt idx="16">
                  <c:v>46.717262622004775</c:v>
                </c:pt>
                <c:pt idx="17">
                  <c:v>44.378915341723726</c:v>
                </c:pt>
              </c:numCache>
            </c:numRef>
          </c:val>
          <c:smooth val="0"/>
        </c:ser>
        <c:dLbls>
          <c:showLegendKey val="0"/>
          <c:showVal val="0"/>
          <c:showCatName val="0"/>
          <c:showSerName val="0"/>
          <c:showPercent val="0"/>
          <c:showBubbleSize val="0"/>
        </c:dLbls>
        <c:smooth val="0"/>
        <c:axId val="290060616"/>
        <c:axId val="287243560"/>
      </c:lineChart>
      <c:catAx>
        <c:axId val="290060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j-lt"/>
                <a:ea typeface="+mn-ea"/>
                <a:cs typeface="+mn-cs"/>
              </a:defRPr>
            </a:pPr>
            <a:endParaRPr lang="en-US"/>
          </a:p>
        </c:txPr>
        <c:crossAx val="287243560"/>
        <c:crosses val="autoZero"/>
        <c:auto val="1"/>
        <c:lblAlgn val="ctr"/>
        <c:lblOffset val="100"/>
        <c:noMultiLvlLbl val="0"/>
      </c:catAx>
      <c:valAx>
        <c:axId val="287243560"/>
        <c:scaling>
          <c:orientation val="minMax"/>
          <c:max val="105"/>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bg1">
                        <a:lumMod val="50000"/>
                      </a:schemeClr>
                    </a:solidFill>
                    <a:latin typeface="+mj-lt"/>
                    <a:ea typeface="+mn-ea"/>
                    <a:cs typeface="+mn-cs"/>
                  </a:defRPr>
                </a:pPr>
                <a:r>
                  <a:rPr lang="sr-Cyrl-RS"/>
                  <a:t>% БДП </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bg1">
                      <a:lumMod val="50000"/>
                    </a:schemeClr>
                  </a:solidFill>
                  <a:latin typeface="+mj-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j-lt"/>
                <a:ea typeface="+mn-ea"/>
                <a:cs typeface="+mn-cs"/>
              </a:defRPr>
            </a:pPr>
            <a:endParaRPr lang="en-US"/>
          </a:p>
        </c:txPr>
        <c:crossAx val="290060616"/>
        <c:crosses val="autoZero"/>
        <c:crossBetween val="between"/>
        <c:majorUnit val="5"/>
      </c:valAx>
      <c:spPr>
        <a:solidFill>
          <a:srgbClr val="9BBB59">
            <a:lumMod val="20000"/>
            <a:lumOff val="80000"/>
          </a:srgbClr>
        </a:solidFill>
        <a:ln>
          <a:noFill/>
        </a:ln>
        <a:effectLst/>
      </c:spPr>
    </c:plotArea>
    <c:legend>
      <c:legendPos val="b"/>
      <c:layout>
        <c:manualLayout>
          <c:xMode val="edge"/>
          <c:yMode val="edge"/>
          <c:x val="0"/>
          <c:y val="0.83665159926893584"/>
          <c:w val="1"/>
          <c:h val="0.145298733862499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bg1">
              <a:lumMod val="50000"/>
            </a:schemeClr>
          </a:solidFill>
          <a:latin typeface="+mj-lt"/>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5822444817079E-2"/>
          <c:y val="4.0602875683411505E-2"/>
          <c:w val="0.86783146897913677"/>
          <c:h val="0.83561445105835142"/>
        </c:manualLayout>
      </c:layout>
      <c:barChart>
        <c:barDir val="col"/>
        <c:grouping val="clustered"/>
        <c:varyColors val="0"/>
        <c:ser>
          <c:idx val="2"/>
          <c:order val="2"/>
          <c:tx>
            <c:strRef>
              <c:f>'Сценарио 1 (2)'!$F$67</c:f>
              <c:strCache>
                <c:ptCount val="1"/>
                <c:pt idx="0">
                  <c:v>Додатно прилагођавање (десна скала)</c:v>
                </c:pt>
              </c:strCache>
            </c:strRef>
          </c:tx>
          <c:spPr>
            <a:solidFill>
              <a:schemeClr val="accent3">
                <a:tint val="65000"/>
              </a:schemeClr>
            </a:solidFill>
            <a:ln w="9525" cap="flat" cmpd="sng" algn="ctr">
              <a:solidFill>
                <a:schemeClr val="accent3">
                  <a:shade val="50000"/>
                  <a:shade val="95000"/>
                  <a:satMod val="105000"/>
                </a:schemeClr>
              </a:solidFill>
              <a:prstDash val="solid"/>
              <a:round/>
            </a:ln>
            <a:effectLst/>
          </c:spPr>
          <c:invertIfNegative val="0"/>
          <c:cat>
            <c:numRef>
              <c:f>'Сценарио 1 (2)'!$H$78:$N$78</c:f>
              <c:numCache>
                <c:formatCode>General</c:formatCode>
                <c:ptCount val="7"/>
              </c:numCache>
            </c:numRef>
          </c:cat>
          <c:val>
            <c:numRef>
              <c:f>'Сценарио 1 (2)'!$G$67:$N$67</c:f>
              <c:numCache>
                <c:formatCode>#,##0.0</c:formatCode>
                <c:ptCount val="8"/>
                <c:pt idx="0">
                  <c:v>0.70000000000000018</c:v>
                </c:pt>
                <c:pt idx="1">
                  <c:v>1.0554622200570685</c:v>
                </c:pt>
                <c:pt idx="2">
                  <c:v>1.2935950184981577</c:v>
                </c:pt>
                <c:pt idx="3">
                  <c:v>1.305765123852741</c:v>
                </c:pt>
                <c:pt idx="4">
                  <c:v>1.164035586696919</c:v>
                </c:pt>
                <c:pt idx="5">
                  <c:v>0.96482491068784348</c:v>
                </c:pt>
                <c:pt idx="6">
                  <c:v>0.6612453082674693</c:v>
                </c:pt>
                <c:pt idx="7">
                  <c:v>0.5628717157872285</c:v>
                </c:pt>
              </c:numCache>
            </c:numRef>
          </c:val>
        </c:ser>
        <c:dLbls>
          <c:showLegendKey val="0"/>
          <c:showVal val="0"/>
          <c:showCatName val="0"/>
          <c:showSerName val="0"/>
          <c:showPercent val="0"/>
          <c:showBubbleSize val="0"/>
        </c:dLbls>
        <c:gapWidth val="150"/>
        <c:axId val="296808936"/>
        <c:axId val="296808544"/>
      </c:barChart>
      <c:lineChart>
        <c:grouping val="standard"/>
        <c:varyColors val="0"/>
        <c:ser>
          <c:idx val="0"/>
          <c:order val="0"/>
          <c:tx>
            <c:v>Фискални резултат 2030</c:v>
          </c:tx>
          <c:spPr>
            <a:ln w="41275" cap="rnd" cmpd="sng" algn="ctr">
              <a:solidFill>
                <a:schemeClr val="accent3">
                  <a:shade val="65000"/>
                  <a:shade val="95000"/>
                  <a:satMod val="105000"/>
                </a:schemeClr>
              </a:solidFill>
              <a:prstDash val="solid"/>
              <a:round/>
            </a:ln>
            <a:effectLst/>
          </c:spPr>
          <c:marker>
            <c:symbol val="none"/>
          </c:marker>
          <c:cat>
            <c:numRef>
              <c:f>'Сценарио 1'!$H$33:$O$33</c:f>
              <c:numCache>
                <c:formatCode>General</c:formatCode>
                <c:ptCount val="8"/>
                <c:pt idx="0">
                  <c:v>2018</c:v>
                </c:pt>
                <c:pt idx="1">
                  <c:v>2019</c:v>
                </c:pt>
                <c:pt idx="2">
                  <c:v>2020</c:v>
                </c:pt>
                <c:pt idx="3">
                  <c:v>2021</c:v>
                </c:pt>
                <c:pt idx="4">
                  <c:v>2022</c:v>
                </c:pt>
                <c:pt idx="5">
                  <c:v>2023</c:v>
                </c:pt>
                <c:pt idx="6">
                  <c:v>2024</c:v>
                </c:pt>
                <c:pt idx="7">
                  <c:v>2025</c:v>
                </c:pt>
              </c:numCache>
            </c:numRef>
          </c:cat>
          <c:val>
            <c:numRef>
              <c:f>'Сценарио 1'!$H$37:$O$37</c:f>
              <c:numCache>
                <c:formatCode>#,##0.0</c:formatCode>
                <c:ptCount val="8"/>
                <c:pt idx="0">
                  <c:v>-2.9263061456751065</c:v>
                </c:pt>
                <c:pt idx="1">
                  <c:v>-2.213876522029643</c:v>
                </c:pt>
                <c:pt idx="2">
                  <c:v>-1.70448502987896</c:v>
                </c:pt>
                <c:pt idx="3">
                  <c:v>-1.2933881318193028</c:v>
                </c:pt>
                <c:pt idx="4">
                  <c:v>-0.85537169227351217</c:v>
                </c:pt>
                <c:pt idx="5">
                  <c:v>-0.44876018459145872</c:v>
                </c:pt>
                <c:pt idx="6">
                  <c:v>0</c:v>
                </c:pt>
                <c:pt idx="7">
                  <c:v>0</c:v>
                </c:pt>
              </c:numCache>
            </c:numRef>
          </c:val>
          <c:smooth val="0"/>
        </c:ser>
        <c:ser>
          <c:idx val="1"/>
          <c:order val="1"/>
          <c:tx>
            <c:v>Фискални резултат  2027</c:v>
          </c:tx>
          <c:spPr>
            <a:ln w="41275" cap="rnd" cmpd="sng" algn="ctr">
              <a:solidFill>
                <a:schemeClr val="accent3">
                  <a:lumMod val="50000"/>
                </a:schemeClr>
              </a:solidFill>
              <a:prstDash val="sysDash"/>
              <a:round/>
            </a:ln>
            <a:effectLst/>
          </c:spPr>
          <c:marker>
            <c:symbol val="none"/>
          </c:marker>
          <c:cat>
            <c:numRef>
              <c:f>'Сценарио 1'!$H$33:$O$33</c:f>
              <c:numCache>
                <c:formatCode>General</c:formatCode>
                <c:ptCount val="8"/>
                <c:pt idx="0">
                  <c:v>2018</c:v>
                </c:pt>
                <c:pt idx="1">
                  <c:v>2019</c:v>
                </c:pt>
                <c:pt idx="2">
                  <c:v>2020</c:v>
                </c:pt>
                <c:pt idx="3">
                  <c:v>2021</c:v>
                </c:pt>
                <c:pt idx="4">
                  <c:v>2022</c:v>
                </c:pt>
                <c:pt idx="5">
                  <c:v>2023</c:v>
                </c:pt>
                <c:pt idx="6">
                  <c:v>2024</c:v>
                </c:pt>
                <c:pt idx="7">
                  <c:v>2025</c:v>
                </c:pt>
              </c:numCache>
            </c:numRef>
          </c:cat>
          <c:val>
            <c:numRef>
              <c:f>'Сценарио 1 (2)'!$H$37:$O$37</c:f>
              <c:numCache>
                <c:formatCode>#,##0.0</c:formatCode>
                <c:ptCount val="8"/>
                <c:pt idx="0">
                  <c:v>-2.2263061456751063</c:v>
                </c:pt>
                <c:pt idx="1">
                  <c:v>-1.1584143019725746</c:v>
                </c:pt>
                <c:pt idx="2">
                  <c:v>-0.41089001138080228</c:v>
                </c:pt>
                <c:pt idx="3">
                  <c:v>1.2376992033438339E-2</c:v>
                </c:pt>
                <c:pt idx="4">
                  <c:v>0.3086638944234068</c:v>
                </c:pt>
                <c:pt idx="5">
                  <c:v>0.51606472609638476</c:v>
                </c:pt>
                <c:pt idx="6">
                  <c:v>0.6612453082674693</c:v>
                </c:pt>
                <c:pt idx="7">
                  <c:v>0.5628717157872285</c:v>
                </c:pt>
              </c:numCache>
            </c:numRef>
          </c:val>
          <c:smooth val="0"/>
        </c:ser>
        <c:dLbls>
          <c:showLegendKey val="0"/>
          <c:showVal val="0"/>
          <c:showCatName val="0"/>
          <c:showSerName val="0"/>
          <c:showPercent val="0"/>
          <c:showBubbleSize val="0"/>
        </c:dLbls>
        <c:marker val="1"/>
        <c:smooth val="0"/>
        <c:axId val="348749024"/>
        <c:axId val="191707832"/>
      </c:lineChart>
      <c:catAx>
        <c:axId val="348749024"/>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none"/>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Cambria" pitchFamily="18" charset="0"/>
                <a:ea typeface="+mn-ea"/>
                <a:cs typeface="+mn-cs"/>
              </a:defRPr>
            </a:pPr>
            <a:endParaRPr lang="en-US"/>
          </a:p>
        </c:txPr>
        <c:crossAx val="191707832"/>
        <c:crosses val="autoZero"/>
        <c:auto val="1"/>
        <c:lblAlgn val="ctr"/>
        <c:lblOffset val="100"/>
        <c:noMultiLvlLbl val="0"/>
      </c:catAx>
      <c:valAx>
        <c:axId val="191707832"/>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800" b="1" i="0" u="none" strike="noStrike" kern="1200" baseline="0">
                    <a:solidFill>
                      <a:schemeClr val="bg1">
                        <a:lumMod val="50000"/>
                      </a:schemeClr>
                    </a:solidFill>
                    <a:latin typeface="Cambria" pitchFamily="18" charset="0"/>
                    <a:ea typeface="+mn-ea"/>
                    <a:cs typeface="+mn-cs"/>
                  </a:defRPr>
                </a:pPr>
                <a:r>
                  <a:rPr lang="sr-Cyrl-RS">
                    <a:solidFill>
                      <a:schemeClr val="bg1">
                        <a:lumMod val="50000"/>
                      </a:schemeClr>
                    </a:solidFill>
                  </a:rPr>
                  <a:t> % БДП </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bg1">
                      <a:lumMod val="50000"/>
                    </a:schemeClr>
                  </a:solidFill>
                  <a:latin typeface="Cambria" pitchFamily="18" charset="0"/>
                  <a:ea typeface="+mn-ea"/>
                  <a:cs typeface="+mn-cs"/>
                </a:defRPr>
              </a:pPr>
              <a:endParaRPr lang="en-US"/>
            </a:p>
          </c:txPr>
        </c:title>
        <c:numFmt formatCode="#,##0.0" sourceLinked="1"/>
        <c:majorTickMark val="none"/>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Cambria" pitchFamily="18" charset="0"/>
                <a:ea typeface="+mn-ea"/>
                <a:cs typeface="+mn-cs"/>
              </a:defRPr>
            </a:pPr>
            <a:endParaRPr lang="en-US"/>
          </a:p>
        </c:txPr>
        <c:crossAx val="348749024"/>
        <c:crosses val="autoZero"/>
        <c:crossBetween val="between"/>
      </c:valAx>
      <c:valAx>
        <c:axId val="296808544"/>
        <c:scaling>
          <c:orientation val="minMax"/>
        </c:scaling>
        <c:delete val="0"/>
        <c:axPos val="r"/>
        <c:numFmt formatCode="#,##0.0" sourceLinked="1"/>
        <c:majorTickMark val="none"/>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Cambria" pitchFamily="18" charset="0"/>
                <a:ea typeface="+mn-ea"/>
                <a:cs typeface="+mn-cs"/>
              </a:defRPr>
            </a:pPr>
            <a:endParaRPr lang="en-US"/>
          </a:p>
        </c:txPr>
        <c:crossAx val="296808936"/>
        <c:crosses val="max"/>
        <c:crossBetween val="between"/>
      </c:valAx>
      <c:catAx>
        <c:axId val="296808936"/>
        <c:scaling>
          <c:orientation val="minMax"/>
        </c:scaling>
        <c:delete val="1"/>
        <c:axPos val="b"/>
        <c:numFmt formatCode="General" sourceLinked="1"/>
        <c:majorTickMark val="none"/>
        <c:minorTickMark val="none"/>
        <c:tickLblPos val="none"/>
        <c:crossAx val="296808544"/>
        <c:crosses val="autoZero"/>
        <c:auto val="1"/>
        <c:lblAlgn val="ctr"/>
        <c:lblOffset val="100"/>
        <c:noMultiLvlLbl val="0"/>
      </c:catAx>
      <c:spPr>
        <a:solidFill>
          <a:schemeClr val="accent3">
            <a:tint val="20000"/>
          </a:schemeClr>
        </a:solidFill>
        <a:ln>
          <a:noFill/>
        </a:ln>
        <a:effectLst/>
      </c:spPr>
    </c:plotArea>
    <c:legend>
      <c:legendPos val="b"/>
      <c:layout>
        <c:manualLayout>
          <c:xMode val="edge"/>
          <c:yMode val="edge"/>
          <c:x val="5.4808244249770127E-2"/>
          <c:y val="0.89098852894084624"/>
          <c:w val="0.90589425823212377"/>
          <c:h val="8.527244679373295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Cambria" pitchFamily="18" charset="0"/>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800">
          <a:latin typeface="Cambria"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694876788065949E-2"/>
          <c:y val="3.1017909103715588E-2"/>
          <c:w val="0.89742630688838176"/>
          <c:h val="0.8022784590801455"/>
        </c:manualLayout>
      </c:layout>
      <c:barChart>
        <c:barDir val="col"/>
        <c:grouping val="clustered"/>
        <c:varyColors val="0"/>
        <c:ser>
          <c:idx val="2"/>
          <c:order val="2"/>
          <c:tx>
            <c:strRef>
              <c:f>'Grafikoni, CAB, Karakter'!$F$10</c:f>
              <c:strCache>
                <c:ptCount val="1"/>
                <c:pt idx="0">
                  <c:v>Производни јаз </c:v>
                </c:pt>
              </c:strCache>
            </c:strRef>
          </c:tx>
          <c:spPr>
            <a:solidFill>
              <a:schemeClr val="accent3">
                <a:tint val="86000"/>
              </a:schemeClr>
            </a:solidFill>
            <a:ln w="19050" cap="flat" cmpd="sng" algn="ctr">
              <a:solidFill>
                <a:schemeClr val="accent3">
                  <a:shade val="50000"/>
                  <a:shade val="95000"/>
                  <a:satMod val="105000"/>
                </a:schemeClr>
              </a:solidFill>
              <a:prstDash val="solid"/>
              <a:round/>
            </a:ln>
            <a:effectLst/>
          </c:spPr>
          <c:invertIfNegative val="0"/>
          <c:cat>
            <c:numRef>
              <c:f>'Grafikoni, CAB, Karakter'!$E$11:$E$23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Karakter'!$F$11:$F$23</c:f>
              <c:numCache>
                <c:formatCode>#,##0.0</c:formatCode>
                <c:ptCount val="13"/>
                <c:pt idx="0">
                  <c:v>-0.65424631435652791</c:v>
                </c:pt>
                <c:pt idx="1">
                  <c:v>-1.3693365858418347</c:v>
                </c:pt>
                <c:pt idx="2">
                  <c:v>1.1321803235273715</c:v>
                </c:pt>
                <c:pt idx="3">
                  <c:v>1.8877543489001978</c:v>
                </c:pt>
                <c:pt idx="4">
                  <c:v>-2.6894308772673141</c:v>
                </c:pt>
                <c:pt idx="5">
                  <c:v>-2.1259031944122522</c:v>
                </c:pt>
                <c:pt idx="6">
                  <c:v>-1.0704138886319925</c:v>
                </c:pt>
                <c:pt idx="7">
                  <c:v>-2.1521628518966569</c:v>
                </c:pt>
                <c:pt idx="8">
                  <c:v>1.2255850384667195</c:v>
                </c:pt>
                <c:pt idx="9">
                  <c:v>-1.1475643401188815</c:v>
                </c:pt>
                <c:pt idx="10">
                  <c:v>-2.1615738813230507</c:v>
                </c:pt>
                <c:pt idx="11">
                  <c:v>-1.0692215083152146</c:v>
                </c:pt>
                <c:pt idx="12">
                  <c:v>0.33796505378842256</c:v>
                </c:pt>
              </c:numCache>
            </c:numRef>
          </c:val>
        </c:ser>
        <c:dLbls>
          <c:showLegendKey val="0"/>
          <c:showVal val="0"/>
          <c:showCatName val="0"/>
          <c:showSerName val="0"/>
          <c:showPercent val="0"/>
          <c:showBubbleSize val="0"/>
        </c:dLbls>
        <c:gapWidth val="150"/>
        <c:axId val="296809328"/>
        <c:axId val="296809720"/>
      </c:barChart>
      <c:lineChart>
        <c:grouping val="standard"/>
        <c:varyColors val="0"/>
        <c:ser>
          <c:idx val="0"/>
          <c:order val="0"/>
          <c:tx>
            <c:strRef>
              <c:f>'Grafikoni, CAB, Karakter'!$G$10</c:f>
              <c:strCache>
                <c:ptCount val="1"/>
                <c:pt idx="0">
                  <c:v>Фискални 
баланс</c:v>
                </c:pt>
              </c:strCache>
            </c:strRef>
          </c:tx>
          <c:spPr>
            <a:ln w="38100" cap="rnd" cmpd="sng" algn="ctr">
              <a:solidFill>
                <a:schemeClr val="accent3">
                  <a:shade val="58000"/>
                  <a:shade val="95000"/>
                  <a:satMod val="105000"/>
                </a:schemeClr>
              </a:solidFill>
              <a:prstDash val="solid"/>
              <a:round/>
            </a:ln>
            <a:effectLst/>
          </c:spPr>
          <c:marker>
            <c:symbol val="none"/>
          </c:marker>
          <c:cat>
            <c:numRef>
              <c:f>'Grafikoni, CAB, Karakter'!$E$11:$E$23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Karakter'!$G$11:$G$23</c:f>
              <c:numCache>
                <c:formatCode>#,##0.0</c:formatCode>
                <c:ptCount val="13"/>
                <c:pt idx="0">
                  <c:v>1.1038393948118359</c:v>
                </c:pt>
                <c:pt idx="1">
                  <c:v>-1.4140954828770671</c:v>
                </c:pt>
                <c:pt idx="2">
                  <c:v>-1.9122310063276355</c:v>
                </c:pt>
                <c:pt idx="3">
                  <c:v>-2.6244514752859471</c:v>
                </c:pt>
                <c:pt idx="4">
                  <c:v>-4.4143803991116144</c:v>
                </c:pt>
                <c:pt idx="5">
                  <c:v>-4.5975280970713888</c:v>
                </c:pt>
                <c:pt idx="6">
                  <c:v>-4.7976787356236681</c:v>
                </c:pt>
                <c:pt idx="7">
                  <c:v>-6.9612342474647777</c:v>
                </c:pt>
                <c:pt idx="8">
                  <c:v>-5.3448711195633356</c:v>
                </c:pt>
                <c:pt idx="9">
                  <c:v>-7.9384462829430191</c:v>
                </c:pt>
                <c:pt idx="10">
                  <c:v>-5.878717266635304</c:v>
                </c:pt>
                <c:pt idx="11">
                  <c:v>-4.6680036560084508</c:v>
                </c:pt>
                <c:pt idx="12">
                  <c:v>-3.7518659223930091</c:v>
                </c:pt>
              </c:numCache>
            </c:numRef>
          </c:val>
          <c:smooth val="0"/>
        </c:ser>
        <c:ser>
          <c:idx val="1"/>
          <c:order val="1"/>
          <c:tx>
            <c:strRef>
              <c:f>'Grafikoni, CAB, Karakter'!$J$10</c:f>
              <c:strCache>
                <c:ptCount val="1"/>
                <c:pt idx="0">
                  <c:v>Циклично 
прилагођени  фискални баланс</c:v>
                </c:pt>
              </c:strCache>
            </c:strRef>
          </c:tx>
          <c:spPr>
            <a:ln w="25400" cap="rnd" cmpd="sng" algn="ctr">
              <a:solidFill>
                <a:schemeClr val="tx1"/>
              </a:solidFill>
              <a:prstDash val="solid"/>
              <a:round/>
            </a:ln>
            <a:effectLst/>
          </c:spPr>
          <c:marker>
            <c:symbol val="none"/>
          </c:marker>
          <c:cat>
            <c:numRef>
              <c:f>'Grafikoni, CAB, Karakter'!$E$11:$E$23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Karakter'!$J$11:$J$23</c:f>
              <c:numCache>
                <c:formatCode>#,##0.0</c:formatCode>
                <c:ptCount val="13"/>
                <c:pt idx="0">
                  <c:v>1.3563063870526448</c:v>
                </c:pt>
                <c:pt idx="1">
                  <c:v>-0.885682434753433</c:v>
                </c:pt>
                <c:pt idx="2">
                  <c:v>-2.3491278671625526</c:v>
                </c:pt>
                <c:pt idx="3">
                  <c:v>-3.3529166604893006</c:v>
                </c:pt>
                <c:pt idx="4">
                  <c:v>-3.3765564029748543</c:v>
                </c:pt>
                <c:pt idx="5">
                  <c:v>-3.7771636968282318</c:v>
                </c:pt>
                <c:pt idx="6">
                  <c:v>-4.3846169132097339</c:v>
                </c:pt>
                <c:pt idx="7">
                  <c:v>-6.1307365127314108</c:v>
                </c:pt>
                <c:pt idx="8">
                  <c:v>-5.8178119089988147</c:v>
                </c:pt>
                <c:pt idx="9">
                  <c:v>-7.4956128867204148</c:v>
                </c:pt>
                <c:pt idx="10">
                  <c:v>-5.0445879114540508</c:v>
                </c:pt>
                <c:pt idx="11">
                  <c:v>-4.2554019610198885</c:v>
                </c:pt>
                <c:pt idx="12">
                  <c:v>-3.8822831960407576</c:v>
                </c:pt>
              </c:numCache>
            </c:numRef>
          </c:val>
          <c:smooth val="1"/>
        </c:ser>
        <c:ser>
          <c:idx val="3"/>
          <c:order val="3"/>
          <c:tx>
            <c:strRef>
              <c:f>'Grafikoni, CAB, Karakter'!$K$10</c:f>
              <c:strCache>
                <c:ptCount val="1"/>
                <c:pt idx="0">
                  <c:v>Циклично 
прилагођени примарни фискални баланс</c:v>
                </c:pt>
              </c:strCache>
            </c:strRef>
          </c:tx>
          <c:spPr>
            <a:ln w="34925" cap="rnd" cmpd="sng" algn="ctr">
              <a:solidFill>
                <a:schemeClr val="accent5">
                  <a:lumMod val="75000"/>
                </a:schemeClr>
              </a:solidFill>
              <a:prstDash val="sysDash"/>
              <a:round/>
            </a:ln>
            <a:effectLst/>
          </c:spPr>
          <c:marker>
            <c:symbol val="none"/>
          </c:marker>
          <c:cat>
            <c:numRef>
              <c:f>'Grafikoni, CAB, Karakter'!$E$11:$E$23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Karakter'!$K$11:$K$23</c:f>
              <c:numCache>
                <c:formatCode>#,##0.0</c:formatCode>
                <c:ptCount val="13"/>
                <c:pt idx="0">
                  <c:v>2.3096452284517541</c:v>
                </c:pt>
                <c:pt idx="1">
                  <c:v>0.45789127444636202</c:v>
                </c:pt>
                <c:pt idx="2">
                  <c:v>-1.7646686630468293</c:v>
                </c:pt>
                <c:pt idx="3">
                  <c:v>-2.7814194946410571</c:v>
                </c:pt>
                <c:pt idx="4">
                  <c:v>-2.7326945931994286</c:v>
                </c:pt>
                <c:pt idx="5">
                  <c:v>-2.705861112394822</c:v>
                </c:pt>
                <c:pt idx="6">
                  <c:v>-3.1005467434138998</c:v>
                </c:pt>
                <c:pt idx="7">
                  <c:v>-4.3874907977033981</c:v>
                </c:pt>
                <c:pt idx="8">
                  <c:v>-3.5450864162736058</c:v>
                </c:pt>
                <c:pt idx="9">
                  <c:v>-4.4987024850726289</c:v>
                </c:pt>
                <c:pt idx="10">
                  <c:v>-1.6440841331165199</c:v>
                </c:pt>
                <c:pt idx="11">
                  <c:v>-0.45802413026899413</c:v>
                </c:pt>
                <c:pt idx="12">
                  <c:v>9.3025445934550893E-2</c:v>
                </c:pt>
              </c:numCache>
            </c:numRef>
          </c:val>
          <c:smooth val="1"/>
        </c:ser>
        <c:dLbls>
          <c:showLegendKey val="0"/>
          <c:showVal val="0"/>
          <c:showCatName val="0"/>
          <c:showSerName val="0"/>
          <c:showPercent val="0"/>
          <c:showBubbleSize val="0"/>
        </c:dLbls>
        <c:marker val="1"/>
        <c:smooth val="0"/>
        <c:axId val="296809328"/>
        <c:axId val="296809720"/>
      </c:lineChart>
      <c:catAx>
        <c:axId val="296809328"/>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j-lt"/>
                <a:ea typeface="+mn-ea"/>
                <a:cs typeface="+mn-cs"/>
              </a:defRPr>
            </a:pPr>
            <a:endParaRPr lang="en-US"/>
          </a:p>
        </c:txPr>
        <c:crossAx val="296809720"/>
        <c:crosses val="autoZero"/>
        <c:auto val="1"/>
        <c:lblAlgn val="ctr"/>
        <c:lblOffset val="100"/>
        <c:noMultiLvlLbl val="0"/>
      </c:catAx>
      <c:valAx>
        <c:axId val="296809720"/>
        <c:scaling>
          <c:orientation val="minMax"/>
          <c:max val="2.5"/>
          <c:min val="-8.5"/>
        </c:scaling>
        <c:delete val="0"/>
        <c:axPos val="l"/>
        <c:majorGridlines>
          <c:spPr>
            <a:ln w="9525" cap="flat" cmpd="sng" algn="ctr">
              <a:solidFill>
                <a:schemeClr val="dk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800" b="1" i="0" u="none" strike="noStrike" kern="1200" baseline="0">
                    <a:solidFill>
                      <a:schemeClr val="bg1">
                        <a:lumMod val="50000"/>
                      </a:schemeClr>
                    </a:solidFill>
                    <a:latin typeface="+mj-lt"/>
                    <a:ea typeface="+mn-ea"/>
                    <a:cs typeface="+mn-cs"/>
                  </a:defRPr>
                </a:pPr>
                <a:r>
                  <a:rPr lang="sr-Cyrl-CS" sz="800"/>
                  <a:t>% БДП</a:t>
                </a:r>
              </a:p>
            </c:rich>
          </c:tx>
          <c:layout>
            <c:manualLayout>
              <c:xMode val="edge"/>
              <c:yMode val="edge"/>
              <c:x val="7.9793980992792467E-3"/>
              <c:y val="0.3867840302197182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bg1">
                      <a:lumMod val="50000"/>
                    </a:schemeClr>
                  </a:solidFill>
                  <a:latin typeface="+mj-lt"/>
                  <a:ea typeface="+mn-ea"/>
                  <a:cs typeface="+mn-cs"/>
                </a:defRPr>
              </a:pPr>
              <a:endParaRPr lang="en-US"/>
            </a:p>
          </c:txPr>
        </c:title>
        <c:numFmt formatCode="#,##0.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j-lt"/>
                <a:ea typeface="+mn-ea"/>
                <a:cs typeface="+mn-cs"/>
              </a:defRPr>
            </a:pPr>
            <a:endParaRPr lang="en-US"/>
          </a:p>
        </c:txPr>
        <c:crossAx val="296809328"/>
        <c:crosses val="autoZero"/>
        <c:crossBetween val="between"/>
      </c:valAx>
      <c:spPr>
        <a:solidFill>
          <a:schemeClr val="accent3">
            <a:tint val="20000"/>
          </a:schemeClr>
        </a:solidFill>
        <a:ln>
          <a:noFill/>
        </a:ln>
        <a:effectLst/>
      </c:spPr>
    </c:plotArea>
    <c:legend>
      <c:legendPos val="r"/>
      <c:layout>
        <c:manualLayout>
          <c:xMode val="edge"/>
          <c:yMode val="edge"/>
          <c:x val="0.11090497966504466"/>
          <c:y val="0.83672068295217361"/>
          <c:w val="0.83132769549385765"/>
          <c:h val="0.163279317047826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mj-lt"/>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a:solidFill>
            <a:schemeClr val="bg1">
              <a:lumMod val="50000"/>
            </a:schemeClr>
          </a:solidFill>
          <a:latin typeface="+mj-lt"/>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894923558725605E-2"/>
          <c:y val="4.5235048365503933E-2"/>
          <c:w val="0.88841450380453313"/>
          <c:h val="0.82967423338395085"/>
        </c:manualLayout>
      </c:layout>
      <c:barChart>
        <c:barDir val="col"/>
        <c:grouping val="clustered"/>
        <c:varyColors val="0"/>
        <c:ser>
          <c:idx val="1"/>
          <c:order val="1"/>
          <c:tx>
            <c:strRef>
              <c:f>'Grafikoni, CAB, Karakter'!$F$10</c:f>
              <c:strCache>
                <c:ptCount val="1"/>
                <c:pt idx="0">
                  <c:v>Производни јаз </c:v>
                </c:pt>
              </c:strCache>
            </c:strRef>
          </c:tx>
          <c:spPr>
            <a:solidFill>
              <a:schemeClr val="accent3">
                <a:tint val="77000"/>
              </a:schemeClr>
            </a:solidFill>
            <a:ln w="15875" cap="flat" cmpd="sng" algn="ctr">
              <a:solidFill>
                <a:schemeClr val="accent3">
                  <a:lumMod val="50000"/>
                </a:schemeClr>
              </a:solidFill>
              <a:prstDash val="solid"/>
              <a:round/>
            </a:ln>
            <a:effectLst/>
          </c:spPr>
          <c:invertIfNegative val="0"/>
          <c:cat>
            <c:numRef>
              <c:f>'Grafikoni, CAB, Karakter'!$E$12:$E$23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'Grafikoni, CAB, Karakter'!$F$12:$F$23</c:f>
              <c:numCache>
                <c:formatCode>#,##0.0</c:formatCode>
                <c:ptCount val="12"/>
                <c:pt idx="0">
                  <c:v>-1.3693365858418347</c:v>
                </c:pt>
                <c:pt idx="1">
                  <c:v>1.1321803235273715</c:v>
                </c:pt>
                <c:pt idx="2">
                  <c:v>1.8877543489001978</c:v>
                </c:pt>
                <c:pt idx="3">
                  <c:v>-2.6894308772673141</c:v>
                </c:pt>
                <c:pt idx="4">
                  <c:v>-2.1259031944122522</c:v>
                </c:pt>
                <c:pt idx="5">
                  <c:v>-1.0704138886319925</c:v>
                </c:pt>
                <c:pt idx="6">
                  <c:v>-2.1521628518966569</c:v>
                </c:pt>
                <c:pt idx="7">
                  <c:v>1.2255850384667195</c:v>
                </c:pt>
                <c:pt idx="8">
                  <c:v>-1.1475643401188815</c:v>
                </c:pt>
                <c:pt idx="9">
                  <c:v>-2.1615738813230507</c:v>
                </c:pt>
                <c:pt idx="10">
                  <c:v>-1.0692215083152146</c:v>
                </c:pt>
                <c:pt idx="11">
                  <c:v>0.33796505378842256</c:v>
                </c:pt>
              </c:numCache>
            </c:numRef>
          </c:val>
        </c:ser>
        <c:dLbls>
          <c:showLegendKey val="0"/>
          <c:showVal val="0"/>
          <c:showCatName val="0"/>
          <c:showSerName val="0"/>
          <c:showPercent val="0"/>
          <c:showBubbleSize val="0"/>
        </c:dLbls>
        <c:gapWidth val="150"/>
        <c:axId val="296810504"/>
        <c:axId val="296810896"/>
      </c:barChart>
      <c:lineChart>
        <c:grouping val="standard"/>
        <c:varyColors val="0"/>
        <c:ser>
          <c:idx val="0"/>
          <c:order val="0"/>
          <c:tx>
            <c:strRef>
              <c:f>'Grafikoni, CAB, Karakter'!$L$10</c:f>
              <c:strCache>
                <c:ptCount val="1"/>
                <c:pt idx="0">
                  <c:v>Карактер фискалне политике - фискални импулс</c:v>
                </c:pt>
              </c:strCache>
            </c:strRef>
          </c:tx>
          <c:spPr>
            <a:ln w="34925" cap="rnd" cmpd="sng" algn="ctr">
              <a:solidFill>
                <a:schemeClr val="accent3">
                  <a:lumMod val="50000"/>
                </a:schemeClr>
              </a:solidFill>
              <a:prstDash val="solid"/>
              <a:round/>
            </a:ln>
            <a:effectLst/>
          </c:spPr>
          <c:marker>
            <c:symbol val="none"/>
          </c:marker>
          <c:cat>
            <c:numRef>
              <c:f>'Grafikoni, CAB, Karakter'!$E$12:$E$23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'Grafikoni, CAB, Karakter'!$L$12:$L$23</c:f>
              <c:numCache>
                <c:formatCode>#,##0.0</c:formatCode>
                <c:ptCount val="12"/>
                <c:pt idx="0">
                  <c:v>1.851753954005392</c:v>
                </c:pt>
                <c:pt idx="1">
                  <c:v>2.2225599374931915</c:v>
                </c:pt>
                <c:pt idx="2">
                  <c:v>1.0167508315942277</c:v>
                </c:pt>
                <c:pt idx="3">
                  <c:v>-4.8724901441628443E-2</c:v>
                </c:pt>
                <c:pt idx="4">
                  <c:v>-2.683348080460668E-2</c:v>
                </c:pt>
                <c:pt idx="5">
                  <c:v>0.39468563101907783</c:v>
                </c:pt>
                <c:pt idx="6">
                  <c:v>1.2869440542894983</c:v>
                </c:pt>
                <c:pt idx="7">
                  <c:v>-0.84240438142979235</c:v>
                </c:pt>
                <c:pt idx="8">
                  <c:v>0.95361606879902316</c:v>
                </c:pt>
                <c:pt idx="9">
                  <c:v>-2.854618351956109</c:v>
                </c:pt>
                <c:pt idx="10">
                  <c:v>-1.1860600028475257</c:v>
                </c:pt>
                <c:pt idx="11">
                  <c:v>-0.551049576203545</c:v>
                </c:pt>
              </c:numCache>
            </c:numRef>
          </c:val>
          <c:smooth val="0"/>
        </c:ser>
        <c:dLbls>
          <c:showLegendKey val="0"/>
          <c:showVal val="0"/>
          <c:showCatName val="0"/>
          <c:showSerName val="0"/>
          <c:showPercent val="0"/>
          <c:showBubbleSize val="0"/>
        </c:dLbls>
        <c:marker val="1"/>
        <c:smooth val="0"/>
        <c:axId val="296810504"/>
        <c:axId val="296810896"/>
      </c:lineChart>
      <c:catAx>
        <c:axId val="296810504"/>
        <c:scaling>
          <c:orientation val="minMax"/>
        </c:scaling>
        <c:delete val="0"/>
        <c:axPos val="b"/>
        <c:majorGridlines>
          <c:spPr>
            <a:ln w="9525" cap="flat" cmpd="sng" algn="ctr">
              <a:solidFill>
                <a:sysClr val="window" lastClr="FFFFFF">
                  <a:lumMod val="75000"/>
                </a:sysClr>
              </a:solid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Cambria" pitchFamily="18" charset="0"/>
                <a:ea typeface="+mn-ea"/>
                <a:cs typeface="+mn-cs"/>
              </a:defRPr>
            </a:pPr>
            <a:endParaRPr lang="en-US"/>
          </a:p>
        </c:txPr>
        <c:crossAx val="296810896"/>
        <c:crosses val="autoZero"/>
        <c:auto val="1"/>
        <c:lblAlgn val="ctr"/>
        <c:lblOffset val="100"/>
        <c:noMultiLvlLbl val="0"/>
      </c:catAx>
      <c:valAx>
        <c:axId val="296810896"/>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800" b="1" i="0" u="none" strike="noStrike" kern="1200" baseline="0">
                    <a:solidFill>
                      <a:schemeClr val="bg1">
                        <a:lumMod val="50000"/>
                      </a:schemeClr>
                    </a:solidFill>
                    <a:latin typeface="Cambria" pitchFamily="18" charset="0"/>
                    <a:ea typeface="+mn-ea"/>
                    <a:cs typeface="+mn-cs"/>
                  </a:defRPr>
                </a:pPr>
                <a:r>
                  <a:rPr lang="sr-Cyrl-CS" sz="800">
                    <a:solidFill>
                      <a:schemeClr val="bg1">
                        <a:lumMod val="50000"/>
                      </a:schemeClr>
                    </a:solidFill>
                  </a:rPr>
                  <a:t>% БДП</a:t>
                </a:r>
                <a:endParaRPr lang="en-US" sz="800">
                  <a:solidFill>
                    <a:schemeClr val="bg1">
                      <a:lumMod val="50000"/>
                    </a:schemeClr>
                  </a:solidFill>
                </a:endParaRPr>
              </a:p>
            </c:rich>
          </c:tx>
          <c:layout>
            <c:manualLayout>
              <c:xMode val="edge"/>
              <c:yMode val="edge"/>
              <c:x val="9.6147437586255637E-3"/>
              <c:y val="0.402786581431055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bg1">
                      <a:lumMod val="50000"/>
                    </a:schemeClr>
                  </a:solidFill>
                  <a:latin typeface="Cambria" pitchFamily="18" charset="0"/>
                  <a:ea typeface="+mn-ea"/>
                  <a:cs typeface="+mn-cs"/>
                </a:defRPr>
              </a:pPr>
              <a:endParaRPr lang="en-US"/>
            </a:p>
          </c:txPr>
        </c:title>
        <c:numFmt formatCode="0.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Cambria" pitchFamily="18" charset="0"/>
                <a:ea typeface="+mn-ea"/>
                <a:cs typeface="+mn-cs"/>
              </a:defRPr>
            </a:pPr>
            <a:endParaRPr lang="en-US"/>
          </a:p>
        </c:txPr>
        <c:crossAx val="296810504"/>
        <c:crosses val="autoZero"/>
        <c:crossBetween val="between"/>
      </c:valAx>
      <c:spPr>
        <a:solidFill>
          <a:schemeClr val="accent3">
            <a:tint val="20000"/>
          </a:schemeClr>
        </a:solidFill>
        <a:ln>
          <a:noFill/>
        </a:ln>
        <a:effectLst/>
      </c:spPr>
    </c:plotArea>
    <c:legend>
      <c:legendPos val="r"/>
      <c:layout>
        <c:manualLayout>
          <c:xMode val="edge"/>
          <c:yMode val="edge"/>
          <c:x val="0.17900413678070876"/>
          <c:y val="0.89028530069675949"/>
          <c:w val="0.67150785744070929"/>
          <c:h val="8.878938335539986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Cambria" pitchFamily="18" charset="0"/>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Cambria" pitchFamily="18" charset="0"/>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313099041539074E-2"/>
          <c:y val="4.1154446821315332E-2"/>
          <c:w val="0.9223549838341305"/>
          <c:h val="0.66974253034817055"/>
        </c:manualLayout>
      </c:layout>
      <c:barChart>
        <c:barDir val="col"/>
        <c:grouping val="stacked"/>
        <c:varyColors val="0"/>
        <c:ser>
          <c:idx val="0"/>
          <c:order val="0"/>
          <c:tx>
            <c:strRef>
              <c:f>'[grafikon 18.xlsx]18'!$A$5</c:f>
              <c:strCache>
                <c:ptCount val="1"/>
                <c:pt idx="0">
                  <c:v>Директне обавезе</c:v>
                </c:pt>
              </c:strCache>
            </c:strRef>
          </c:tx>
          <c:spPr>
            <a:solidFill>
              <a:schemeClr val="accent3">
                <a:lumMod val="75000"/>
              </a:schemeClr>
            </a:solidFill>
          </c:spPr>
          <c:invertIfNegative val="0"/>
          <c:dLbls>
            <c:spPr>
              <a:noFill/>
              <a:ln>
                <a:noFill/>
              </a:ln>
              <a:effectLst/>
            </c:spPr>
            <c:txPr>
              <a:bodyPr rot="0" vert="horz"/>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18.xlsx]18'!$C$4:$F$4</c:f>
              <c:strCache>
                <c:ptCount val="4"/>
                <c:pt idx="0">
                  <c:v>2011</c:v>
                </c:pt>
                <c:pt idx="1">
                  <c:v>2012</c:v>
                </c:pt>
                <c:pt idx="2">
                  <c:v>2013</c:v>
                </c:pt>
                <c:pt idx="3">
                  <c:v>2014/X</c:v>
                </c:pt>
              </c:strCache>
            </c:strRef>
          </c:cat>
          <c:val>
            <c:numRef>
              <c:f>'[grafikon 18.xlsx]18'!$C$5:$F$5</c:f>
              <c:numCache>
                <c:formatCode>0.0%</c:formatCode>
                <c:ptCount val="4"/>
                <c:pt idx="0">
                  <c:v>0.38900000000000001</c:v>
                </c:pt>
                <c:pt idx="1">
                  <c:v>0.48</c:v>
                </c:pt>
                <c:pt idx="2">
                  <c:v>0.51200000000000001</c:v>
                </c:pt>
                <c:pt idx="3">
                  <c:v>0.60299999999999998</c:v>
                </c:pt>
              </c:numCache>
            </c:numRef>
          </c:val>
        </c:ser>
        <c:ser>
          <c:idx val="1"/>
          <c:order val="1"/>
          <c:tx>
            <c:strRef>
              <c:f>'[grafikon 18.xlsx]18'!$A$6</c:f>
              <c:strCache>
                <c:ptCount val="1"/>
                <c:pt idx="0">
                  <c:v>Индиректне обавезе</c:v>
                </c:pt>
              </c:strCache>
            </c:strRef>
          </c:tx>
          <c:spPr>
            <a:solidFill>
              <a:schemeClr val="accent3">
                <a:lumMod val="60000"/>
                <a:lumOff val="40000"/>
              </a:schemeClr>
            </a:solidFill>
            <a:ln>
              <a:noFill/>
            </a:ln>
            <a:effectLst>
              <a:outerShdw blurRad="38100" dist="23000" dir="5400000" rotWithShape="0">
                <a:srgbClr val="000000">
                  <a:alpha val="35000"/>
                </a:srgbClr>
              </a:outerShdw>
            </a:effectLst>
          </c:spPr>
          <c:invertIfNegative val="0"/>
          <c:dLbls>
            <c:dLbl>
              <c:idx val="0"/>
              <c:layout>
                <c:manualLayout>
                  <c:x val="2.0607934054611026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215868109222053E-3"/>
                  <c:y val="-1.0204081632653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1823802163833829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215868109222053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18.xlsx]18'!$C$4:$F$4</c:f>
              <c:strCache>
                <c:ptCount val="4"/>
                <c:pt idx="0">
                  <c:v>2011</c:v>
                </c:pt>
                <c:pt idx="1">
                  <c:v>2012</c:v>
                </c:pt>
                <c:pt idx="2">
                  <c:v>2013</c:v>
                </c:pt>
                <c:pt idx="3">
                  <c:v>2014/X</c:v>
                </c:pt>
              </c:strCache>
            </c:strRef>
          </c:cat>
          <c:val>
            <c:numRef>
              <c:f>'[grafikon 18.xlsx]18'!$C$6:$F$6</c:f>
              <c:numCache>
                <c:formatCode>0.0%</c:formatCode>
                <c:ptCount val="4"/>
                <c:pt idx="0">
                  <c:v>6.5000000000000002E-2</c:v>
                </c:pt>
                <c:pt idx="1">
                  <c:v>8.2000000000000003E-2</c:v>
                </c:pt>
                <c:pt idx="2">
                  <c:v>8.4000000000000005E-2</c:v>
                </c:pt>
                <c:pt idx="3">
                  <c:v>7.8E-2</c:v>
                </c:pt>
              </c:numCache>
            </c:numRef>
          </c:val>
        </c:ser>
        <c:ser>
          <c:idx val="2"/>
          <c:order val="2"/>
          <c:tx>
            <c:strRef>
              <c:f>'[grafikon 18.xlsx]18'!$A$7</c:f>
              <c:strCache>
                <c:ptCount val="1"/>
                <c:pt idx="0">
                  <c:v>Негарантовани дуг јединица локалне самоуправе, Фонда за развој и ЈП Путеви Србије</c:v>
                </c:pt>
              </c:strCache>
            </c:strRef>
          </c:tx>
          <c:spPr>
            <a:solidFill>
              <a:schemeClr val="accent4">
                <a:lumMod val="75000"/>
              </a:schemeClr>
            </a:solidFill>
          </c:spPr>
          <c:invertIfNegative val="0"/>
          <c:dLbls>
            <c:dLbl>
              <c:idx val="0"/>
              <c:layout>
                <c:manualLayout>
                  <c:x val="4.1215868109222053E-3"/>
                  <c:y val="-2.72108843537414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0607934054611026E-3"/>
                  <c:y val="-3.061224489795918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7.5561551973410773E-17"/>
                  <c:y val="-4.76190476190476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0607934054611026E-3"/>
                  <c:y val="-3.4013605442176888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18.xlsx]18'!$C$4:$F$4</c:f>
              <c:strCache>
                <c:ptCount val="4"/>
                <c:pt idx="0">
                  <c:v>2011</c:v>
                </c:pt>
                <c:pt idx="1">
                  <c:v>2012</c:v>
                </c:pt>
                <c:pt idx="2">
                  <c:v>2013</c:v>
                </c:pt>
                <c:pt idx="3">
                  <c:v>2014/X</c:v>
                </c:pt>
              </c:strCache>
            </c:strRef>
          </c:cat>
          <c:val>
            <c:numRef>
              <c:f>'[grafikon 18.xlsx]18'!$C$7:$F$7</c:f>
              <c:numCache>
                <c:formatCode>0.0%</c:formatCode>
                <c:ptCount val="4"/>
                <c:pt idx="0">
                  <c:v>0.02</c:v>
                </c:pt>
                <c:pt idx="1">
                  <c:v>1.7999999999999999E-2</c:v>
                </c:pt>
                <c:pt idx="2">
                  <c:v>1.4999999999999999E-2</c:v>
                </c:pt>
                <c:pt idx="3">
                  <c:v>1.4999999999999999E-2</c:v>
                </c:pt>
              </c:numCache>
            </c:numRef>
          </c:val>
        </c:ser>
        <c:dLbls>
          <c:showLegendKey val="0"/>
          <c:showVal val="0"/>
          <c:showCatName val="0"/>
          <c:showSerName val="0"/>
          <c:showPercent val="0"/>
          <c:showBubbleSize val="0"/>
        </c:dLbls>
        <c:gapWidth val="150"/>
        <c:overlap val="100"/>
        <c:axId val="296811680"/>
        <c:axId val="296812072"/>
      </c:barChart>
      <c:catAx>
        <c:axId val="296811680"/>
        <c:scaling>
          <c:orientation val="minMax"/>
        </c:scaling>
        <c:delete val="0"/>
        <c:axPos val="b"/>
        <c:majorGridlines>
          <c:spPr>
            <a:ln>
              <a:solidFill>
                <a:schemeClr val="bg1">
                  <a:lumMod val="75000"/>
                </a:schemeClr>
              </a:solidFill>
            </a:ln>
          </c:spPr>
        </c:majorGridlines>
        <c:numFmt formatCode="General" sourceLinked="1"/>
        <c:majorTickMark val="none"/>
        <c:minorTickMark val="none"/>
        <c:tickLblPos val="nextTo"/>
        <c:txPr>
          <a:bodyPr rot="-60000000" vert="horz"/>
          <a:lstStyle/>
          <a:p>
            <a:pPr>
              <a:defRPr/>
            </a:pPr>
            <a:endParaRPr lang="en-US"/>
          </a:p>
        </c:txPr>
        <c:crossAx val="296812072"/>
        <c:crosses val="autoZero"/>
        <c:auto val="1"/>
        <c:lblAlgn val="ctr"/>
        <c:lblOffset val="100"/>
        <c:noMultiLvlLbl val="0"/>
      </c:catAx>
      <c:valAx>
        <c:axId val="296812072"/>
        <c:scaling>
          <c:orientation val="minMax"/>
        </c:scaling>
        <c:delete val="0"/>
        <c:axPos val="l"/>
        <c:majorGridlines>
          <c:spPr>
            <a:ln>
              <a:solidFill>
                <a:schemeClr val="bg1">
                  <a:lumMod val="75000"/>
                </a:schemeClr>
              </a:solidFill>
            </a:ln>
          </c:spPr>
        </c:majorGridlines>
        <c:numFmt formatCode="0%" sourceLinked="0"/>
        <c:majorTickMark val="none"/>
        <c:minorTickMark val="none"/>
        <c:tickLblPos val="nextTo"/>
        <c:spPr>
          <a:ln>
            <a:solidFill>
              <a:schemeClr val="bg1">
                <a:lumMod val="75000"/>
              </a:schemeClr>
            </a:solidFill>
          </a:ln>
        </c:spPr>
        <c:txPr>
          <a:bodyPr rot="-60000000" vert="horz"/>
          <a:lstStyle/>
          <a:p>
            <a:pPr>
              <a:defRPr/>
            </a:pPr>
            <a:endParaRPr lang="en-US"/>
          </a:p>
        </c:txPr>
        <c:crossAx val="296811680"/>
        <c:crosses val="autoZero"/>
        <c:crossBetween val="between"/>
      </c:valAx>
      <c:spPr>
        <a:solidFill>
          <a:schemeClr val="accent3">
            <a:lumMod val="20000"/>
            <a:lumOff val="80000"/>
          </a:schemeClr>
        </a:solidFill>
        <a:ln>
          <a:solidFill>
            <a:schemeClr val="bg1">
              <a:lumMod val="75000"/>
            </a:schemeClr>
          </a:solidFill>
        </a:ln>
      </c:spPr>
    </c:plotArea>
    <c:legend>
      <c:legendPos val="b"/>
      <c:layout>
        <c:manualLayout>
          <c:xMode val="edge"/>
          <c:yMode val="edge"/>
          <c:x val="6.8853670546300677E-2"/>
          <c:y val="0.79287600063207953"/>
          <c:w val="0.86456326882769985"/>
          <c:h val="0.17947334409924162"/>
        </c:manualLayout>
      </c:layout>
      <c:overlay val="0"/>
      <c:txPr>
        <a:bodyPr rot="0" vert="horz"/>
        <a:lstStyle/>
        <a:p>
          <a:pPr>
            <a:defRPr/>
          </a:pPr>
          <a:endParaRPr lang="en-US"/>
        </a:p>
      </c:txPr>
    </c:legend>
    <c:plotVisOnly val="1"/>
    <c:dispBlanksAs val="gap"/>
    <c:showDLblsOverMax val="0"/>
  </c:chart>
  <c:spPr>
    <a:ln>
      <a:noFill/>
    </a:ln>
  </c:spPr>
  <c:txPr>
    <a:bodyPr/>
    <a:lstStyle/>
    <a:p>
      <a:pPr>
        <a:defRPr sz="900">
          <a:solidFill>
            <a:schemeClr val="bg1">
              <a:lumMod val="50000"/>
            </a:schemeClr>
          </a:solidFill>
          <a:latin typeface="+mj-lt"/>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4748455428067"/>
          <c:y val="2.8934444444444447E-2"/>
          <c:w val="0.80282375540960593"/>
          <c:h val="0.73400490196078461"/>
        </c:manualLayout>
      </c:layout>
      <c:areaChart>
        <c:grouping val="stacked"/>
        <c:varyColors val="0"/>
        <c:ser>
          <c:idx val="0"/>
          <c:order val="0"/>
          <c:tx>
            <c:strRef>
              <c:f>Eurobond!$C$3</c:f>
              <c:strCache>
                <c:ptCount val="1"/>
                <c:pt idx="0">
                  <c:v>Цена на затварању</c:v>
                </c:pt>
              </c:strCache>
            </c:strRef>
          </c:tx>
          <c:spPr>
            <a:solidFill>
              <a:srgbClr val="9BBB59">
                <a:lumMod val="75000"/>
              </a:srgbClr>
            </a:solidFill>
            <a:ln>
              <a:noFill/>
            </a:ln>
            <a:effectLst/>
          </c:spPr>
          <c:cat>
            <c:numRef>
              <c:f>Eurobond!$B$6:$B$809</c:f>
              <c:numCache>
                <c:formatCode>d/m/yyyy</c:formatCode>
                <c:ptCount val="804"/>
                <c:pt idx="0">
                  <c:v>41943</c:v>
                </c:pt>
                <c:pt idx="1">
                  <c:v>41942</c:v>
                </c:pt>
                <c:pt idx="2">
                  <c:v>41941</c:v>
                </c:pt>
                <c:pt idx="3">
                  <c:v>41940</c:v>
                </c:pt>
                <c:pt idx="4">
                  <c:v>41939</c:v>
                </c:pt>
                <c:pt idx="5">
                  <c:v>41936</c:v>
                </c:pt>
                <c:pt idx="6">
                  <c:v>41935</c:v>
                </c:pt>
                <c:pt idx="7">
                  <c:v>41934</c:v>
                </c:pt>
                <c:pt idx="8">
                  <c:v>41933</c:v>
                </c:pt>
                <c:pt idx="9">
                  <c:v>41932</c:v>
                </c:pt>
                <c:pt idx="10">
                  <c:v>41929</c:v>
                </c:pt>
                <c:pt idx="11">
                  <c:v>41928</c:v>
                </c:pt>
                <c:pt idx="12">
                  <c:v>41927</c:v>
                </c:pt>
                <c:pt idx="13">
                  <c:v>41926</c:v>
                </c:pt>
                <c:pt idx="14">
                  <c:v>41925</c:v>
                </c:pt>
                <c:pt idx="15">
                  <c:v>41922</c:v>
                </c:pt>
                <c:pt idx="16">
                  <c:v>41921</c:v>
                </c:pt>
                <c:pt idx="17">
                  <c:v>41920</c:v>
                </c:pt>
                <c:pt idx="18">
                  <c:v>41919</c:v>
                </c:pt>
                <c:pt idx="19">
                  <c:v>41918</c:v>
                </c:pt>
                <c:pt idx="20">
                  <c:v>41915</c:v>
                </c:pt>
                <c:pt idx="21">
                  <c:v>41914</c:v>
                </c:pt>
                <c:pt idx="22">
                  <c:v>41913</c:v>
                </c:pt>
                <c:pt idx="23">
                  <c:v>41912</c:v>
                </c:pt>
                <c:pt idx="24">
                  <c:v>41911</c:v>
                </c:pt>
                <c:pt idx="25">
                  <c:v>41908</c:v>
                </c:pt>
                <c:pt idx="26">
                  <c:v>41907</c:v>
                </c:pt>
                <c:pt idx="27">
                  <c:v>41906</c:v>
                </c:pt>
                <c:pt idx="28">
                  <c:v>41905</c:v>
                </c:pt>
                <c:pt idx="29">
                  <c:v>41904</c:v>
                </c:pt>
                <c:pt idx="30">
                  <c:v>41901</c:v>
                </c:pt>
                <c:pt idx="31">
                  <c:v>41900</c:v>
                </c:pt>
                <c:pt idx="32">
                  <c:v>41899</c:v>
                </c:pt>
                <c:pt idx="33">
                  <c:v>41898</c:v>
                </c:pt>
                <c:pt idx="34">
                  <c:v>41897</c:v>
                </c:pt>
                <c:pt idx="35">
                  <c:v>41894</c:v>
                </c:pt>
                <c:pt idx="36">
                  <c:v>41893</c:v>
                </c:pt>
                <c:pt idx="37">
                  <c:v>41892</c:v>
                </c:pt>
                <c:pt idx="38">
                  <c:v>41891</c:v>
                </c:pt>
                <c:pt idx="39">
                  <c:v>41890</c:v>
                </c:pt>
                <c:pt idx="40">
                  <c:v>41887</c:v>
                </c:pt>
                <c:pt idx="41">
                  <c:v>41886</c:v>
                </c:pt>
                <c:pt idx="42">
                  <c:v>41885</c:v>
                </c:pt>
                <c:pt idx="43">
                  <c:v>41884</c:v>
                </c:pt>
                <c:pt idx="44">
                  <c:v>41883</c:v>
                </c:pt>
                <c:pt idx="45">
                  <c:v>41880</c:v>
                </c:pt>
                <c:pt idx="46">
                  <c:v>41879</c:v>
                </c:pt>
                <c:pt idx="47">
                  <c:v>41878</c:v>
                </c:pt>
                <c:pt idx="48">
                  <c:v>41877</c:v>
                </c:pt>
                <c:pt idx="49">
                  <c:v>41876</c:v>
                </c:pt>
                <c:pt idx="50">
                  <c:v>41873</c:v>
                </c:pt>
                <c:pt idx="51">
                  <c:v>41872</c:v>
                </c:pt>
                <c:pt idx="52">
                  <c:v>41871</c:v>
                </c:pt>
                <c:pt idx="53">
                  <c:v>41870</c:v>
                </c:pt>
                <c:pt idx="54">
                  <c:v>41869</c:v>
                </c:pt>
                <c:pt idx="55">
                  <c:v>41866</c:v>
                </c:pt>
                <c:pt idx="56">
                  <c:v>41865</c:v>
                </c:pt>
                <c:pt idx="57">
                  <c:v>41864</c:v>
                </c:pt>
                <c:pt idx="58">
                  <c:v>41863</c:v>
                </c:pt>
                <c:pt idx="59">
                  <c:v>41862</c:v>
                </c:pt>
                <c:pt idx="60">
                  <c:v>41859</c:v>
                </c:pt>
                <c:pt idx="61">
                  <c:v>41858</c:v>
                </c:pt>
                <c:pt idx="62">
                  <c:v>41857</c:v>
                </c:pt>
                <c:pt idx="63">
                  <c:v>41856</c:v>
                </c:pt>
                <c:pt idx="64">
                  <c:v>41855</c:v>
                </c:pt>
                <c:pt idx="65">
                  <c:v>41852</c:v>
                </c:pt>
                <c:pt idx="66">
                  <c:v>41851</c:v>
                </c:pt>
                <c:pt idx="67">
                  <c:v>41850</c:v>
                </c:pt>
                <c:pt idx="68">
                  <c:v>41849</c:v>
                </c:pt>
                <c:pt idx="69">
                  <c:v>41848</c:v>
                </c:pt>
                <c:pt idx="70">
                  <c:v>41845</c:v>
                </c:pt>
                <c:pt idx="71">
                  <c:v>41844</c:v>
                </c:pt>
                <c:pt idx="72">
                  <c:v>41843</c:v>
                </c:pt>
                <c:pt idx="73">
                  <c:v>41842</c:v>
                </c:pt>
                <c:pt idx="74">
                  <c:v>41841</c:v>
                </c:pt>
                <c:pt idx="75">
                  <c:v>41838</c:v>
                </c:pt>
                <c:pt idx="76">
                  <c:v>41837</c:v>
                </c:pt>
                <c:pt idx="77">
                  <c:v>41836</c:v>
                </c:pt>
                <c:pt idx="78">
                  <c:v>41835</c:v>
                </c:pt>
                <c:pt idx="79">
                  <c:v>41834</c:v>
                </c:pt>
                <c:pt idx="80">
                  <c:v>41831</c:v>
                </c:pt>
                <c:pt idx="81">
                  <c:v>41830</c:v>
                </c:pt>
                <c:pt idx="82">
                  <c:v>41829</c:v>
                </c:pt>
                <c:pt idx="83">
                  <c:v>41828</c:v>
                </c:pt>
                <c:pt idx="84">
                  <c:v>41827</c:v>
                </c:pt>
                <c:pt idx="85">
                  <c:v>41824</c:v>
                </c:pt>
                <c:pt idx="86">
                  <c:v>41823</c:v>
                </c:pt>
                <c:pt idx="87">
                  <c:v>41822</c:v>
                </c:pt>
                <c:pt idx="88">
                  <c:v>41821</c:v>
                </c:pt>
                <c:pt idx="89">
                  <c:v>41820</c:v>
                </c:pt>
                <c:pt idx="90">
                  <c:v>41817</c:v>
                </c:pt>
                <c:pt idx="91">
                  <c:v>41816</c:v>
                </c:pt>
                <c:pt idx="92">
                  <c:v>41815</c:v>
                </c:pt>
                <c:pt idx="93">
                  <c:v>41814</c:v>
                </c:pt>
                <c:pt idx="94">
                  <c:v>41813</c:v>
                </c:pt>
                <c:pt idx="95">
                  <c:v>41810</c:v>
                </c:pt>
                <c:pt idx="96">
                  <c:v>41809</c:v>
                </c:pt>
                <c:pt idx="97">
                  <c:v>41808</c:v>
                </c:pt>
                <c:pt idx="98">
                  <c:v>41807</c:v>
                </c:pt>
                <c:pt idx="99">
                  <c:v>41806</c:v>
                </c:pt>
                <c:pt idx="100">
                  <c:v>41803</c:v>
                </c:pt>
                <c:pt idx="101">
                  <c:v>41802</c:v>
                </c:pt>
                <c:pt idx="102">
                  <c:v>41801</c:v>
                </c:pt>
                <c:pt idx="103">
                  <c:v>41800</c:v>
                </c:pt>
                <c:pt idx="104">
                  <c:v>41799</c:v>
                </c:pt>
                <c:pt idx="105">
                  <c:v>41796</c:v>
                </c:pt>
                <c:pt idx="106">
                  <c:v>41795</c:v>
                </c:pt>
                <c:pt idx="107">
                  <c:v>41794</c:v>
                </c:pt>
                <c:pt idx="108">
                  <c:v>41793</c:v>
                </c:pt>
                <c:pt idx="109">
                  <c:v>41792</c:v>
                </c:pt>
                <c:pt idx="110">
                  <c:v>41789</c:v>
                </c:pt>
                <c:pt idx="111">
                  <c:v>41788</c:v>
                </c:pt>
                <c:pt idx="112">
                  <c:v>41787</c:v>
                </c:pt>
                <c:pt idx="113">
                  <c:v>41786</c:v>
                </c:pt>
                <c:pt idx="114">
                  <c:v>41785</c:v>
                </c:pt>
                <c:pt idx="115">
                  <c:v>41782</c:v>
                </c:pt>
                <c:pt idx="116">
                  <c:v>41781</c:v>
                </c:pt>
                <c:pt idx="117">
                  <c:v>41780</c:v>
                </c:pt>
                <c:pt idx="118">
                  <c:v>41779</c:v>
                </c:pt>
                <c:pt idx="119">
                  <c:v>41778</c:v>
                </c:pt>
                <c:pt idx="120">
                  <c:v>41775</c:v>
                </c:pt>
                <c:pt idx="121">
                  <c:v>41774</c:v>
                </c:pt>
                <c:pt idx="122">
                  <c:v>41773</c:v>
                </c:pt>
                <c:pt idx="123">
                  <c:v>41772</c:v>
                </c:pt>
                <c:pt idx="124">
                  <c:v>41771</c:v>
                </c:pt>
                <c:pt idx="125">
                  <c:v>41768</c:v>
                </c:pt>
                <c:pt idx="126">
                  <c:v>41767</c:v>
                </c:pt>
                <c:pt idx="127">
                  <c:v>41766</c:v>
                </c:pt>
                <c:pt idx="128">
                  <c:v>41765</c:v>
                </c:pt>
                <c:pt idx="129">
                  <c:v>41764</c:v>
                </c:pt>
                <c:pt idx="130">
                  <c:v>41761</c:v>
                </c:pt>
                <c:pt idx="131">
                  <c:v>41760</c:v>
                </c:pt>
                <c:pt idx="132">
                  <c:v>41759</c:v>
                </c:pt>
                <c:pt idx="133">
                  <c:v>41758</c:v>
                </c:pt>
                <c:pt idx="134">
                  <c:v>41757</c:v>
                </c:pt>
                <c:pt idx="135">
                  <c:v>41754</c:v>
                </c:pt>
                <c:pt idx="136">
                  <c:v>41753</c:v>
                </c:pt>
                <c:pt idx="137">
                  <c:v>41752</c:v>
                </c:pt>
                <c:pt idx="138">
                  <c:v>41751</c:v>
                </c:pt>
                <c:pt idx="139">
                  <c:v>41750</c:v>
                </c:pt>
                <c:pt idx="140">
                  <c:v>41747</c:v>
                </c:pt>
                <c:pt idx="141">
                  <c:v>41746</c:v>
                </c:pt>
                <c:pt idx="142">
                  <c:v>41745</c:v>
                </c:pt>
                <c:pt idx="143">
                  <c:v>41744</c:v>
                </c:pt>
                <c:pt idx="144">
                  <c:v>41743</c:v>
                </c:pt>
                <c:pt idx="145">
                  <c:v>41740</c:v>
                </c:pt>
                <c:pt idx="146">
                  <c:v>41739</c:v>
                </c:pt>
                <c:pt idx="147">
                  <c:v>41738</c:v>
                </c:pt>
                <c:pt idx="148">
                  <c:v>41737</c:v>
                </c:pt>
                <c:pt idx="149">
                  <c:v>41736</c:v>
                </c:pt>
                <c:pt idx="150">
                  <c:v>41733</c:v>
                </c:pt>
                <c:pt idx="151">
                  <c:v>41732</c:v>
                </c:pt>
                <c:pt idx="152">
                  <c:v>41731</c:v>
                </c:pt>
                <c:pt idx="153">
                  <c:v>41730</c:v>
                </c:pt>
                <c:pt idx="154">
                  <c:v>41729</c:v>
                </c:pt>
                <c:pt idx="155">
                  <c:v>41726</c:v>
                </c:pt>
                <c:pt idx="156">
                  <c:v>41725</c:v>
                </c:pt>
                <c:pt idx="157">
                  <c:v>41724</c:v>
                </c:pt>
                <c:pt idx="158">
                  <c:v>41723</c:v>
                </c:pt>
                <c:pt idx="159">
                  <c:v>41722</c:v>
                </c:pt>
                <c:pt idx="160">
                  <c:v>41719</c:v>
                </c:pt>
                <c:pt idx="161">
                  <c:v>41718</c:v>
                </c:pt>
                <c:pt idx="162">
                  <c:v>41717</c:v>
                </c:pt>
                <c:pt idx="163">
                  <c:v>41716</c:v>
                </c:pt>
                <c:pt idx="164">
                  <c:v>41715</c:v>
                </c:pt>
                <c:pt idx="165">
                  <c:v>41712</c:v>
                </c:pt>
                <c:pt idx="166">
                  <c:v>41711</c:v>
                </c:pt>
                <c:pt idx="167">
                  <c:v>41710</c:v>
                </c:pt>
                <c:pt idx="168">
                  <c:v>41709</c:v>
                </c:pt>
                <c:pt idx="169">
                  <c:v>41708</c:v>
                </c:pt>
                <c:pt idx="170">
                  <c:v>41705</c:v>
                </c:pt>
                <c:pt idx="171">
                  <c:v>41704</c:v>
                </c:pt>
                <c:pt idx="172">
                  <c:v>41703</c:v>
                </c:pt>
                <c:pt idx="173">
                  <c:v>41702</c:v>
                </c:pt>
                <c:pt idx="174">
                  <c:v>41701</c:v>
                </c:pt>
                <c:pt idx="175">
                  <c:v>41698</c:v>
                </c:pt>
                <c:pt idx="176">
                  <c:v>41697</c:v>
                </c:pt>
                <c:pt idx="177">
                  <c:v>41696</c:v>
                </c:pt>
                <c:pt idx="178">
                  <c:v>41695</c:v>
                </c:pt>
                <c:pt idx="179">
                  <c:v>41694</c:v>
                </c:pt>
                <c:pt idx="180">
                  <c:v>41691</c:v>
                </c:pt>
                <c:pt idx="181">
                  <c:v>41690</c:v>
                </c:pt>
                <c:pt idx="182">
                  <c:v>41689</c:v>
                </c:pt>
                <c:pt idx="183">
                  <c:v>41688</c:v>
                </c:pt>
                <c:pt idx="184">
                  <c:v>41687</c:v>
                </c:pt>
                <c:pt idx="185">
                  <c:v>41684</c:v>
                </c:pt>
                <c:pt idx="186">
                  <c:v>41683</c:v>
                </c:pt>
                <c:pt idx="187">
                  <c:v>41682</c:v>
                </c:pt>
                <c:pt idx="188">
                  <c:v>41681</c:v>
                </c:pt>
                <c:pt idx="189">
                  <c:v>41680</c:v>
                </c:pt>
                <c:pt idx="190">
                  <c:v>41677</c:v>
                </c:pt>
                <c:pt idx="191">
                  <c:v>41676</c:v>
                </c:pt>
                <c:pt idx="192">
                  <c:v>41675</c:v>
                </c:pt>
                <c:pt idx="193">
                  <c:v>41674</c:v>
                </c:pt>
                <c:pt idx="194">
                  <c:v>41673</c:v>
                </c:pt>
                <c:pt idx="195">
                  <c:v>41670</c:v>
                </c:pt>
                <c:pt idx="196">
                  <c:v>41669</c:v>
                </c:pt>
                <c:pt idx="197">
                  <c:v>41668</c:v>
                </c:pt>
                <c:pt idx="198">
                  <c:v>41667</c:v>
                </c:pt>
                <c:pt idx="199">
                  <c:v>41666</c:v>
                </c:pt>
                <c:pt idx="200">
                  <c:v>41663</c:v>
                </c:pt>
                <c:pt idx="201">
                  <c:v>41662</c:v>
                </c:pt>
                <c:pt idx="202">
                  <c:v>41661</c:v>
                </c:pt>
                <c:pt idx="203">
                  <c:v>41660</c:v>
                </c:pt>
                <c:pt idx="204">
                  <c:v>41659</c:v>
                </c:pt>
                <c:pt idx="205">
                  <c:v>41656</c:v>
                </c:pt>
                <c:pt idx="206">
                  <c:v>41655</c:v>
                </c:pt>
                <c:pt idx="207">
                  <c:v>41654</c:v>
                </c:pt>
                <c:pt idx="208">
                  <c:v>41653</c:v>
                </c:pt>
                <c:pt idx="209">
                  <c:v>41652</c:v>
                </c:pt>
                <c:pt idx="210">
                  <c:v>41649</c:v>
                </c:pt>
                <c:pt idx="211">
                  <c:v>41648</c:v>
                </c:pt>
                <c:pt idx="212">
                  <c:v>41647</c:v>
                </c:pt>
                <c:pt idx="213">
                  <c:v>41646</c:v>
                </c:pt>
                <c:pt idx="214">
                  <c:v>41645</c:v>
                </c:pt>
                <c:pt idx="215">
                  <c:v>41642</c:v>
                </c:pt>
                <c:pt idx="216">
                  <c:v>41641</c:v>
                </c:pt>
                <c:pt idx="217">
                  <c:v>41640</c:v>
                </c:pt>
                <c:pt idx="218">
                  <c:v>41639</c:v>
                </c:pt>
                <c:pt idx="219">
                  <c:v>41638</c:v>
                </c:pt>
                <c:pt idx="220">
                  <c:v>41635</c:v>
                </c:pt>
                <c:pt idx="221">
                  <c:v>41634</c:v>
                </c:pt>
                <c:pt idx="222">
                  <c:v>41633</c:v>
                </c:pt>
                <c:pt idx="223">
                  <c:v>41632</c:v>
                </c:pt>
                <c:pt idx="224">
                  <c:v>41631</c:v>
                </c:pt>
                <c:pt idx="225">
                  <c:v>41628</c:v>
                </c:pt>
                <c:pt idx="226">
                  <c:v>41627</c:v>
                </c:pt>
                <c:pt idx="227">
                  <c:v>41626</c:v>
                </c:pt>
                <c:pt idx="228">
                  <c:v>41625</c:v>
                </c:pt>
                <c:pt idx="229">
                  <c:v>41624</c:v>
                </c:pt>
                <c:pt idx="230">
                  <c:v>41621</c:v>
                </c:pt>
                <c:pt idx="231">
                  <c:v>41620</c:v>
                </c:pt>
                <c:pt idx="232">
                  <c:v>41619</c:v>
                </c:pt>
                <c:pt idx="233">
                  <c:v>41618</c:v>
                </c:pt>
                <c:pt idx="234">
                  <c:v>41617</c:v>
                </c:pt>
                <c:pt idx="235">
                  <c:v>41614</c:v>
                </c:pt>
                <c:pt idx="236">
                  <c:v>41613</c:v>
                </c:pt>
                <c:pt idx="237">
                  <c:v>41612</c:v>
                </c:pt>
                <c:pt idx="238">
                  <c:v>41611</c:v>
                </c:pt>
                <c:pt idx="239">
                  <c:v>41610</c:v>
                </c:pt>
                <c:pt idx="240">
                  <c:v>41607</c:v>
                </c:pt>
                <c:pt idx="241">
                  <c:v>41606</c:v>
                </c:pt>
                <c:pt idx="242">
                  <c:v>41605</c:v>
                </c:pt>
                <c:pt idx="243">
                  <c:v>41604</c:v>
                </c:pt>
                <c:pt idx="244">
                  <c:v>41603</c:v>
                </c:pt>
                <c:pt idx="245">
                  <c:v>41600</c:v>
                </c:pt>
                <c:pt idx="246">
                  <c:v>41599</c:v>
                </c:pt>
                <c:pt idx="247">
                  <c:v>41598</c:v>
                </c:pt>
                <c:pt idx="248">
                  <c:v>41597</c:v>
                </c:pt>
                <c:pt idx="249">
                  <c:v>41596</c:v>
                </c:pt>
                <c:pt idx="250">
                  <c:v>41593</c:v>
                </c:pt>
                <c:pt idx="251">
                  <c:v>41592</c:v>
                </c:pt>
                <c:pt idx="252">
                  <c:v>41591</c:v>
                </c:pt>
                <c:pt idx="253">
                  <c:v>41590</c:v>
                </c:pt>
                <c:pt idx="254">
                  <c:v>41589</c:v>
                </c:pt>
                <c:pt idx="255">
                  <c:v>41586</c:v>
                </c:pt>
                <c:pt idx="256">
                  <c:v>41585</c:v>
                </c:pt>
                <c:pt idx="257">
                  <c:v>41584</c:v>
                </c:pt>
                <c:pt idx="258">
                  <c:v>41583</c:v>
                </c:pt>
                <c:pt idx="259">
                  <c:v>41582</c:v>
                </c:pt>
                <c:pt idx="260">
                  <c:v>41579</c:v>
                </c:pt>
                <c:pt idx="261">
                  <c:v>41578</c:v>
                </c:pt>
                <c:pt idx="262">
                  <c:v>41577</c:v>
                </c:pt>
                <c:pt idx="263">
                  <c:v>41576</c:v>
                </c:pt>
                <c:pt idx="264">
                  <c:v>41575</c:v>
                </c:pt>
                <c:pt idx="265">
                  <c:v>41572</c:v>
                </c:pt>
                <c:pt idx="266">
                  <c:v>41571</c:v>
                </c:pt>
                <c:pt idx="267">
                  <c:v>41570</c:v>
                </c:pt>
                <c:pt idx="268">
                  <c:v>41569</c:v>
                </c:pt>
                <c:pt idx="269">
                  <c:v>41568</c:v>
                </c:pt>
                <c:pt idx="270">
                  <c:v>41565</c:v>
                </c:pt>
                <c:pt idx="271">
                  <c:v>41564</c:v>
                </c:pt>
                <c:pt idx="272">
                  <c:v>41563</c:v>
                </c:pt>
                <c:pt idx="273">
                  <c:v>41562</c:v>
                </c:pt>
                <c:pt idx="274">
                  <c:v>41561</c:v>
                </c:pt>
                <c:pt idx="275">
                  <c:v>41558</c:v>
                </c:pt>
                <c:pt idx="276">
                  <c:v>41557</c:v>
                </c:pt>
                <c:pt idx="277">
                  <c:v>41556</c:v>
                </c:pt>
                <c:pt idx="278">
                  <c:v>41555</c:v>
                </c:pt>
                <c:pt idx="279">
                  <c:v>41554</c:v>
                </c:pt>
                <c:pt idx="280">
                  <c:v>41551</c:v>
                </c:pt>
                <c:pt idx="281">
                  <c:v>41550</c:v>
                </c:pt>
                <c:pt idx="282">
                  <c:v>41549</c:v>
                </c:pt>
                <c:pt idx="283">
                  <c:v>41548</c:v>
                </c:pt>
                <c:pt idx="284">
                  <c:v>41547</c:v>
                </c:pt>
                <c:pt idx="285">
                  <c:v>41544</c:v>
                </c:pt>
                <c:pt idx="286">
                  <c:v>41543</c:v>
                </c:pt>
                <c:pt idx="287">
                  <c:v>41542</c:v>
                </c:pt>
                <c:pt idx="288">
                  <c:v>41541</c:v>
                </c:pt>
                <c:pt idx="289">
                  <c:v>41540</c:v>
                </c:pt>
                <c:pt idx="290">
                  <c:v>41537</c:v>
                </c:pt>
                <c:pt idx="291">
                  <c:v>41536</c:v>
                </c:pt>
                <c:pt idx="292">
                  <c:v>41535</c:v>
                </c:pt>
                <c:pt idx="293">
                  <c:v>41534</c:v>
                </c:pt>
                <c:pt idx="294">
                  <c:v>41533</c:v>
                </c:pt>
                <c:pt idx="295">
                  <c:v>41530</c:v>
                </c:pt>
                <c:pt idx="296">
                  <c:v>41529</c:v>
                </c:pt>
                <c:pt idx="297">
                  <c:v>41528</c:v>
                </c:pt>
                <c:pt idx="298">
                  <c:v>41527</c:v>
                </c:pt>
                <c:pt idx="299">
                  <c:v>41526</c:v>
                </c:pt>
                <c:pt idx="300">
                  <c:v>41523</c:v>
                </c:pt>
                <c:pt idx="301">
                  <c:v>41522</c:v>
                </c:pt>
                <c:pt idx="302">
                  <c:v>41521</c:v>
                </c:pt>
                <c:pt idx="303">
                  <c:v>41520</c:v>
                </c:pt>
                <c:pt idx="304">
                  <c:v>41519</c:v>
                </c:pt>
                <c:pt idx="305">
                  <c:v>41516</c:v>
                </c:pt>
                <c:pt idx="306">
                  <c:v>41515</c:v>
                </c:pt>
                <c:pt idx="307">
                  <c:v>41514</c:v>
                </c:pt>
                <c:pt idx="308">
                  <c:v>41513</c:v>
                </c:pt>
                <c:pt idx="309">
                  <c:v>41512</c:v>
                </c:pt>
                <c:pt idx="310">
                  <c:v>41509</c:v>
                </c:pt>
                <c:pt idx="311">
                  <c:v>41508</c:v>
                </c:pt>
                <c:pt idx="312">
                  <c:v>41507</c:v>
                </c:pt>
                <c:pt idx="313">
                  <c:v>41506</c:v>
                </c:pt>
                <c:pt idx="314">
                  <c:v>41505</c:v>
                </c:pt>
                <c:pt idx="315">
                  <c:v>41502</c:v>
                </c:pt>
                <c:pt idx="316">
                  <c:v>41501</c:v>
                </c:pt>
                <c:pt idx="317">
                  <c:v>41500</c:v>
                </c:pt>
                <c:pt idx="318">
                  <c:v>41499</c:v>
                </c:pt>
                <c:pt idx="319">
                  <c:v>41498</c:v>
                </c:pt>
                <c:pt idx="320">
                  <c:v>41495</c:v>
                </c:pt>
                <c:pt idx="321">
                  <c:v>41494</c:v>
                </c:pt>
                <c:pt idx="322">
                  <c:v>41493</c:v>
                </c:pt>
                <c:pt idx="323">
                  <c:v>41492</c:v>
                </c:pt>
                <c:pt idx="324">
                  <c:v>41491</c:v>
                </c:pt>
                <c:pt idx="325">
                  <c:v>41488</c:v>
                </c:pt>
                <c:pt idx="326">
                  <c:v>41487</c:v>
                </c:pt>
                <c:pt idx="327">
                  <c:v>41486</c:v>
                </c:pt>
                <c:pt idx="328">
                  <c:v>41485</c:v>
                </c:pt>
                <c:pt idx="329">
                  <c:v>41484</c:v>
                </c:pt>
                <c:pt idx="330">
                  <c:v>41481</c:v>
                </c:pt>
                <c:pt idx="331">
                  <c:v>41480</c:v>
                </c:pt>
                <c:pt idx="332">
                  <c:v>41479</c:v>
                </c:pt>
                <c:pt idx="333">
                  <c:v>41478</c:v>
                </c:pt>
                <c:pt idx="334">
                  <c:v>41477</c:v>
                </c:pt>
                <c:pt idx="335">
                  <c:v>41474</c:v>
                </c:pt>
                <c:pt idx="336">
                  <c:v>41473</c:v>
                </c:pt>
                <c:pt idx="337">
                  <c:v>41472</c:v>
                </c:pt>
                <c:pt idx="338">
                  <c:v>41471</c:v>
                </c:pt>
                <c:pt idx="339">
                  <c:v>41470</c:v>
                </c:pt>
                <c:pt idx="340">
                  <c:v>41467</c:v>
                </c:pt>
                <c:pt idx="341">
                  <c:v>41466</c:v>
                </c:pt>
                <c:pt idx="342">
                  <c:v>41465</c:v>
                </c:pt>
                <c:pt idx="343">
                  <c:v>41464</c:v>
                </c:pt>
                <c:pt idx="344">
                  <c:v>41463</c:v>
                </c:pt>
                <c:pt idx="345">
                  <c:v>41460</c:v>
                </c:pt>
                <c:pt idx="346">
                  <c:v>41459</c:v>
                </c:pt>
                <c:pt idx="347">
                  <c:v>41458</c:v>
                </c:pt>
                <c:pt idx="348">
                  <c:v>41457</c:v>
                </c:pt>
                <c:pt idx="349">
                  <c:v>41456</c:v>
                </c:pt>
                <c:pt idx="350">
                  <c:v>41453</c:v>
                </c:pt>
                <c:pt idx="351">
                  <c:v>41452</c:v>
                </c:pt>
                <c:pt idx="352">
                  <c:v>41451</c:v>
                </c:pt>
                <c:pt idx="353">
                  <c:v>41450</c:v>
                </c:pt>
                <c:pt idx="354">
                  <c:v>41449</c:v>
                </c:pt>
                <c:pt idx="355">
                  <c:v>41446</c:v>
                </c:pt>
                <c:pt idx="356">
                  <c:v>41445</c:v>
                </c:pt>
                <c:pt idx="357">
                  <c:v>41444</c:v>
                </c:pt>
                <c:pt idx="358">
                  <c:v>41443</c:v>
                </c:pt>
                <c:pt idx="359">
                  <c:v>41442</c:v>
                </c:pt>
                <c:pt idx="360">
                  <c:v>41439</c:v>
                </c:pt>
                <c:pt idx="361">
                  <c:v>41438</c:v>
                </c:pt>
                <c:pt idx="362">
                  <c:v>41437</c:v>
                </c:pt>
                <c:pt idx="363">
                  <c:v>41436</c:v>
                </c:pt>
                <c:pt idx="364">
                  <c:v>41435</c:v>
                </c:pt>
                <c:pt idx="365">
                  <c:v>41432</c:v>
                </c:pt>
                <c:pt idx="366">
                  <c:v>41431</c:v>
                </c:pt>
                <c:pt idx="367">
                  <c:v>41430</c:v>
                </c:pt>
                <c:pt idx="368">
                  <c:v>41429</c:v>
                </c:pt>
                <c:pt idx="369">
                  <c:v>41428</c:v>
                </c:pt>
                <c:pt idx="370">
                  <c:v>41425</c:v>
                </c:pt>
                <c:pt idx="371">
                  <c:v>41424</c:v>
                </c:pt>
                <c:pt idx="372">
                  <c:v>41423</c:v>
                </c:pt>
                <c:pt idx="373">
                  <c:v>41422</c:v>
                </c:pt>
                <c:pt idx="374">
                  <c:v>41421</c:v>
                </c:pt>
                <c:pt idx="375">
                  <c:v>41418</c:v>
                </c:pt>
                <c:pt idx="376">
                  <c:v>41417</c:v>
                </c:pt>
                <c:pt idx="377">
                  <c:v>41416</c:v>
                </c:pt>
                <c:pt idx="378">
                  <c:v>41415</c:v>
                </c:pt>
                <c:pt idx="379">
                  <c:v>41414</c:v>
                </c:pt>
                <c:pt idx="380">
                  <c:v>41411</c:v>
                </c:pt>
                <c:pt idx="381">
                  <c:v>41410</c:v>
                </c:pt>
                <c:pt idx="382">
                  <c:v>41409</c:v>
                </c:pt>
                <c:pt idx="383">
                  <c:v>41408</c:v>
                </c:pt>
                <c:pt idx="384">
                  <c:v>41407</c:v>
                </c:pt>
                <c:pt idx="385">
                  <c:v>41404</c:v>
                </c:pt>
                <c:pt idx="386">
                  <c:v>41403</c:v>
                </c:pt>
                <c:pt idx="387">
                  <c:v>41402</c:v>
                </c:pt>
                <c:pt idx="388">
                  <c:v>41401</c:v>
                </c:pt>
                <c:pt idx="389">
                  <c:v>41400</c:v>
                </c:pt>
                <c:pt idx="390">
                  <c:v>41397</c:v>
                </c:pt>
                <c:pt idx="391">
                  <c:v>41396</c:v>
                </c:pt>
                <c:pt idx="392">
                  <c:v>41395</c:v>
                </c:pt>
                <c:pt idx="393">
                  <c:v>41394</c:v>
                </c:pt>
                <c:pt idx="394">
                  <c:v>41393</c:v>
                </c:pt>
                <c:pt idx="395">
                  <c:v>41390</c:v>
                </c:pt>
                <c:pt idx="396">
                  <c:v>41389</c:v>
                </c:pt>
                <c:pt idx="397">
                  <c:v>41388</c:v>
                </c:pt>
                <c:pt idx="398">
                  <c:v>41387</c:v>
                </c:pt>
                <c:pt idx="399">
                  <c:v>41386</c:v>
                </c:pt>
                <c:pt idx="400">
                  <c:v>41383</c:v>
                </c:pt>
                <c:pt idx="401">
                  <c:v>41382</c:v>
                </c:pt>
                <c:pt idx="402">
                  <c:v>41381</c:v>
                </c:pt>
                <c:pt idx="403">
                  <c:v>41380</c:v>
                </c:pt>
                <c:pt idx="404">
                  <c:v>41379</c:v>
                </c:pt>
                <c:pt idx="405">
                  <c:v>41376</c:v>
                </c:pt>
                <c:pt idx="406">
                  <c:v>41375</c:v>
                </c:pt>
                <c:pt idx="407">
                  <c:v>41374</c:v>
                </c:pt>
                <c:pt idx="408">
                  <c:v>41373</c:v>
                </c:pt>
                <c:pt idx="409">
                  <c:v>41372</c:v>
                </c:pt>
                <c:pt idx="410">
                  <c:v>41369</c:v>
                </c:pt>
                <c:pt idx="411">
                  <c:v>41368</c:v>
                </c:pt>
                <c:pt idx="412">
                  <c:v>41367</c:v>
                </c:pt>
                <c:pt idx="413">
                  <c:v>41366</c:v>
                </c:pt>
                <c:pt idx="414">
                  <c:v>41365</c:v>
                </c:pt>
                <c:pt idx="415">
                  <c:v>41362</c:v>
                </c:pt>
                <c:pt idx="416">
                  <c:v>41361</c:v>
                </c:pt>
                <c:pt idx="417">
                  <c:v>41360</c:v>
                </c:pt>
                <c:pt idx="418">
                  <c:v>41359</c:v>
                </c:pt>
                <c:pt idx="419">
                  <c:v>41358</c:v>
                </c:pt>
                <c:pt idx="420">
                  <c:v>41355</c:v>
                </c:pt>
                <c:pt idx="421">
                  <c:v>41354</c:v>
                </c:pt>
                <c:pt idx="422">
                  <c:v>41353</c:v>
                </c:pt>
                <c:pt idx="423">
                  <c:v>41352</c:v>
                </c:pt>
                <c:pt idx="424">
                  <c:v>41351</c:v>
                </c:pt>
                <c:pt idx="425">
                  <c:v>41348</c:v>
                </c:pt>
                <c:pt idx="426">
                  <c:v>41347</c:v>
                </c:pt>
                <c:pt idx="427">
                  <c:v>41346</c:v>
                </c:pt>
                <c:pt idx="428">
                  <c:v>41345</c:v>
                </c:pt>
                <c:pt idx="429">
                  <c:v>41344</c:v>
                </c:pt>
                <c:pt idx="430">
                  <c:v>41341</c:v>
                </c:pt>
                <c:pt idx="431">
                  <c:v>41340</c:v>
                </c:pt>
                <c:pt idx="432">
                  <c:v>41339</c:v>
                </c:pt>
                <c:pt idx="433">
                  <c:v>41338</c:v>
                </c:pt>
                <c:pt idx="434">
                  <c:v>41337</c:v>
                </c:pt>
                <c:pt idx="435">
                  <c:v>41334</c:v>
                </c:pt>
                <c:pt idx="436">
                  <c:v>41333</c:v>
                </c:pt>
                <c:pt idx="437">
                  <c:v>41332</c:v>
                </c:pt>
                <c:pt idx="438">
                  <c:v>41331</c:v>
                </c:pt>
                <c:pt idx="439">
                  <c:v>41330</c:v>
                </c:pt>
                <c:pt idx="440">
                  <c:v>41327</c:v>
                </c:pt>
                <c:pt idx="441">
                  <c:v>41326</c:v>
                </c:pt>
                <c:pt idx="442">
                  <c:v>41325</c:v>
                </c:pt>
                <c:pt idx="443">
                  <c:v>41324</c:v>
                </c:pt>
                <c:pt idx="444">
                  <c:v>41323</c:v>
                </c:pt>
                <c:pt idx="445">
                  <c:v>41320</c:v>
                </c:pt>
                <c:pt idx="446">
                  <c:v>41319</c:v>
                </c:pt>
                <c:pt idx="447">
                  <c:v>41318</c:v>
                </c:pt>
                <c:pt idx="448">
                  <c:v>41317</c:v>
                </c:pt>
                <c:pt idx="449">
                  <c:v>41316</c:v>
                </c:pt>
                <c:pt idx="450">
                  <c:v>41313</c:v>
                </c:pt>
                <c:pt idx="451">
                  <c:v>41312</c:v>
                </c:pt>
                <c:pt idx="452">
                  <c:v>41311</c:v>
                </c:pt>
                <c:pt idx="453">
                  <c:v>41310</c:v>
                </c:pt>
                <c:pt idx="454">
                  <c:v>41309</c:v>
                </c:pt>
                <c:pt idx="455">
                  <c:v>41306</c:v>
                </c:pt>
                <c:pt idx="456">
                  <c:v>41305</c:v>
                </c:pt>
                <c:pt idx="457">
                  <c:v>41304</c:v>
                </c:pt>
                <c:pt idx="458">
                  <c:v>41303</c:v>
                </c:pt>
                <c:pt idx="459">
                  <c:v>41302</c:v>
                </c:pt>
                <c:pt idx="460">
                  <c:v>41299</c:v>
                </c:pt>
                <c:pt idx="461">
                  <c:v>41298</c:v>
                </c:pt>
                <c:pt idx="462">
                  <c:v>41297</c:v>
                </c:pt>
                <c:pt idx="463">
                  <c:v>41296</c:v>
                </c:pt>
                <c:pt idx="464">
                  <c:v>41295</c:v>
                </c:pt>
                <c:pt idx="465">
                  <c:v>41292</c:v>
                </c:pt>
                <c:pt idx="466">
                  <c:v>41291</c:v>
                </c:pt>
                <c:pt idx="467">
                  <c:v>41290</c:v>
                </c:pt>
                <c:pt idx="468">
                  <c:v>41289</c:v>
                </c:pt>
                <c:pt idx="469">
                  <c:v>41288</c:v>
                </c:pt>
                <c:pt idx="470">
                  <c:v>41285</c:v>
                </c:pt>
                <c:pt idx="471">
                  <c:v>41284</c:v>
                </c:pt>
                <c:pt idx="472">
                  <c:v>41283</c:v>
                </c:pt>
                <c:pt idx="473">
                  <c:v>41282</c:v>
                </c:pt>
                <c:pt idx="474">
                  <c:v>41281</c:v>
                </c:pt>
                <c:pt idx="475">
                  <c:v>41278</c:v>
                </c:pt>
                <c:pt idx="476">
                  <c:v>41277</c:v>
                </c:pt>
                <c:pt idx="477">
                  <c:v>41276</c:v>
                </c:pt>
                <c:pt idx="478">
                  <c:v>41275</c:v>
                </c:pt>
                <c:pt idx="479">
                  <c:v>41274</c:v>
                </c:pt>
                <c:pt idx="480">
                  <c:v>41271</c:v>
                </c:pt>
                <c:pt idx="481">
                  <c:v>41270</c:v>
                </c:pt>
                <c:pt idx="482">
                  <c:v>41269</c:v>
                </c:pt>
                <c:pt idx="483">
                  <c:v>41268</c:v>
                </c:pt>
                <c:pt idx="484">
                  <c:v>41267</c:v>
                </c:pt>
                <c:pt idx="485">
                  <c:v>41264</c:v>
                </c:pt>
                <c:pt idx="486">
                  <c:v>41263</c:v>
                </c:pt>
                <c:pt idx="487">
                  <c:v>41262</c:v>
                </c:pt>
                <c:pt idx="488">
                  <c:v>41261</c:v>
                </c:pt>
                <c:pt idx="489">
                  <c:v>41260</c:v>
                </c:pt>
                <c:pt idx="490">
                  <c:v>41257</c:v>
                </c:pt>
                <c:pt idx="491">
                  <c:v>41256</c:v>
                </c:pt>
                <c:pt idx="492">
                  <c:v>41255</c:v>
                </c:pt>
                <c:pt idx="493">
                  <c:v>41254</c:v>
                </c:pt>
                <c:pt idx="494">
                  <c:v>41253</c:v>
                </c:pt>
                <c:pt idx="495">
                  <c:v>41250</c:v>
                </c:pt>
                <c:pt idx="496">
                  <c:v>41249</c:v>
                </c:pt>
                <c:pt idx="497">
                  <c:v>41248</c:v>
                </c:pt>
                <c:pt idx="498">
                  <c:v>41247</c:v>
                </c:pt>
                <c:pt idx="499">
                  <c:v>41246</c:v>
                </c:pt>
                <c:pt idx="500">
                  <c:v>41243</c:v>
                </c:pt>
                <c:pt idx="501">
                  <c:v>41242</c:v>
                </c:pt>
                <c:pt idx="502">
                  <c:v>41241</c:v>
                </c:pt>
                <c:pt idx="503">
                  <c:v>41240</c:v>
                </c:pt>
                <c:pt idx="504">
                  <c:v>41239</c:v>
                </c:pt>
                <c:pt idx="505">
                  <c:v>41236</c:v>
                </c:pt>
                <c:pt idx="506">
                  <c:v>41235</c:v>
                </c:pt>
                <c:pt idx="507">
                  <c:v>41234</c:v>
                </c:pt>
                <c:pt idx="508">
                  <c:v>41233</c:v>
                </c:pt>
                <c:pt idx="509">
                  <c:v>41232</c:v>
                </c:pt>
                <c:pt idx="510">
                  <c:v>41229</c:v>
                </c:pt>
                <c:pt idx="511">
                  <c:v>41228</c:v>
                </c:pt>
                <c:pt idx="512">
                  <c:v>41227</c:v>
                </c:pt>
                <c:pt idx="513">
                  <c:v>41226</c:v>
                </c:pt>
                <c:pt idx="514">
                  <c:v>41225</c:v>
                </c:pt>
                <c:pt idx="515">
                  <c:v>41222</c:v>
                </c:pt>
                <c:pt idx="516">
                  <c:v>41221</c:v>
                </c:pt>
                <c:pt idx="517">
                  <c:v>41220</c:v>
                </c:pt>
                <c:pt idx="518">
                  <c:v>41219</c:v>
                </c:pt>
                <c:pt idx="519">
                  <c:v>41218</c:v>
                </c:pt>
                <c:pt idx="520">
                  <c:v>41215</c:v>
                </c:pt>
                <c:pt idx="521">
                  <c:v>41214</c:v>
                </c:pt>
                <c:pt idx="522">
                  <c:v>41213</c:v>
                </c:pt>
                <c:pt idx="523">
                  <c:v>41212</c:v>
                </c:pt>
                <c:pt idx="524">
                  <c:v>41211</c:v>
                </c:pt>
                <c:pt idx="525">
                  <c:v>41208</c:v>
                </c:pt>
                <c:pt idx="526">
                  <c:v>41207</c:v>
                </c:pt>
                <c:pt idx="527">
                  <c:v>41206</c:v>
                </c:pt>
                <c:pt idx="528">
                  <c:v>41205</c:v>
                </c:pt>
                <c:pt idx="529">
                  <c:v>41204</c:v>
                </c:pt>
                <c:pt idx="530">
                  <c:v>41201</c:v>
                </c:pt>
                <c:pt idx="531">
                  <c:v>41200</c:v>
                </c:pt>
                <c:pt idx="532">
                  <c:v>41199</c:v>
                </c:pt>
                <c:pt idx="533">
                  <c:v>41198</c:v>
                </c:pt>
                <c:pt idx="534">
                  <c:v>41197</c:v>
                </c:pt>
                <c:pt idx="535">
                  <c:v>41194</c:v>
                </c:pt>
                <c:pt idx="536">
                  <c:v>41193</c:v>
                </c:pt>
                <c:pt idx="537">
                  <c:v>41192</c:v>
                </c:pt>
                <c:pt idx="538">
                  <c:v>41191</c:v>
                </c:pt>
                <c:pt idx="539">
                  <c:v>41190</c:v>
                </c:pt>
                <c:pt idx="540">
                  <c:v>41187</c:v>
                </c:pt>
                <c:pt idx="541">
                  <c:v>41186</c:v>
                </c:pt>
                <c:pt idx="542">
                  <c:v>41185</c:v>
                </c:pt>
                <c:pt idx="543">
                  <c:v>41184</c:v>
                </c:pt>
                <c:pt idx="544">
                  <c:v>41183</c:v>
                </c:pt>
                <c:pt idx="545">
                  <c:v>41180</c:v>
                </c:pt>
                <c:pt idx="546">
                  <c:v>41179</c:v>
                </c:pt>
                <c:pt idx="547">
                  <c:v>41178</c:v>
                </c:pt>
                <c:pt idx="548">
                  <c:v>41177</c:v>
                </c:pt>
                <c:pt idx="549">
                  <c:v>41176</c:v>
                </c:pt>
                <c:pt idx="550">
                  <c:v>41173</c:v>
                </c:pt>
                <c:pt idx="551">
                  <c:v>41172</c:v>
                </c:pt>
                <c:pt idx="552">
                  <c:v>41171</c:v>
                </c:pt>
                <c:pt idx="553">
                  <c:v>41170</c:v>
                </c:pt>
                <c:pt idx="554">
                  <c:v>41169</c:v>
                </c:pt>
                <c:pt idx="555">
                  <c:v>41166</c:v>
                </c:pt>
                <c:pt idx="556">
                  <c:v>41165</c:v>
                </c:pt>
                <c:pt idx="557">
                  <c:v>41164</c:v>
                </c:pt>
                <c:pt idx="558">
                  <c:v>41163</c:v>
                </c:pt>
                <c:pt idx="559">
                  <c:v>41162</c:v>
                </c:pt>
                <c:pt idx="560">
                  <c:v>41159</c:v>
                </c:pt>
                <c:pt idx="561">
                  <c:v>41158</c:v>
                </c:pt>
                <c:pt idx="562">
                  <c:v>41157</c:v>
                </c:pt>
                <c:pt idx="563">
                  <c:v>41156</c:v>
                </c:pt>
                <c:pt idx="564">
                  <c:v>41155</c:v>
                </c:pt>
                <c:pt idx="565">
                  <c:v>41152</c:v>
                </c:pt>
                <c:pt idx="566">
                  <c:v>41151</c:v>
                </c:pt>
                <c:pt idx="567">
                  <c:v>41150</c:v>
                </c:pt>
                <c:pt idx="568">
                  <c:v>41149</c:v>
                </c:pt>
                <c:pt idx="569">
                  <c:v>41148</c:v>
                </c:pt>
                <c:pt idx="570">
                  <c:v>41145</c:v>
                </c:pt>
                <c:pt idx="571">
                  <c:v>41144</c:v>
                </c:pt>
                <c:pt idx="572">
                  <c:v>41143</c:v>
                </c:pt>
                <c:pt idx="573">
                  <c:v>41142</c:v>
                </c:pt>
                <c:pt idx="574">
                  <c:v>41141</c:v>
                </c:pt>
                <c:pt idx="575">
                  <c:v>41138</c:v>
                </c:pt>
                <c:pt idx="576">
                  <c:v>41137</c:v>
                </c:pt>
                <c:pt idx="577">
                  <c:v>41136</c:v>
                </c:pt>
                <c:pt idx="578">
                  <c:v>41135</c:v>
                </c:pt>
                <c:pt idx="579">
                  <c:v>41134</c:v>
                </c:pt>
                <c:pt idx="580">
                  <c:v>41131</c:v>
                </c:pt>
                <c:pt idx="581">
                  <c:v>41130</c:v>
                </c:pt>
                <c:pt idx="582">
                  <c:v>41129</c:v>
                </c:pt>
                <c:pt idx="583">
                  <c:v>41128</c:v>
                </c:pt>
                <c:pt idx="584">
                  <c:v>41127</c:v>
                </c:pt>
                <c:pt idx="585">
                  <c:v>41124</c:v>
                </c:pt>
                <c:pt idx="586">
                  <c:v>41123</c:v>
                </c:pt>
                <c:pt idx="587">
                  <c:v>41122</c:v>
                </c:pt>
                <c:pt idx="588">
                  <c:v>41121</c:v>
                </c:pt>
                <c:pt idx="589">
                  <c:v>41120</c:v>
                </c:pt>
                <c:pt idx="590">
                  <c:v>41117</c:v>
                </c:pt>
                <c:pt idx="591">
                  <c:v>41116</c:v>
                </c:pt>
                <c:pt idx="592">
                  <c:v>41115</c:v>
                </c:pt>
                <c:pt idx="593">
                  <c:v>41114</c:v>
                </c:pt>
                <c:pt idx="594">
                  <c:v>41113</c:v>
                </c:pt>
                <c:pt idx="595">
                  <c:v>41110</c:v>
                </c:pt>
                <c:pt idx="596">
                  <c:v>41109</c:v>
                </c:pt>
                <c:pt idx="597">
                  <c:v>41108</c:v>
                </c:pt>
                <c:pt idx="598">
                  <c:v>41107</c:v>
                </c:pt>
                <c:pt idx="599">
                  <c:v>41106</c:v>
                </c:pt>
                <c:pt idx="600">
                  <c:v>41103</c:v>
                </c:pt>
                <c:pt idx="601">
                  <c:v>41102</c:v>
                </c:pt>
                <c:pt idx="602">
                  <c:v>41101</c:v>
                </c:pt>
                <c:pt idx="603">
                  <c:v>41100</c:v>
                </c:pt>
                <c:pt idx="604">
                  <c:v>41099</c:v>
                </c:pt>
                <c:pt idx="605">
                  <c:v>41096</c:v>
                </c:pt>
                <c:pt idx="606">
                  <c:v>41095</c:v>
                </c:pt>
                <c:pt idx="607">
                  <c:v>41094</c:v>
                </c:pt>
                <c:pt idx="608">
                  <c:v>41093</c:v>
                </c:pt>
                <c:pt idx="609">
                  <c:v>41092</c:v>
                </c:pt>
                <c:pt idx="610">
                  <c:v>41089</c:v>
                </c:pt>
                <c:pt idx="611">
                  <c:v>41088</c:v>
                </c:pt>
                <c:pt idx="612">
                  <c:v>41087</c:v>
                </c:pt>
                <c:pt idx="613">
                  <c:v>41086</c:v>
                </c:pt>
                <c:pt idx="614">
                  <c:v>41085</c:v>
                </c:pt>
                <c:pt idx="615">
                  <c:v>41082</c:v>
                </c:pt>
                <c:pt idx="616">
                  <c:v>41081</c:v>
                </c:pt>
                <c:pt idx="617">
                  <c:v>41080</c:v>
                </c:pt>
                <c:pt idx="618">
                  <c:v>41079</c:v>
                </c:pt>
                <c:pt idx="619">
                  <c:v>41078</c:v>
                </c:pt>
                <c:pt idx="620">
                  <c:v>41075</c:v>
                </c:pt>
                <c:pt idx="621">
                  <c:v>41074</c:v>
                </c:pt>
                <c:pt idx="622">
                  <c:v>41073</c:v>
                </c:pt>
                <c:pt idx="623">
                  <c:v>41072</c:v>
                </c:pt>
                <c:pt idx="624">
                  <c:v>41071</c:v>
                </c:pt>
                <c:pt idx="625">
                  <c:v>41068</c:v>
                </c:pt>
                <c:pt idx="626">
                  <c:v>41067</c:v>
                </c:pt>
                <c:pt idx="627">
                  <c:v>41066</c:v>
                </c:pt>
                <c:pt idx="628">
                  <c:v>41065</c:v>
                </c:pt>
                <c:pt idx="629">
                  <c:v>41064</c:v>
                </c:pt>
                <c:pt idx="630">
                  <c:v>41061</c:v>
                </c:pt>
                <c:pt idx="631">
                  <c:v>41060</c:v>
                </c:pt>
                <c:pt idx="632">
                  <c:v>41059</c:v>
                </c:pt>
                <c:pt idx="633">
                  <c:v>41058</c:v>
                </c:pt>
                <c:pt idx="634">
                  <c:v>41057</c:v>
                </c:pt>
                <c:pt idx="635">
                  <c:v>41054</c:v>
                </c:pt>
                <c:pt idx="636">
                  <c:v>41053</c:v>
                </c:pt>
                <c:pt idx="637">
                  <c:v>41052</c:v>
                </c:pt>
                <c:pt idx="638">
                  <c:v>41051</c:v>
                </c:pt>
                <c:pt idx="639">
                  <c:v>41050</c:v>
                </c:pt>
                <c:pt idx="640">
                  <c:v>41047</c:v>
                </c:pt>
                <c:pt idx="641">
                  <c:v>41046</c:v>
                </c:pt>
                <c:pt idx="642">
                  <c:v>41045</c:v>
                </c:pt>
                <c:pt idx="643">
                  <c:v>41044</c:v>
                </c:pt>
                <c:pt idx="644">
                  <c:v>41043</c:v>
                </c:pt>
                <c:pt idx="645">
                  <c:v>41040</c:v>
                </c:pt>
                <c:pt idx="646">
                  <c:v>41039</c:v>
                </c:pt>
                <c:pt idx="647">
                  <c:v>41038</c:v>
                </c:pt>
                <c:pt idx="648">
                  <c:v>41037</c:v>
                </c:pt>
                <c:pt idx="649">
                  <c:v>41036</c:v>
                </c:pt>
                <c:pt idx="650">
                  <c:v>41033</c:v>
                </c:pt>
                <c:pt idx="651">
                  <c:v>41032</c:v>
                </c:pt>
                <c:pt idx="652">
                  <c:v>41031</c:v>
                </c:pt>
                <c:pt idx="653">
                  <c:v>41030</c:v>
                </c:pt>
                <c:pt idx="654">
                  <c:v>41029</c:v>
                </c:pt>
                <c:pt idx="655">
                  <c:v>41026</c:v>
                </c:pt>
                <c:pt idx="656">
                  <c:v>41025</c:v>
                </c:pt>
                <c:pt idx="657">
                  <c:v>41024</c:v>
                </c:pt>
                <c:pt idx="658">
                  <c:v>41023</c:v>
                </c:pt>
                <c:pt idx="659">
                  <c:v>41022</c:v>
                </c:pt>
                <c:pt idx="660">
                  <c:v>41019</c:v>
                </c:pt>
                <c:pt idx="661">
                  <c:v>41018</c:v>
                </c:pt>
                <c:pt idx="662">
                  <c:v>41017</c:v>
                </c:pt>
                <c:pt idx="663">
                  <c:v>41016</c:v>
                </c:pt>
                <c:pt idx="664">
                  <c:v>41015</c:v>
                </c:pt>
                <c:pt idx="665">
                  <c:v>41012</c:v>
                </c:pt>
                <c:pt idx="666">
                  <c:v>41011</c:v>
                </c:pt>
                <c:pt idx="667">
                  <c:v>41010</c:v>
                </c:pt>
                <c:pt idx="668">
                  <c:v>41009</c:v>
                </c:pt>
                <c:pt idx="669">
                  <c:v>41008</c:v>
                </c:pt>
                <c:pt idx="670">
                  <c:v>41005</c:v>
                </c:pt>
                <c:pt idx="671">
                  <c:v>41004</c:v>
                </c:pt>
                <c:pt idx="672">
                  <c:v>41003</c:v>
                </c:pt>
                <c:pt idx="673">
                  <c:v>41002</c:v>
                </c:pt>
                <c:pt idx="674">
                  <c:v>41001</c:v>
                </c:pt>
                <c:pt idx="675">
                  <c:v>40998</c:v>
                </c:pt>
                <c:pt idx="676">
                  <c:v>40997</c:v>
                </c:pt>
                <c:pt idx="677">
                  <c:v>40996</c:v>
                </c:pt>
                <c:pt idx="678">
                  <c:v>40995</c:v>
                </c:pt>
                <c:pt idx="679">
                  <c:v>40994</c:v>
                </c:pt>
                <c:pt idx="680">
                  <c:v>40991</c:v>
                </c:pt>
                <c:pt idx="681">
                  <c:v>40990</c:v>
                </c:pt>
                <c:pt idx="682">
                  <c:v>40989</c:v>
                </c:pt>
                <c:pt idx="683">
                  <c:v>40988</c:v>
                </c:pt>
                <c:pt idx="684">
                  <c:v>40987</c:v>
                </c:pt>
                <c:pt idx="685">
                  <c:v>40984</c:v>
                </c:pt>
                <c:pt idx="686">
                  <c:v>40983</c:v>
                </c:pt>
                <c:pt idx="687">
                  <c:v>40982</c:v>
                </c:pt>
                <c:pt idx="688">
                  <c:v>40981</c:v>
                </c:pt>
                <c:pt idx="689">
                  <c:v>40980</c:v>
                </c:pt>
                <c:pt idx="690">
                  <c:v>40977</c:v>
                </c:pt>
                <c:pt idx="691">
                  <c:v>40976</c:v>
                </c:pt>
                <c:pt idx="692">
                  <c:v>40975</c:v>
                </c:pt>
                <c:pt idx="693">
                  <c:v>40974</c:v>
                </c:pt>
                <c:pt idx="694">
                  <c:v>40973</c:v>
                </c:pt>
                <c:pt idx="695">
                  <c:v>40970</c:v>
                </c:pt>
                <c:pt idx="696">
                  <c:v>40969</c:v>
                </c:pt>
                <c:pt idx="697">
                  <c:v>40968</c:v>
                </c:pt>
                <c:pt idx="698">
                  <c:v>40967</c:v>
                </c:pt>
                <c:pt idx="699">
                  <c:v>40966</c:v>
                </c:pt>
                <c:pt idx="700">
                  <c:v>40963</c:v>
                </c:pt>
                <c:pt idx="701">
                  <c:v>40962</c:v>
                </c:pt>
                <c:pt idx="702">
                  <c:v>40961</c:v>
                </c:pt>
                <c:pt idx="703">
                  <c:v>40960</c:v>
                </c:pt>
                <c:pt idx="704">
                  <c:v>40959</c:v>
                </c:pt>
                <c:pt idx="705">
                  <c:v>40956</c:v>
                </c:pt>
                <c:pt idx="706">
                  <c:v>40955</c:v>
                </c:pt>
                <c:pt idx="707">
                  <c:v>40954</c:v>
                </c:pt>
                <c:pt idx="708">
                  <c:v>40953</c:v>
                </c:pt>
                <c:pt idx="709">
                  <c:v>40952</c:v>
                </c:pt>
                <c:pt idx="710">
                  <c:v>40949</c:v>
                </c:pt>
                <c:pt idx="711">
                  <c:v>40948</c:v>
                </c:pt>
                <c:pt idx="712">
                  <c:v>40947</c:v>
                </c:pt>
                <c:pt idx="713">
                  <c:v>40946</c:v>
                </c:pt>
                <c:pt idx="714">
                  <c:v>40945</c:v>
                </c:pt>
                <c:pt idx="715">
                  <c:v>40942</c:v>
                </c:pt>
                <c:pt idx="716">
                  <c:v>40941</c:v>
                </c:pt>
                <c:pt idx="717">
                  <c:v>40940</c:v>
                </c:pt>
                <c:pt idx="718">
                  <c:v>40939</c:v>
                </c:pt>
                <c:pt idx="719">
                  <c:v>40938</c:v>
                </c:pt>
                <c:pt idx="720">
                  <c:v>40935</c:v>
                </c:pt>
                <c:pt idx="721">
                  <c:v>40934</c:v>
                </c:pt>
                <c:pt idx="722">
                  <c:v>40933</c:v>
                </c:pt>
                <c:pt idx="723">
                  <c:v>40932</c:v>
                </c:pt>
                <c:pt idx="724">
                  <c:v>40931</c:v>
                </c:pt>
                <c:pt idx="725">
                  <c:v>40928</c:v>
                </c:pt>
                <c:pt idx="726">
                  <c:v>40927</c:v>
                </c:pt>
                <c:pt idx="727">
                  <c:v>40926</c:v>
                </c:pt>
                <c:pt idx="728">
                  <c:v>40925</c:v>
                </c:pt>
                <c:pt idx="729">
                  <c:v>40924</c:v>
                </c:pt>
                <c:pt idx="730">
                  <c:v>40921</c:v>
                </c:pt>
                <c:pt idx="731">
                  <c:v>40920</c:v>
                </c:pt>
                <c:pt idx="732">
                  <c:v>40919</c:v>
                </c:pt>
                <c:pt idx="733">
                  <c:v>40918</c:v>
                </c:pt>
                <c:pt idx="734">
                  <c:v>40917</c:v>
                </c:pt>
                <c:pt idx="735">
                  <c:v>40914</c:v>
                </c:pt>
                <c:pt idx="736">
                  <c:v>40913</c:v>
                </c:pt>
                <c:pt idx="737">
                  <c:v>40912</c:v>
                </c:pt>
                <c:pt idx="738">
                  <c:v>40911</c:v>
                </c:pt>
                <c:pt idx="739">
                  <c:v>40910</c:v>
                </c:pt>
                <c:pt idx="740">
                  <c:v>40907</c:v>
                </c:pt>
                <c:pt idx="741">
                  <c:v>40906</c:v>
                </c:pt>
                <c:pt idx="742">
                  <c:v>40905</c:v>
                </c:pt>
                <c:pt idx="743">
                  <c:v>40904</c:v>
                </c:pt>
                <c:pt idx="744">
                  <c:v>40903</c:v>
                </c:pt>
                <c:pt idx="745">
                  <c:v>40900</c:v>
                </c:pt>
                <c:pt idx="746">
                  <c:v>40899</c:v>
                </c:pt>
                <c:pt idx="747">
                  <c:v>40898</c:v>
                </c:pt>
                <c:pt idx="748">
                  <c:v>40897</c:v>
                </c:pt>
                <c:pt idx="749">
                  <c:v>40896</c:v>
                </c:pt>
                <c:pt idx="750">
                  <c:v>40893</c:v>
                </c:pt>
                <c:pt idx="751">
                  <c:v>40892</c:v>
                </c:pt>
                <c:pt idx="752">
                  <c:v>40891</c:v>
                </c:pt>
                <c:pt idx="753">
                  <c:v>40890</c:v>
                </c:pt>
                <c:pt idx="754">
                  <c:v>40889</c:v>
                </c:pt>
                <c:pt idx="755">
                  <c:v>40886</c:v>
                </c:pt>
                <c:pt idx="756">
                  <c:v>40885</c:v>
                </c:pt>
                <c:pt idx="757">
                  <c:v>40884</c:v>
                </c:pt>
                <c:pt idx="758">
                  <c:v>40883</c:v>
                </c:pt>
                <c:pt idx="759">
                  <c:v>40882</c:v>
                </c:pt>
                <c:pt idx="760">
                  <c:v>40879</c:v>
                </c:pt>
                <c:pt idx="761">
                  <c:v>40878</c:v>
                </c:pt>
                <c:pt idx="762">
                  <c:v>40877</c:v>
                </c:pt>
                <c:pt idx="763">
                  <c:v>40876</c:v>
                </c:pt>
                <c:pt idx="764">
                  <c:v>40875</c:v>
                </c:pt>
                <c:pt idx="765">
                  <c:v>40872</c:v>
                </c:pt>
                <c:pt idx="766">
                  <c:v>40871</c:v>
                </c:pt>
                <c:pt idx="767">
                  <c:v>40870</c:v>
                </c:pt>
                <c:pt idx="768">
                  <c:v>40869</c:v>
                </c:pt>
                <c:pt idx="769">
                  <c:v>40868</c:v>
                </c:pt>
                <c:pt idx="770">
                  <c:v>40865</c:v>
                </c:pt>
                <c:pt idx="771">
                  <c:v>40864</c:v>
                </c:pt>
                <c:pt idx="772">
                  <c:v>40863</c:v>
                </c:pt>
                <c:pt idx="773">
                  <c:v>40862</c:v>
                </c:pt>
                <c:pt idx="774">
                  <c:v>40861</c:v>
                </c:pt>
                <c:pt idx="775">
                  <c:v>40858</c:v>
                </c:pt>
                <c:pt idx="776">
                  <c:v>40857</c:v>
                </c:pt>
                <c:pt idx="777">
                  <c:v>40856</c:v>
                </c:pt>
                <c:pt idx="778">
                  <c:v>40855</c:v>
                </c:pt>
                <c:pt idx="779">
                  <c:v>40854</c:v>
                </c:pt>
                <c:pt idx="780">
                  <c:v>40851</c:v>
                </c:pt>
                <c:pt idx="781">
                  <c:v>40850</c:v>
                </c:pt>
                <c:pt idx="782">
                  <c:v>40849</c:v>
                </c:pt>
                <c:pt idx="783">
                  <c:v>40848</c:v>
                </c:pt>
                <c:pt idx="784">
                  <c:v>40847</c:v>
                </c:pt>
                <c:pt idx="785">
                  <c:v>40844</c:v>
                </c:pt>
                <c:pt idx="786">
                  <c:v>40843</c:v>
                </c:pt>
                <c:pt idx="787">
                  <c:v>40842</c:v>
                </c:pt>
                <c:pt idx="788">
                  <c:v>40841</c:v>
                </c:pt>
                <c:pt idx="789">
                  <c:v>40840</c:v>
                </c:pt>
                <c:pt idx="790">
                  <c:v>40837</c:v>
                </c:pt>
                <c:pt idx="791">
                  <c:v>40836</c:v>
                </c:pt>
                <c:pt idx="792">
                  <c:v>40835</c:v>
                </c:pt>
                <c:pt idx="793">
                  <c:v>40834</c:v>
                </c:pt>
                <c:pt idx="794">
                  <c:v>40833</c:v>
                </c:pt>
                <c:pt idx="795">
                  <c:v>40830</c:v>
                </c:pt>
                <c:pt idx="796">
                  <c:v>40829</c:v>
                </c:pt>
                <c:pt idx="797">
                  <c:v>40828</c:v>
                </c:pt>
                <c:pt idx="798">
                  <c:v>40827</c:v>
                </c:pt>
                <c:pt idx="799">
                  <c:v>40826</c:v>
                </c:pt>
                <c:pt idx="800">
                  <c:v>40823</c:v>
                </c:pt>
                <c:pt idx="801">
                  <c:v>40822</c:v>
                </c:pt>
                <c:pt idx="802">
                  <c:v>40821</c:v>
                </c:pt>
                <c:pt idx="803">
                  <c:v>40820</c:v>
                </c:pt>
              </c:numCache>
            </c:numRef>
          </c:cat>
          <c:val>
            <c:numRef>
              <c:f>Eurobond!$C$6:$C$809</c:f>
              <c:numCache>
                <c:formatCode>#,##0.000</c:formatCode>
                <c:ptCount val="804"/>
                <c:pt idx="0">
                  <c:v>114.82</c:v>
                </c:pt>
                <c:pt idx="1">
                  <c:v>114.566</c:v>
                </c:pt>
                <c:pt idx="2">
                  <c:v>114.596</c:v>
                </c:pt>
                <c:pt idx="3">
                  <c:v>114.54300000000002</c:v>
                </c:pt>
                <c:pt idx="4">
                  <c:v>114.54</c:v>
                </c:pt>
                <c:pt idx="5">
                  <c:v>114.459</c:v>
                </c:pt>
                <c:pt idx="6">
                  <c:v>114.621</c:v>
                </c:pt>
                <c:pt idx="7">
                  <c:v>114.57899999999998</c:v>
                </c:pt>
                <c:pt idx="8">
                  <c:v>114.35599999999998</c:v>
                </c:pt>
                <c:pt idx="9">
                  <c:v>113.95699999999999</c:v>
                </c:pt>
                <c:pt idx="10">
                  <c:v>113.357</c:v>
                </c:pt>
                <c:pt idx="11">
                  <c:v>112.312</c:v>
                </c:pt>
                <c:pt idx="12">
                  <c:v>112.607</c:v>
                </c:pt>
                <c:pt idx="13">
                  <c:v>112.33499999999999</c:v>
                </c:pt>
                <c:pt idx="14">
                  <c:v>112.21700000000001</c:v>
                </c:pt>
                <c:pt idx="15">
                  <c:v>112.37499999999999</c:v>
                </c:pt>
                <c:pt idx="16">
                  <c:v>112.69199999999999</c:v>
                </c:pt>
                <c:pt idx="17">
                  <c:v>111.795</c:v>
                </c:pt>
                <c:pt idx="18">
                  <c:v>111.56100000000002</c:v>
                </c:pt>
                <c:pt idx="19">
                  <c:v>111.586</c:v>
                </c:pt>
                <c:pt idx="20">
                  <c:v>111.399</c:v>
                </c:pt>
                <c:pt idx="21">
                  <c:v>111.742</c:v>
                </c:pt>
                <c:pt idx="22">
                  <c:v>112.14100000000002</c:v>
                </c:pt>
                <c:pt idx="23">
                  <c:v>112.194</c:v>
                </c:pt>
                <c:pt idx="24">
                  <c:v>112.074</c:v>
                </c:pt>
                <c:pt idx="25">
                  <c:v>113.301</c:v>
                </c:pt>
                <c:pt idx="26">
                  <c:v>113.96899999999999</c:v>
                </c:pt>
                <c:pt idx="27">
                  <c:v>114.455</c:v>
                </c:pt>
                <c:pt idx="28">
                  <c:v>114.36</c:v>
                </c:pt>
                <c:pt idx="29">
                  <c:v>114.18199999999999</c:v>
                </c:pt>
                <c:pt idx="30">
                  <c:v>113.94100000000002</c:v>
                </c:pt>
                <c:pt idx="31">
                  <c:v>113.648</c:v>
                </c:pt>
                <c:pt idx="32">
                  <c:v>113.735</c:v>
                </c:pt>
                <c:pt idx="33">
                  <c:v>113.62199999999999</c:v>
                </c:pt>
                <c:pt idx="34">
                  <c:v>113.72799999999999</c:v>
                </c:pt>
                <c:pt idx="35">
                  <c:v>114.16500000000001</c:v>
                </c:pt>
                <c:pt idx="36">
                  <c:v>114.76900000000002</c:v>
                </c:pt>
                <c:pt idx="37">
                  <c:v>114.771</c:v>
                </c:pt>
                <c:pt idx="38">
                  <c:v>115.37899999999999</c:v>
                </c:pt>
                <c:pt idx="39">
                  <c:v>115.458</c:v>
                </c:pt>
                <c:pt idx="40">
                  <c:v>115.071</c:v>
                </c:pt>
                <c:pt idx="41">
                  <c:v>115.06399999999999</c:v>
                </c:pt>
                <c:pt idx="42">
                  <c:v>114.75</c:v>
                </c:pt>
                <c:pt idx="43">
                  <c:v>114.926</c:v>
                </c:pt>
                <c:pt idx="44">
                  <c:v>115.17400000000001</c:v>
                </c:pt>
                <c:pt idx="45">
                  <c:v>115.16500000000001</c:v>
                </c:pt>
                <c:pt idx="46">
                  <c:v>115.00700000000002</c:v>
                </c:pt>
                <c:pt idx="47">
                  <c:v>115.17100000000001</c:v>
                </c:pt>
                <c:pt idx="48">
                  <c:v>114.57799999999999</c:v>
                </c:pt>
                <c:pt idx="49">
                  <c:v>114.286</c:v>
                </c:pt>
                <c:pt idx="50">
                  <c:v>114.34399999999999</c:v>
                </c:pt>
                <c:pt idx="51">
                  <c:v>114.818</c:v>
                </c:pt>
                <c:pt idx="52">
                  <c:v>115.251</c:v>
                </c:pt>
                <c:pt idx="53">
                  <c:v>115.279</c:v>
                </c:pt>
                <c:pt idx="54">
                  <c:v>115.276</c:v>
                </c:pt>
                <c:pt idx="55">
                  <c:v>115.096</c:v>
                </c:pt>
                <c:pt idx="56">
                  <c:v>114.13800000000001</c:v>
                </c:pt>
                <c:pt idx="57">
                  <c:v>113.58</c:v>
                </c:pt>
                <c:pt idx="58">
                  <c:v>113.17499999999998</c:v>
                </c:pt>
                <c:pt idx="59">
                  <c:v>112.471</c:v>
                </c:pt>
                <c:pt idx="60">
                  <c:v>111.84399999999999</c:v>
                </c:pt>
                <c:pt idx="61">
                  <c:v>111.699</c:v>
                </c:pt>
                <c:pt idx="62">
                  <c:v>111.816</c:v>
                </c:pt>
                <c:pt idx="63">
                  <c:v>112.649</c:v>
                </c:pt>
                <c:pt idx="64">
                  <c:v>113.36199999999999</c:v>
                </c:pt>
                <c:pt idx="65">
                  <c:v>113.345</c:v>
                </c:pt>
                <c:pt idx="66">
                  <c:v>114.196</c:v>
                </c:pt>
                <c:pt idx="67">
                  <c:v>115.65300000000001</c:v>
                </c:pt>
                <c:pt idx="68">
                  <c:v>115.512</c:v>
                </c:pt>
                <c:pt idx="69">
                  <c:v>115.295</c:v>
                </c:pt>
                <c:pt idx="70">
                  <c:v>115.166</c:v>
                </c:pt>
                <c:pt idx="71">
                  <c:v>115.01900000000002</c:v>
                </c:pt>
                <c:pt idx="72">
                  <c:v>113.91300000000001</c:v>
                </c:pt>
                <c:pt idx="73">
                  <c:v>113.208</c:v>
                </c:pt>
                <c:pt idx="74">
                  <c:v>112.974</c:v>
                </c:pt>
                <c:pt idx="75">
                  <c:v>112.864</c:v>
                </c:pt>
                <c:pt idx="76">
                  <c:v>112.83499999999999</c:v>
                </c:pt>
                <c:pt idx="77">
                  <c:v>113.342</c:v>
                </c:pt>
                <c:pt idx="78">
                  <c:v>113.166</c:v>
                </c:pt>
                <c:pt idx="79">
                  <c:v>113.35499999999999</c:v>
                </c:pt>
                <c:pt idx="80">
                  <c:v>114.095</c:v>
                </c:pt>
                <c:pt idx="81">
                  <c:v>113.62599999999999</c:v>
                </c:pt>
                <c:pt idx="82">
                  <c:v>113.99400000000001</c:v>
                </c:pt>
                <c:pt idx="83">
                  <c:v>114.39400000000002</c:v>
                </c:pt>
                <c:pt idx="84">
                  <c:v>114.506</c:v>
                </c:pt>
                <c:pt idx="85">
                  <c:v>114.48699999999999</c:v>
                </c:pt>
                <c:pt idx="86">
                  <c:v>114.50700000000002</c:v>
                </c:pt>
                <c:pt idx="87">
                  <c:v>114.65900000000001</c:v>
                </c:pt>
                <c:pt idx="88">
                  <c:v>114.82499999999999</c:v>
                </c:pt>
                <c:pt idx="89">
                  <c:v>114.538</c:v>
                </c:pt>
                <c:pt idx="90">
                  <c:v>114.114</c:v>
                </c:pt>
                <c:pt idx="91">
                  <c:v>113.82299999999998</c:v>
                </c:pt>
                <c:pt idx="92">
                  <c:v>115.429</c:v>
                </c:pt>
                <c:pt idx="93">
                  <c:v>115.669</c:v>
                </c:pt>
                <c:pt idx="94">
                  <c:v>115.535</c:v>
                </c:pt>
                <c:pt idx="95">
                  <c:v>115.58</c:v>
                </c:pt>
                <c:pt idx="96">
                  <c:v>116.12599999999999</c:v>
                </c:pt>
                <c:pt idx="97">
                  <c:v>116.27500000000001</c:v>
                </c:pt>
                <c:pt idx="98">
                  <c:v>116.42700000000002</c:v>
                </c:pt>
                <c:pt idx="99">
                  <c:v>116.627</c:v>
                </c:pt>
                <c:pt idx="100">
                  <c:v>116.834</c:v>
                </c:pt>
                <c:pt idx="101">
                  <c:v>117.07199999999999</c:v>
                </c:pt>
                <c:pt idx="102">
                  <c:v>117.01100000000001</c:v>
                </c:pt>
                <c:pt idx="103">
                  <c:v>116.971</c:v>
                </c:pt>
                <c:pt idx="104">
                  <c:v>117.07</c:v>
                </c:pt>
                <c:pt idx="105">
                  <c:v>116.827</c:v>
                </c:pt>
                <c:pt idx="106">
                  <c:v>116.121</c:v>
                </c:pt>
                <c:pt idx="107">
                  <c:v>115.843</c:v>
                </c:pt>
                <c:pt idx="108">
                  <c:v>116.254</c:v>
                </c:pt>
                <c:pt idx="109">
                  <c:v>116.813</c:v>
                </c:pt>
                <c:pt idx="110">
                  <c:v>116.479</c:v>
                </c:pt>
                <c:pt idx="111">
                  <c:v>116.24600000000001</c:v>
                </c:pt>
                <c:pt idx="112">
                  <c:v>115.836</c:v>
                </c:pt>
                <c:pt idx="113">
                  <c:v>114.48099999999999</c:v>
                </c:pt>
                <c:pt idx="114">
                  <c:v>114.024</c:v>
                </c:pt>
                <c:pt idx="115">
                  <c:v>114.068</c:v>
                </c:pt>
                <c:pt idx="116">
                  <c:v>113.952</c:v>
                </c:pt>
                <c:pt idx="117">
                  <c:v>114.01300000000002</c:v>
                </c:pt>
                <c:pt idx="118">
                  <c:v>114.41700000000002</c:v>
                </c:pt>
                <c:pt idx="119">
                  <c:v>114.712</c:v>
                </c:pt>
                <c:pt idx="120">
                  <c:v>115.259</c:v>
                </c:pt>
                <c:pt idx="121">
                  <c:v>115.661</c:v>
                </c:pt>
                <c:pt idx="122">
                  <c:v>115.66</c:v>
                </c:pt>
                <c:pt idx="123">
                  <c:v>115.402</c:v>
                </c:pt>
                <c:pt idx="124">
                  <c:v>115.232</c:v>
                </c:pt>
                <c:pt idx="125">
                  <c:v>115.02800000000001</c:v>
                </c:pt>
                <c:pt idx="126">
                  <c:v>114.498</c:v>
                </c:pt>
                <c:pt idx="127">
                  <c:v>113.97499999999999</c:v>
                </c:pt>
                <c:pt idx="128">
                  <c:v>113.054</c:v>
                </c:pt>
                <c:pt idx="129">
                  <c:v>112.41000000000001</c:v>
                </c:pt>
                <c:pt idx="130">
                  <c:v>112.306</c:v>
                </c:pt>
                <c:pt idx="131">
                  <c:v>111.812</c:v>
                </c:pt>
                <c:pt idx="132">
                  <c:v>111.67799999999998</c:v>
                </c:pt>
                <c:pt idx="133">
                  <c:v>111.29100000000001</c:v>
                </c:pt>
                <c:pt idx="134">
                  <c:v>110.804</c:v>
                </c:pt>
                <c:pt idx="135">
                  <c:v>110.78700000000002</c:v>
                </c:pt>
                <c:pt idx="136">
                  <c:v>111.111</c:v>
                </c:pt>
                <c:pt idx="137">
                  <c:v>111.13</c:v>
                </c:pt>
                <c:pt idx="138">
                  <c:v>111.271</c:v>
                </c:pt>
                <c:pt idx="139">
                  <c:v>111.313</c:v>
                </c:pt>
                <c:pt idx="140">
                  <c:v>111.277</c:v>
                </c:pt>
                <c:pt idx="141">
                  <c:v>111.295</c:v>
                </c:pt>
                <c:pt idx="142">
                  <c:v>111.327</c:v>
                </c:pt>
                <c:pt idx="143">
                  <c:v>111.785</c:v>
                </c:pt>
                <c:pt idx="144">
                  <c:v>112.035</c:v>
                </c:pt>
                <c:pt idx="145">
                  <c:v>112.163</c:v>
                </c:pt>
                <c:pt idx="146">
                  <c:v>112.286</c:v>
                </c:pt>
                <c:pt idx="147">
                  <c:v>111.91900000000001</c:v>
                </c:pt>
                <c:pt idx="148">
                  <c:v>112.003</c:v>
                </c:pt>
                <c:pt idx="149">
                  <c:v>111.908</c:v>
                </c:pt>
                <c:pt idx="150">
                  <c:v>111.93100000000001</c:v>
                </c:pt>
                <c:pt idx="151">
                  <c:v>111.681</c:v>
                </c:pt>
                <c:pt idx="152">
                  <c:v>112.021</c:v>
                </c:pt>
                <c:pt idx="153">
                  <c:v>112.205</c:v>
                </c:pt>
                <c:pt idx="154">
                  <c:v>112.505</c:v>
                </c:pt>
                <c:pt idx="155">
                  <c:v>112.52800000000001</c:v>
                </c:pt>
                <c:pt idx="156">
                  <c:v>112.256</c:v>
                </c:pt>
                <c:pt idx="157">
                  <c:v>112.15600000000001</c:v>
                </c:pt>
                <c:pt idx="158">
                  <c:v>112.01100000000001</c:v>
                </c:pt>
                <c:pt idx="159">
                  <c:v>111.842</c:v>
                </c:pt>
                <c:pt idx="160">
                  <c:v>111.801</c:v>
                </c:pt>
                <c:pt idx="161">
                  <c:v>111.842</c:v>
                </c:pt>
                <c:pt idx="162">
                  <c:v>112.059</c:v>
                </c:pt>
                <c:pt idx="163">
                  <c:v>111.566</c:v>
                </c:pt>
                <c:pt idx="164">
                  <c:v>111.20099999999999</c:v>
                </c:pt>
                <c:pt idx="165">
                  <c:v>110.59399999999999</c:v>
                </c:pt>
                <c:pt idx="166">
                  <c:v>110.83199999999999</c:v>
                </c:pt>
                <c:pt idx="167">
                  <c:v>110.74700000000001</c:v>
                </c:pt>
                <c:pt idx="168">
                  <c:v>111.46400000000001</c:v>
                </c:pt>
                <c:pt idx="169">
                  <c:v>111.116</c:v>
                </c:pt>
                <c:pt idx="170">
                  <c:v>111.637</c:v>
                </c:pt>
                <c:pt idx="171">
                  <c:v>112.194</c:v>
                </c:pt>
                <c:pt idx="172">
                  <c:v>111.268</c:v>
                </c:pt>
                <c:pt idx="173">
                  <c:v>110.79400000000001</c:v>
                </c:pt>
                <c:pt idx="174">
                  <c:v>110.566</c:v>
                </c:pt>
                <c:pt idx="175">
                  <c:v>111.96700000000001</c:v>
                </c:pt>
                <c:pt idx="176">
                  <c:v>111.526</c:v>
                </c:pt>
                <c:pt idx="177">
                  <c:v>111.203</c:v>
                </c:pt>
                <c:pt idx="178">
                  <c:v>111.10199999999999</c:v>
                </c:pt>
                <c:pt idx="179">
                  <c:v>110.67799999999998</c:v>
                </c:pt>
                <c:pt idx="180">
                  <c:v>110.083</c:v>
                </c:pt>
                <c:pt idx="181">
                  <c:v>109.596</c:v>
                </c:pt>
                <c:pt idx="182">
                  <c:v>109.42100000000002</c:v>
                </c:pt>
                <c:pt idx="183">
                  <c:v>109.30200000000001</c:v>
                </c:pt>
                <c:pt idx="184">
                  <c:v>109.03700000000002</c:v>
                </c:pt>
                <c:pt idx="185">
                  <c:v>108.896</c:v>
                </c:pt>
                <c:pt idx="186">
                  <c:v>108.798</c:v>
                </c:pt>
                <c:pt idx="187">
                  <c:v>109.363</c:v>
                </c:pt>
                <c:pt idx="188">
                  <c:v>109.739</c:v>
                </c:pt>
                <c:pt idx="189">
                  <c:v>109.965</c:v>
                </c:pt>
                <c:pt idx="190">
                  <c:v>109.762</c:v>
                </c:pt>
                <c:pt idx="191">
                  <c:v>109.184</c:v>
                </c:pt>
                <c:pt idx="192">
                  <c:v>108.71700000000001</c:v>
                </c:pt>
                <c:pt idx="193">
                  <c:v>107.774</c:v>
                </c:pt>
                <c:pt idx="194">
                  <c:v>105.857</c:v>
                </c:pt>
                <c:pt idx="195">
                  <c:v>105.51300000000002</c:v>
                </c:pt>
                <c:pt idx="196">
                  <c:v>105.973</c:v>
                </c:pt>
                <c:pt idx="197">
                  <c:v>106.505</c:v>
                </c:pt>
                <c:pt idx="198">
                  <c:v>107.259</c:v>
                </c:pt>
                <c:pt idx="199">
                  <c:v>107.096</c:v>
                </c:pt>
                <c:pt idx="200">
                  <c:v>107.252</c:v>
                </c:pt>
                <c:pt idx="201">
                  <c:v>108.556</c:v>
                </c:pt>
                <c:pt idx="202">
                  <c:v>108.94500000000001</c:v>
                </c:pt>
                <c:pt idx="203">
                  <c:v>108.782</c:v>
                </c:pt>
                <c:pt idx="204">
                  <c:v>108.669</c:v>
                </c:pt>
                <c:pt idx="205">
                  <c:v>108.729</c:v>
                </c:pt>
                <c:pt idx="206">
                  <c:v>108.819</c:v>
                </c:pt>
                <c:pt idx="207">
                  <c:v>108.45699999999999</c:v>
                </c:pt>
                <c:pt idx="208">
                  <c:v>107.78</c:v>
                </c:pt>
                <c:pt idx="209">
                  <c:v>107.42700000000002</c:v>
                </c:pt>
                <c:pt idx="210">
                  <c:v>107.12299999999999</c:v>
                </c:pt>
                <c:pt idx="211">
                  <c:v>106.742</c:v>
                </c:pt>
                <c:pt idx="212">
                  <c:v>106.715</c:v>
                </c:pt>
                <c:pt idx="213">
                  <c:v>106.75</c:v>
                </c:pt>
                <c:pt idx="214">
                  <c:v>106.58</c:v>
                </c:pt>
                <c:pt idx="215">
                  <c:v>105.74700000000001</c:v>
                </c:pt>
                <c:pt idx="216">
                  <c:v>105.607</c:v>
                </c:pt>
                <c:pt idx="217">
                  <c:v>105.768</c:v>
                </c:pt>
                <c:pt idx="218">
                  <c:v>105.82199999999999</c:v>
                </c:pt>
                <c:pt idx="219">
                  <c:v>105.896</c:v>
                </c:pt>
                <c:pt idx="220">
                  <c:v>105.976</c:v>
                </c:pt>
                <c:pt idx="221">
                  <c:v>105.98699999999999</c:v>
                </c:pt>
                <c:pt idx="222">
                  <c:v>106.00700000000002</c:v>
                </c:pt>
                <c:pt idx="223">
                  <c:v>106.04700000000001</c:v>
                </c:pt>
                <c:pt idx="224">
                  <c:v>106.101</c:v>
                </c:pt>
                <c:pt idx="225">
                  <c:v>106.06699999999999</c:v>
                </c:pt>
                <c:pt idx="226">
                  <c:v>106.003</c:v>
                </c:pt>
                <c:pt idx="227">
                  <c:v>105.986</c:v>
                </c:pt>
                <c:pt idx="228">
                  <c:v>105.929</c:v>
                </c:pt>
                <c:pt idx="229">
                  <c:v>105.857</c:v>
                </c:pt>
                <c:pt idx="230">
                  <c:v>105.73699999999999</c:v>
                </c:pt>
                <c:pt idx="231">
                  <c:v>105.66800000000001</c:v>
                </c:pt>
                <c:pt idx="232">
                  <c:v>105.663</c:v>
                </c:pt>
                <c:pt idx="233">
                  <c:v>105.65799999999999</c:v>
                </c:pt>
                <c:pt idx="234">
                  <c:v>105.41900000000001</c:v>
                </c:pt>
                <c:pt idx="235">
                  <c:v>105.337</c:v>
                </c:pt>
                <c:pt idx="236">
                  <c:v>105.15199999999999</c:v>
                </c:pt>
                <c:pt idx="237">
                  <c:v>104.74600000000001</c:v>
                </c:pt>
                <c:pt idx="238">
                  <c:v>104.824</c:v>
                </c:pt>
                <c:pt idx="239">
                  <c:v>104.864</c:v>
                </c:pt>
                <c:pt idx="240">
                  <c:v>104.94600000000001</c:v>
                </c:pt>
                <c:pt idx="241">
                  <c:v>104.973</c:v>
                </c:pt>
                <c:pt idx="242">
                  <c:v>104.86999999999999</c:v>
                </c:pt>
                <c:pt idx="243">
                  <c:v>105.054</c:v>
                </c:pt>
                <c:pt idx="244">
                  <c:v>105.12199999999999</c:v>
                </c:pt>
                <c:pt idx="245">
                  <c:v>104.146</c:v>
                </c:pt>
                <c:pt idx="246">
                  <c:v>103.44600000000001</c:v>
                </c:pt>
                <c:pt idx="247">
                  <c:v>103.44700000000002</c:v>
                </c:pt>
                <c:pt idx="248">
                  <c:v>103.871</c:v>
                </c:pt>
                <c:pt idx="249">
                  <c:v>103.97</c:v>
                </c:pt>
                <c:pt idx="250">
                  <c:v>103.569</c:v>
                </c:pt>
                <c:pt idx="251">
                  <c:v>103.265</c:v>
                </c:pt>
                <c:pt idx="252">
                  <c:v>102.508</c:v>
                </c:pt>
                <c:pt idx="253">
                  <c:v>102.61499999999999</c:v>
                </c:pt>
                <c:pt idx="254">
                  <c:v>103.04100000000001</c:v>
                </c:pt>
                <c:pt idx="255">
                  <c:v>103.187</c:v>
                </c:pt>
                <c:pt idx="256">
                  <c:v>104.087</c:v>
                </c:pt>
                <c:pt idx="257">
                  <c:v>103.765</c:v>
                </c:pt>
                <c:pt idx="258">
                  <c:v>103.32</c:v>
                </c:pt>
                <c:pt idx="259">
                  <c:v>104.36999999999999</c:v>
                </c:pt>
                <c:pt idx="260">
                  <c:v>104.43300000000002</c:v>
                </c:pt>
                <c:pt idx="261">
                  <c:v>104.587</c:v>
                </c:pt>
                <c:pt idx="262">
                  <c:v>105.54600000000002</c:v>
                </c:pt>
                <c:pt idx="263">
                  <c:v>105.89700000000002</c:v>
                </c:pt>
                <c:pt idx="264">
                  <c:v>106.965</c:v>
                </c:pt>
                <c:pt idx="265">
                  <c:v>107.029</c:v>
                </c:pt>
                <c:pt idx="266">
                  <c:v>107.318</c:v>
                </c:pt>
                <c:pt idx="267">
                  <c:v>107.93</c:v>
                </c:pt>
                <c:pt idx="268">
                  <c:v>107.29400000000001</c:v>
                </c:pt>
                <c:pt idx="269">
                  <c:v>107.15499999999999</c:v>
                </c:pt>
                <c:pt idx="270">
                  <c:v>107.22</c:v>
                </c:pt>
                <c:pt idx="271">
                  <c:v>107.074</c:v>
                </c:pt>
                <c:pt idx="272">
                  <c:v>106.62299999999999</c:v>
                </c:pt>
                <c:pt idx="273">
                  <c:v>106.423</c:v>
                </c:pt>
                <c:pt idx="274">
                  <c:v>106.029</c:v>
                </c:pt>
                <c:pt idx="275">
                  <c:v>106.042</c:v>
                </c:pt>
                <c:pt idx="276">
                  <c:v>105.94600000000001</c:v>
                </c:pt>
                <c:pt idx="277">
                  <c:v>105.41700000000002</c:v>
                </c:pt>
                <c:pt idx="278">
                  <c:v>104.526</c:v>
                </c:pt>
                <c:pt idx="279">
                  <c:v>103.17199999999998</c:v>
                </c:pt>
                <c:pt idx="280">
                  <c:v>104.303</c:v>
                </c:pt>
                <c:pt idx="281">
                  <c:v>104.47499999999999</c:v>
                </c:pt>
                <c:pt idx="282">
                  <c:v>104.506</c:v>
                </c:pt>
                <c:pt idx="283">
                  <c:v>104.47499999999999</c:v>
                </c:pt>
                <c:pt idx="284">
                  <c:v>104.483</c:v>
                </c:pt>
                <c:pt idx="285">
                  <c:v>105.027</c:v>
                </c:pt>
                <c:pt idx="286">
                  <c:v>105.17299999999999</c:v>
                </c:pt>
                <c:pt idx="287">
                  <c:v>105.146</c:v>
                </c:pt>
                <c:pt idx="288">
                  <c:v>105.127</c:v>
                </c:pt>
                <c:pt idx="289">
                  <c:v>105.116</c:v>
                </c:pt>
                <c:pt idx="290">
                  <c:v>104.51900000000002</c:v>
                </c:pt>
                <c:pt idx="291">
                  <c:v>104.371</c:v>
                </c:pt>
                <c:pt idx="292">
                  <c:v>101.12299999999999</c:v>
                </c:pt>
                <c:pt idx="293">
                  <c:v>101.001</c:v>
                </c:pt>
                <c:pt idx="294">
                  <c:v>100.92</c:v>
                </c:pt>
                <c:pt idx="295">
                  <c:v>99.994000000000014</c:v>
                </c:pt>
                <c:pt idx="296">
                  <c:v>99.905000000000001</c:v>
                </c:pt>
                <c:pt idx="297">
                  <c:v>99.596000000000004</c:v>
                </c:pt>
                <c:pt idx="298">
                  <c:v>99.498000000000005</c:v>
                </c:pt>
                <c:pt idx="299">
                  <c:v>99.935000000000002</c:v>
                </c:pt>
                <c:pt idx="300">
                  <c:v>99.757999999999996</c:v>
                </c:pt>
                <c:pt idx="301">
                  <c:v>99.600999999999999</c:v>
                </c:pt>
                <c:pt idx="302">
                  <c:v>100.351</c:v>
                </c:pt>
                <c:pt idx="303">
                  <c:v>100.631</c:v>
                </c:pt>
                <c:pt idx="304">
                  <c:v>100.589</c:v>
                </c:pt>
                <c:pt idx="305">
                  <c:v>100.68199999999999</c:v>
                </c:pt>
                <c:pt idx="306">
                  <c:v>100.89700000000002</c:v>
                </c:pt>
                <c:pt idx="307">
                  <c:v>101.181</c:v>
                </c:pt>
                <c:pt idx="308">
                  <c:v>102.054</c:v>
                </c:pt>
                <c:pt idx="309">
                  <c:v>101.48699999999999</c:v>
                </c:pt>
                <c:pt idx="310">
                  <c:v>101.57799999999999</c:v>
                </c:pt>
                <c:pt idx="311">
                  <c:v>101.095</c:v>
                </c:pt>
                <c:pt idx="312">
                  <c:v>100.782</c:v>
                </c:pt>
                <c:pt idx="313">
                  <c:v>100.611</c:v>
                </c:pt>
                <c:pt idx="314">
                  <c:v>100.62299999999999</c:v>
                </c:pt>
                <c:pt idx="315">
                  <c:v>101.48</c:v>
                </c:pt>
                <c:pt idx="316">
                  <c:v>101.61</c:v>
                </c:pt>
                <c:pt idx="317">
                  <c:v>102.25700000000002</c:v>
                </c:pt>
                <c:pt idx="318">
                  <c:v>102.306</c:v>
                </c:pt>
                <c:pt idx="319">
                  <c:v>102.304</c:v>
                </c:pt>
                <c:pt idx="320">
                  <c:v>101.9</c:v>
                </c:pt>
                <c:pt idx="321">
                  <c:v>101.24700000000001</c:v>
                </c:pt>
                <c:pt idx="322">
                  <c:v>101.05800000000001</c:v>
                </c:pt>
                <c:pt idx="323">
                  <c:v>100.79100000000001</c:v>
                </c:pt>
                <c:pt idx="324">
                  <c:v>100.812</c:v>
                </c:pt>
                <c:pt idx="325">
                  <c:v>100.82199999999999</c:v>
                </c:pt>
                <c:pt idx="326">
                  <c:v>101.199</c:v>
                </c:pt>
                <c:pt idx="327">
                  <c:v>102.62199999999999</c:v>
                </c:pt>
                <c:pt idx="328">
                  <c:v>105.36</c:v>
                </c:pt>
                <c:pt idx="329">
                  <c:v>105.59</c:v>
                </c:pt>
                <c:pt idx="330">
                  <c:v>105.474</c:v>
                </c:pt>
                <c:pt idx="331">
                  <c:v>105.53</c:v>
                </c:pt>
                <c:pt idx="332">
                  <c:v>105.92</c:v>
                </c:pt>
                <c:pt idx="333">
                  <c:v>106.58499999999999</c:v>
                </c:pt>
                <c:pt idx="334">
                  <c:v>107.023</c:v>
                </c:pt>
                <c:pt idx="335">
                  <c:v>106.925</c:v>
                </c:pt>
                <c:pt idx="336">
                  <c:v>107.004</c:v>
                </c:pt>
                <c:pt idx="337">
                  <c:v>106.518</c:v>
                </c:pt>
                <c:pt idx="338">
                  <c:v>106.11</c:v>
                </c:pt>
                <c:pt idx="339">
                  <c:v>105.874</c:v>
                </c:pt>
                <c:pt idx="340">
                  <c:v>105.49900000000001</c:v>
                </c:pt>
                <c:pt idx="341">
                  <c:v>105.30800000000001</c:v>
                </c:pt>
                <c:pt idx="342">
                  <c:v>104.82199999999999</c:v>
                </c:pt>
                <c:pt idx="343">
                  <c:v>104.864</c:v>
                </c:pt>
                <c:pt idx="344">
                  <c:v>104.788</c:v>
                </c:pt>
                <c:pt idx="345">
                  <c:v>105.166</c:v>
                </c:pt>
                <c:pt idx="346">
                  <c:v>105.41300000000001</c:v>
                </c:pt>
                <c:pt idx="347">
                  <c:v>105.393</c:v>
                </c:pt>
                <c:pt idx="348">
                  <c:v>105.643</c:v>
                </c:pt>
                <c:pt idx="349">
                  <c:v>104.47199999999999</c:v>
                </c:pt>
                <c:pt idx="350">
                  <c:v>102.97199999999999</c:v>
                </c:pt>
                <c:pt idx="351">
                  <c:v>102.348</c:v>
                </c:pt>
                <c:pt idx="352">
                  <c:v>100.834</c:v>
                </c:pt>
                <c:pt idx="353">
                  <c:v>100.039</c:v>
                </c:pt>
                <c:pt idx="354">
                  <c:v>100.069</c:v>
                </c:pt>
                <c:pt idx="355">
                  <c:v>102.956</c:v>
                </c:pt>
                <c:pt idx="356">
                  <c:v>103.524</c:v>
                </c:pt>
                <c:pt idx="357">
                  <c:v>107.096</c:v>
                </c:pt>
                <c:pt idx="358">
                  <c:v>107.01</c:v>
                </c:pt>
                <c:pt idx="359">
                  <c:v>107.41100000000002</c:v>
                </c:pt>
                <c:pt idx="360">
                  <c:v>106.771</c:v>
                </c:pt>
                <c:pt idx="361">
                  <c:v>105.36199999999999</c:v>
                </c:pt>
                <c:pt idx="362">
                  <c:v>105.114</c:v>
                </c:pt>
                <c:pt idx="363">
                  <c:v>103.90400000000001</c:v>
                </c:pt>
                <c:pt idx="364">
                  <c:v>105.79</c:v>
                </c:pt>
                <c:pt idx="365">
                  <c:v>107.036</c:v>
                </c:pt>
                <c:pt idx="366">
                  <c:v>109.79</c:v>
                </c:pt>
                <c:pt idx="367">
                  <c:v>110.864</c:v>
                </c:pt>
                <c:pt idx="368">
                  <c:v>111.542</c:v>
                </c:pt>
                <c:pt idx="369">
                  <c:v>111.306</c:v>
                </c:pt>
                <c:pt idx="370">
                  <c:v>111.292</c:v>
                </c:pt>
                <c:pt idx="371">
                  <c:v>111.38200000000001</c:v>
                </c:pt>
                <c:pt idx="372">
                  <c:v>111.367</c:v>
                </c:pt>
                <c:pt idx="373">
                  <c:v>112.99400000000001</c:v>
                </c:pt>
                <c:pt idx="374">
                  <c:v>113.908</c:v>
                </c:pt>
                <c:pt idx="375">
                  <c:v>113.92700000000002</c:v>
                </c:pt>
                <c:pt idx="376">
                  <c:v>116.765</c:v>
                </c:pt>
                <c:pt idx="377">
                  <c:v>117.651</c:v>
                </c:pt>
                <c:pt idx="378">
                  <c:v>117.563</c:v>
                </c:pt>
                <c:pt idx="379">
                  <c:v>117.85199999999999</c:v>
                </c:pt>
                <c:pt idx="380">
                  <c:v>117.78</c:v>
                </c:pt>
                <c:pt idx="381">
                  <c:v>117.8</c:v>
                </c:pt>
                <c:pt idx="382">
                  <c:v>117.869</c:v>
                </c:pt>
                <c:pt idx="383">
                  <c:v>118.023</c:v>
                </c:pt>
                <c:pt idx="384">
                  <c:v>118.26400000000001</c:v>
                </c:pt>
                <c:pt idx="385">
                  <c:v>119.492</c:v>
                </c:pt>
                <c:pt idx="386">
                  <c:v>119.66500000000001</c:v>
                </c:pt>
                <c:pt idx="387">
                  <c:v>119.327</c:v>
                </c:pt>
                <c:pt idx="388">
                  <c:v>119.518</c:v>
                </c:pt>
                <c:pt idx="389">
                  <c:v>119.301</c:v>
                </c:pt>
                <c:pt idx="390">
                  <c:v>119.40100000000001</c:v>
                </c:pt>
                <c:pt idx="391">
                  <c:v>118.92700000000002</c:v>
                </c:pt>
                <c:pt idx="392">
                  <c:v>117.693</c:v>
                </c:pt>
                <c:pt idx="393">
                  <c:v>117.357</c:v>
                </c:pt>
                <c:pt idx="394">
                  <c:v>116.91800000000002</c:v>
                </c:pt>
                <c:pt idx="395">
                  <c:v>116.806</c:v>
                </c:pt>
                <c:pt idx="396">
                  <c:v>116.47799999999999</c:v>
                </c:pt>
                <c:pt idx="397">
                  <c:v>115.90900000000002</c:v>
                </c:pt>
                <c:pt idx="398">
                  <c:v>115.471</c:v>
                </c:pt>
                <c:pt idx="399">
                  <c:v>115.191</c:v>
                </c:pt>
                <c:pt idx="400">
                  <c:v>114.121</c:v>
                </c:pt>
                <c:pt idx="401">
                  <c:v>112.61199999999999</c:v>
                </c:pt>
                <c:pt idx="402">
                  <c:v>113.66800000000001</c:v>
                </c:pt>
                <c:pt idx="403">
                  <c:v>114.13200000000001</c:v>
                </c:pt>
                <c:pt idx="404">
                  <c:v>114.627</c:v>
                </c:pt>
                <c:pt idx="405">
                  <c:v>114.72799999999999</c:v>
                </c:pt>
                <c:pt idx="406">
                  <c:v>114.56100000000002</c:v>
                </c:pt>
                <c:pt idx="407">
                  <c:v>114.18499999999999</c:v>
                </c:pt>
                <c:pt idx="408">
                  <c:v>114.22199999999999</c:v>
                </c:pt>
                <c:pt idx="409">
                  <c:v>114.006</c:v>
                </c:pt>
                <c:pt idx="410">
                  <c:v>113.31699999999999</c:v>
                </c:pt>
                <c:pt idx="411">
                  <c:v>112.298</c:v>
                </c:pt>
                <c:pt idx="412">
                  <c:v>111.94300000000001</c:v>
                </c:pt>
                <c:pt idx="413">
                  <c:v>111.508</c:v>
                </c:pt>
                <c:pt idx="414">
                  <c:v>111.25</c:v>
                </c:pt>
                <c:pt idx="415">
                  <c:v>111.223</c:v>
                </c:pt>
                <c:pt idx="416">
                  <c:v>111.23</c:v>
                </c:pt>
                <c:pt idx="417">
                  <c:v>111.44400000000002</c:v>
                </c:pt>
                <c:pt idx="418">
                  <c:v>112.57799999999999</c:v>
                </c:pt>
                <c:pt idx="419">
                  <c:v>112.45099999999999</c:v>
                </c:pt>
                <c:pt idx="420">
                  <c:v>111.71700000000001</c:v>
                </c:pt>
                <c:pt idx="421">
                  <c:v>111.596</c:v>
                </c:pt>
                <c:pt idx="422">
                  <c:v>111.386</c:v>
                </c:pt>
                <c:pt idx="423">
                  <c:v>111.145</c:v>
                </c:pt>
                <c:pt idx="424">
                  <c:v>111.31399999999999</c:v>
                </c:pt>
                <c:pt idx="425">
                  <c:v>112.038</c:v>
                </c:pt>
                <c:pt idx="426">
                  <c:v>112.009</c:v>
                </c:pt>
                <c:pt idx="427">
                  <c:v>112.61</c:v>
                </c:pt>
                <c:pt idx="428">
                  <c:v>114.04</c:v>
                </c:pt>
                <c:pt idx="429">
                  <c:v>114.298</c:v>
                </c:pt>
                <c:pt idx="430">
                  <c:v>114.35499999999999</c:v>
                </c:pt>
                <c:pt idx="431">
                  <c:v>114.04700000000001</c:v>
                </c:pt>
                <c:pt idx="432">
                  <c:v>113.02</c:v>
                </c:pt>
                <c:pt idx="433">
                  <c:v>112.202</c:v>
                </c:pt>
                <c:pt idx="434">
                  <c:v>111.851</c:v>
                </c:pt>
                <c:pt idx="435">
                  <c:v>111.983</c:v>
                </c:pt>
                <c:pt idx="436">
                  <c:v>111.846</c:v>
                </c:pt>
                <c:pt idx="437">
                  <c:v>111.501</c:v>
                </c:pt>
                <c:pt idx="438">
                  <c:v>111.593</c:v>
                </c:pt>
                <c:pt idx="439">
                  <c:v>112.018</c:v>
                </c:pt>
                <c:pt idx="440">
                  <c:v>112.148</c:v>
                </c:pt>
                <c:pt idx="441">
                  <c:v>112.363</c:v>
                </c:pt>
                <c:pt idx="442">
                  <c:v>112.60599999999998</c:v>
                </c:pt>
                <c:pt idx="443">
                  <c:v>113.086</c:v>
                </c:pt>
                <c:pt idx="444">
                  <c:v>113.398</c:v>
                </c:pt>
                <c:pt idx="445">
                  <c:v>113.44700000000002</c:v>
                </c:pt>
                <c:pt idx="446">
                  <c:v>113.78700000000002</c:v>
                </c:pt>
                <c:pt idx="447">
                  <c:v>113.87299999999999</c:v>
                </c:pt>
                <c:pt idx="448">
                  <c:v>113.90100000000001</c:v>
                </c:pt>
                <c:pt idx="449">
                  <c:v>113.782</c:v>
                </c:pt>
                <c:pt idx="450">
                  <c:v>113.887</c:v>
                </c:pt>
                <c:pt idx="451">
                  <c:v>113.90700000000001</c:v>
                </c:pt>
                <c:pt idx="452">
                  <c:v>113.87199999999999</c:v>
                </c:pt>
                <c:pt idx="453">
                  <c:v>113.91300000000001</c:v>
                </c:pt>
                <c:pt idx="454">
                  <c:v>114.703</c:v>
                </c:pt>
                <c:pt idx="455">
                  <c:v>115.489</c:v>
                </c:pt>
                <c:pt idx="456">
                  <c:v>116.239</c:v>
                </c:pt>
                <c:pt idx="457">
                  <c:v>116.58</c:v>
                </c:pt>
                <c:pt idx="458">
                  <c:v>116.715</c:v>
                </c:pt>
                <c:pt idx="459">
                  <c:v>116.398</c:v>
                </c:pt>
                <c:pt idx="460">
                  <c:v>116.34</c:v>
                </c:pt>
                <c:pt idx="461">
                  <c:v>116.23399999999999</c:v>
                </c:pt>
                <c:pt idx="462">
                  <c:v>116.24400000000001</c:v>
                </c:pt>
                <c:pt idx="463">
                  <c:v>116.66200000000001</c:v>
                </c:pt>
                <c:pt idx="464">
                  <c:v>117.277</c:v>
                </c:pt>
                <c:pt idx="465">
                  <c:v>117.331</c:v>
                </c:pt>
                <c:pt idx="466">
                  <c:v>117.405</c:v>
                </c:pt>
                <c:pt idx="467">
                  <c:v>117.545</c:v>
                </c:pt>
                <c:pt idx="468">
                  <c:v>117.72</c:v>
                </c:pt>
                <c:pt idx="469">
                  <c:v>117.62799999999999</c:v>
                </c:pt>
                <c:pt idx="470">
                  <c:v>117.194</c:v>
                </c:pt>
                <c:pt idx="471">
                  <c:v>117.181</c:v>
                </c:pt>
                <c:pt idx="472">
                  <c:v>117.107</c:v>
                </c:pt>
                <c:pt idx="473">
                  <c:v>116.821</c:v>
                </c:pt>
                <c:pt idx="474">
                  <c:v>116.968</c:v>
                </c:pt>
                <c:pt idx="475">
                  <c:v>116.736</c:v>
                </c:pt>
                <c:pt idx="476">
                  <c:v>116.10599999999998</c:v>
                </c:pt>
                <c:pt idx="477">
                  <c:v>115.752</c:v>
                </c:pt>
                <c:pt idx="478">
                  <c:v>115.187</c:v>
                </c:pt>
                <c:pt idx="479">
                  <c:v>115.242</c:v>
                </c:pt>
                <c:pt idx="480">
                  <c:v>115.21100000000001</c:v>
                </c:pt>
                <c:pt idx="481">
                  <c:v>115.23399999999999</c:v>
                </c:pt>
                <c:pt idx="482">
                  <c:v>115.111</c:v>
                </c:pt>
                <c:pt idx="483">
                  <c:v>115.164</c:v>
                </c:pt>
                <c:pt idx="484">
                  <c:v>115.154</c:v>
                </c:pt>
                <c:pt idx="485">
                  <c:v>115.262</c:v>
                </c:pt>
                <c:pt idx="486">
                  <c:v>115.21100000000001</c:v>
                </c:pt>
                <c:pt idx="487">
                  <c:v>115.19</c:v>
                </c:pt>
                <c:pt idx="488">
                  <c:v>114.729</c:v>
                </c:pt>
                <c:pt idx="489">
                  <c:v>113.432</c:v>
                </c:pt>
                <c:pt idx="490">
                  <c:v>112.884</c:v>
                </c:pt>
                <c:pt idx="491">
                  <c:v>112.48699999999999</c:v>
                </c:pt>
                <c:pt idx="492">
                  <c:v>112.532</c:v>
                </c:pt>
                <c:pt idx="493">
                  <c:v>112.59</c:v>
                </c:pt>
                <c:pt idx="494">
                  <c:v>112.79400000000001</c:v>
                </c:pt>
                <c:pt idx="495">
                  <c:v>112.91900000000001</c:v>
                </c:pt>
                <c:pt idx="496">
                  <c:v>112.955</c:v>
                </c:pt>
                <c:pt idx="497">
                  <c:v>112.898</c:v>
                </c:pt>
                <c:pt idx="498">
                  <c:v>112.90900000000002</c:v>
                </c:pt>
                <c:pt idx="499">
                  <c:v>112.92100000000002</c:v>
                </c:pt>
                <c:pt idx="500">
                  <c:v>112.88200000000001</c:v>
                </c:pt>
                <c:pt idx="501">
                  <c:v>112.776</c:v>
                </c:pt>
                <c:pt idx="502">
                  <c:v>112.10599999999998</c:v>
                </c:pt>
                <c:pt idx="503">
                  <c:v>111.96700000000001</c:v>
                </c:pt>
                <c:pt idx="504">
                  <c:v>111.62899999999999</c:v>
                </c:pt>
                <c:pt idx="505">
                  <c:v>111.55</c:v>
                </c:pt>
                <c:pt idx="506">
                  <c:v>111.624</c:v>
                </c:pt>
                <c:pt idx="507">
                  <c:v>111.559</c:v>
                </c:pt>
                <c:pt idx="508">
                  <c:v>111.13500000000001</c:v>
                </c:pt>
                <c:pt idx="509">
                  <c:v>110.76100000000001</c:v>
                </c:pt>
                <c:pt idx="510">
                  <c:v>110.37499999999999</c:v>
                </c:pt>
                <c:pt idx="511">
                  <c:v>110.08799999999999</c:v>
                </c:pt>
                <c:pt idx="512">
                  <c:v>108.17700000000001</c:v>
                </c:pt>
                <c:pt idx="513">
                  <c:v>107.928</c:v>
                </c:pt>
                <c:pt idx="514">
                  <c:v>107.874</c:v>
                </c:pt>
                <c:pt idx="515">
                  <c:v>107.86499999999999</c:v>
                </c:pt>
                <c:pt idx="516">
                  <c:v>107.87499999999999</c:v>
                </c:pt>
                <c:pt idx="517">
                  <c:v>107.697</c:v>
                </c:pt>
                <c:pt idx="518">
                  <c:v>107.596</c:v>
                </c:pt>
                <c:pt idx="519">
                  <c:v>107.643</c:v>
                </c:pt>
                <c:pt idx="520">
                  <c:v>107.785</c:v>
                </c:pt>
                <c:pt idx="521">
                  <c:v>107.36799999999999</c:v>
                </c:pt>
                <c:pt idx="522">
                  <c:v>107.154</c:v>
                </c:pt>
                <c:pt idx="523">
                  <c:v>107.468</c:v>
                </c:pt>
                <c:pt idx="524">
                  <c:v>107.64700000000002</c:v>
                </c:pt>
                <c:pt idx="525">
                  <c:v>107.94300000000001</c:v>
                </c:pt>
                <c:pt idx="526">
                  <c:v>107.84099999999999</c:v>
                </c:pt>
                <c:pt idx="527">
                  <c:v>107.045</c:v>
                </c:pt>
                <c:pt idx="528">
                  <c:v>106.539</c:v>
                </c:pt>
                <c:pt idx="529">
                  <c:v>108.107</c:v>
                </c:pt>
                <c:pt idx="530">
                  <c:v>108.812</c:v>
                </c:pt>
                <c:pt idx="531">
                  <c:v>109.054</c:v>
                </c:pt>
                <c:pt idx="532">
                  <c:v>110.07</c:v>
                </c:pt>
                <c:pt idx="533">
                  <c:v>110.523</c:v>
                </c:pt>
                <c:pt idx="534">
                  <c:v>110.486</c:v>
                </c:pt>
                <c:pt idx="535">
                  <c:v>109.51700000000001</c:v>
                </c:pt>
                <c:pt idx="536">
                  <c:v>108.89700000000002</c:v>
                </c:pt>
                <c:pt idx="537">
                  <c:v>107.99600000000001</c:v>
                </c:pt>
                <c:pt idx="538">
                  <c:v>107.694</c:v>
                </c:pt>
                <c:pt idx="539">
                  <c:v>106.84399999999999</c:v>
                </c:pt>
                <c:pt idx="540">
                  <c:v>106.72</c:v>
                </c:pt>
                <c:pt idx="541">
                  <c:v>106.49299999999999</c:v>
                </c:pt>
                <c:pt idx="542">
                  <c:v>106.07299999999998</c:v>
                </c:pt>
                <c:pt idx="543">
                  <c:v>106.09</c:v>
                </c:pt>
                <c:pt idx="544">
                  <c:v>106.095</c:v>
                </c:pt>
                <c:pt idx="545">
                  <c:v>106.09399999999999</c:v>
                </c:pt>
                <c:pt idx="546">
                  <c:v>105.35499999999999</c:v>
                </c:pt>
                <c:pt idx="547">
                  <c:v>108.346</c:v>
                </c:pt>
                <c:pt idx="548">
                  <c:v>108.86999999999999</c:v>
                </c:pt>
                <c:pt idx="549">
                  <c:v>108.733</c:v>
                </c:pt>
                <c:pt idx="550">
                  <c:v>109.116</c:v>
                </c:pt>
                <c:pt idx="551">
                  <c:v>109.24600000000001</c:v>
                </c:pt>
                <c:pt idx="552">
                  <c:v>109.74400000000001</c:v>
                </c:pt>
                <c:pt idx="553">
                  <c:v>109.932</c:v>
                </c:pt>
                <c:pt idx="554">
                  <c:v>109.923</c:v>
                </c:pt>
                <c:pt idx="555">
                  <c:v>109.789</c:v>
                </c:pt>
                <c:pt idx="556">
                  <c:v>107.756</c:v>
                </c:pt>
                <c:pt idx="557">
                  <c:v>107.405</c:v>
                </c:pt>
                <c:pt idx="558">
                  <c:v>106.29</c:v>
                </c:pt>
                <c:pt idx="559">
                  <c:v>105.759</c:v>
                </c:pt>
                <c:pt idx="560">
                  <c:v>105.384</c:v>
                </c:pt>
                <c:pt idx="561">
                  <c:v>103.04600000000002</c:v>
                </c:pt>
                <c:pt idx="562">
                  <c:v>102.554</c:v>
                </c:pt>
                <c:pt idx="563">
                  <c:v>102.199</c:v>
                </c:pt>
                <c:pt idx="564">
                  <c:v>101.363</c:v>
                </c:pt>
                <c:pt idx="565">
                  <c:v>101.35599999999998</c:v>
                </c:pt>
                <c:pt idx="566">
                  <c:v>101.39400000000002</c:v>
                </c:pt>
                <c:pt idx="567">
                  <c:v>101.64999999999999</c:v>
                </c:pt>
                <c:pt idx="568">
                  <c:v>102.03400000000002</c:v>
                </c:pt>
                <c:pt idx="569">
                  <c:v>101.96100000000001</c:v>
                </c:pt>
                <c:pt idx="570">
                  <c:v>102.012</c:v>
                </c:pt>
                <c:pt idx="571">
                  <c:v>102.07199999999999</c:v>
                </c:pt>
                <c:pt idx="572">
                  <c:v>102.04</c:v>
                </c:pt>
                <c:pt idx="573">
                  <c:v>102.13800000000001</c:v>
                </c:pt>
                <c:pt idx="574">
                  <c:v>101.61999999999999</c:v>
                </c:pt>
                <c:pt idx="575">
                  <c:v>101.49400000000001</c:v>
                </c:pt>
                <c:pt idx="576">
                  <c:v>101.18199999999999</c:v>
                </c:pt>
                <c:pt idx="577">
                  <c:v>100.465</c:v>
                </c:pt>
                <c:pt idx="578">
                  <c:v>100.41100000000002</c:v>
                </c:pt>
                <c:pt idx="579">
                  <c:v>100.18899999999998</c:v>
                </c:pt>
                <c:pt idx="580">
                  <c:v>100.03100000000002</c:v>
                </c:pt>
                <c:pt idx="581">
                  <c:v>100.346</c:v>
                </c:pt>
                <c:pt idx="582">
                  <c:v>100.09699999999999</c:v>
                </c:pt>
                <c:pt idx="583">
                  <c:v>100.265</c:v>
                </c:pt>
                <c:pt idx="584">
                  <c:v>102.84699999999999</c:v>
                </c:pt>
                <c:pt idx="585">
                  <c:v>103.453</c:v>
                </c:pt>
                <c:pt idx="586">
                  <c:v>103.223</c:v>
                </c:pt>
                <c:pt idx="587">
                  <c:v>102.89400000000002</c:v>
                </c:pt>
                <c:pt idx="588">
                  <c:v>101.90100000000001</c:v>
                </c:pt>
                <c:pt idx="589">
                  <c:v>101.21100000000001</c:v>
                </c:pt>
                <c:pt idx="590">
                  <c:v>101.01300000000002</c:v>
                </c:pt>
                <c:pt idx="591">
                  <c:v>101.038</c:v>
                </c:pt>
                <c:pt idx="592">
                  <c:v>100.863</c:v>
                </c:pt>
                <c:pt idx="593">
                  <c:v>100.773</c:v>
                </c:pt>
                <c:pt idx="594">
                  <c:v>100.899</c:v>
                </c:pt>
                <c:pt idx="595">
                  <c:v>101.54400000000001</c:v>
                </c:pt>
                <c:pt idx="596">
                  <c:v>101.62599999999999</c:v>
                </c:pt>
                <c:pt idx="597">
                  <c:v>101.554</c:v>
                </c:pt>
                <c:pt idx="598">
                  <c:v>102.53100000000002</c:v>
                </c:pt>
                <c:pt idx="599">
                  <c:v>103.157</c:v>
                </c:pt>
                <c:pt idx="600">
                  <c:v>103.20099999999999</c:v>
                </c:pt>
                <c:pt idx="601">
                  <c:v>102.88800000000001</c:v>
                </c:pt>
                <c:pt idx="602">
                  <c:v>102.50700000000002</c:v>
                </c:pt>
                <c:pt idx="603">
                  <c:v>101.389</c:v>
                </c:pt>
                <c:pt idx="604">
                  <c:v>103.29400000000001</c:v>
                </c:pt>
                <c:pt idx="605">
                  <c:v>104.00700000000002</c:v>
                </c:pt>
                <c:pt idx="606">
                  <c:v>104.181</c:v>
                </c:pt>
                <c:pt idx="607">
                  <c:v>103.959</c:v>
                </c:pt>
                <c:pt idx="608">
                  <c:v>103.87899999999999</c:v>
                </c:pt>
                <c:pt idx="609">
                  <c:v>103.08499999999999</c:v>
                </c:pt>
                <c:pt idx="610">
                  <c:v>103.01300000000002</c:v>
                </c:pt>
                <c:pt idx="611">
                  <c:v>102.58</c:v>
                </c:pt>
                <c:pt idx="612">
                  <c:v>102.65499999999999</c:v>
                </c:pt>
                <c:pt idx="613">
                  <c:v>102.601</c:v>
                </c:pt>
                <c:pt idx="614">
                  <c:v>102.488</c:v>
                </c:pt>
                <c:pt idx="615">
                  <c:v>103.098</c:v>
                </c:pt>
                <c:pt idx="616">
                  <c:v>103.798</c:v>
                </c:pt>
                <c:pt idx="617">
                  <c:v>103.04600000000002</c:v>
                </c:pt>
                <c:pt idx="618">
                  <c:v>102.50700000000002</c:v>
                </c:pt>
                <c:pt idx="619">
                  <c:v>102.10799999999999</c:v>
                </c:pt>
                <c:pt idx="620">
                  <c:v>101.958</c:v>
                </c:pt>
                <c:pt idx="621">
                  <c:v>101.681</c:v>
                </c:pt>
                <c:pt idx="622">
                  <c:v>101.553</c:v>
                </c:pt>
                <c:pt idx="623">
                  <c:v>101.13800000000001</c:v>
                </c:pt>
                <c:pt idx="624">
                  <c:v>100.908</c:v>
                </c:pt>
                <c:pt idx="625">
                  <c:v>100.49000000000001</c:v>
                </c:pt>
                <c:pt idx="626">
                  <c:v>100.06399999999999</c:v>
                </c:pt>
                <c:pt idx="627">
                  <c:v>99.509</c:v>
                </c:pt>
                <c:pt idx="628">
                  <c:v>99.218999999999994</c:v>
                </c:pt>
                <c:pt idx="629">
                  <c:v>99.218000000000004</c:v>
                </c:pt>
                <c:pt idx="630">
                  <c:v>99.48</c:v>
                </c:pt>
                <c:pt idx="631">
                  <c:v>100.44500000000001</c:v>
                </c:pt>
                <c:pt idx="632">
                  <c:v>100.94400000000002</c:v>
                </c:pt>
                <c:pt idx="633">
                  <c:v>101.24700000000001</c:v>
                </c:pt>
                <c:pt idx="634">
                  <c:v>101.32899999999998</c:v>
                </c:pt>
                <c:pt idx="635">
                  <c:v>101.53</c:v>
                </c:pt>
                <c:pt idx="636">
                  <c:v>101.768</c:v>
                </c:pt>
                <c:pt idx="637">
                  <c:v>101.85</c:v>
                </c:pt>
                <c:pt idx="638">
                  <c:v>102.523</c:v>
                </c:pt>
                <c:pt idx="639">
                  <c:v>103.215</c:v>
                </c:pt>
                <c:pt idx="640">
                  <c:v>103.703</c:v>
                </c:pt>
                <c:pt idx="641">
                  <c:v>103.95</c:v>
                </c:pt>
                <c:pt idx="642">
                  <c:v>104.074</c:v>
                </c:pt>
                <c:pt idx="643">
                  <c:v>105.663</c:v>
                </c:pt>
                <c:pt idx="644">
                  <c:v>105.982</c:v>
                </c:pt>
                <c:pt idx="645">
                  <c:v>106.09399999999999</c:v>
                </c:pt>
                <c:pt idx="646">
                  <c:v>106.117</c:v>
                </c:pt>
                <c:pt idx="647">
                  <c:v>106.24000000000001</c:v>
                </c:pt>
                <c:pt idx="648">
                  <c:v>106.07499999999999</c:v>
                </c:pt>
                <c:pt idx="649">
                  <c:v>105.83499999999999</c:v>
                </c:pt>
                <c:pt idx="650">
                  <c:v>106.131</c:v>
                </c:pt>
                <c:pt idx="651">
                  <c:v>106.02500000000001</c:v>
                </c:pt>
                <c:pt idx="652">
                  <c:v>105.709</c:v>
                </c:pt>
                <c:pt idx="653">
                  <c:v>105.62499999999999</c:v>
                </c:pt>
                <c:pt idx="654">
                  <c:v>105.63200000000001</c:v>
                </c:pt>
                <c:pt idx="655">
                  <c:v>105.58</c:v>
                </c:pt>
                <c:pt idx="656">
                  <c:v>105.51</c:v>
                </c:pt>
                <c:pt idx="657">
                  <c:v>105.423</c:v>
                </c:pt>
                <c:pt idx="658">
                  <c:v>105.343</c:v>
                </c:pt>
                <c:pt idx="659">
                  <c:v>105.245</c:v>
                </c:pt>
                <c:pt idx="660">
                  <c:v>105.312</c:v>
                </c:pt>
                <c:pt idx="661">
                  <c:v>105.371</c:v>
                </c:pt>
                <c:pt idx="662">
                  <c:v>105.423</c:v>
                </c:pt>
                <c:pt idx="663">
                  <c:v>105.476</c:v>
                </c:pt>
                <c:pt idx="664">
                  <c:v>105.393</c:v>
                </c:pt>
                <c:pt idx="665">
                  <c:v>105.40600000000002</c:v>
                </c:pt>
                <c:pt idx="666">
                  <c:v>105.40700000000001</c:v>
                </c:pt>
                <c:pt idx="667">
                  <c:v>105.36199999999999</c:v>
                </c:pt>
                <c:pt idx="668">
                  <c:v>105.53100000000002</c:v>
                </c:pt>
                <c:pt idx="669">
                  <c:v>106.02200000000001</c:v>
                </c:pt>
                <c:pt idx="670">
                  <c:v>105.99400000000001</c:v>
                </c:pt>
                <c:pt idx="671">
                  <c:v>105.953</c:v>
                </c:pt>
                <c:pt idx="672">
                  <c:v>105.986</c:v>
                </c:pt>
                <c:pt idx="673">
                  <c:v>106.01</c:v>
                </c:pt>
                <c:pt idx="674">
                  <c:v>105.87899999999999</c:v>
                </c:pt>
                <c:pt idx="675">
                  <c:v>105.762</c:v>
                </c:pt>
                <c:pt idx="676">
                  <c:v>105.71700000000001</c:v>
                </c:pt>
                <c:pt idx="677">
                  <c:v>105.816</c:v>
                </c:pt>
                <c:pt idx="678">
                  <c:v>105.663</c:v>
                </c:pt>
                <c:pt idx="679">
                  <c:v>105.62799999999999</c:v>
                </c:pt>
                <c:pt idx="680">
                  <c:v>105.91100000000002</c:v>
                </c:pt>
                <c:pt idx="681">
                  <c:v>105.98</c:v>
                </c:pt>
                <c:pt idx="682">
                  <c:v>106.62499999999999</c:v>
                </c:pt>
                <c:pt idx="683">
                  <c:v>106.696</c:v>
                </c:pt>
                <c:pt idx="684">
                  <c:v>106.755</c:v>
                </c:pt>
                <c:pt idx="685">
                  <c:v>106.72</c:v>
                </c:pt>
                <c:pt idx="686">
                  <c:v>106.473</c:v>
                </c:pt>
                <c:pt idx="687">
                  <c:v>106.593</c:v>
                </c:pt>
                <c:pt idx="688">
                  <c:v>106.383</c:v>
                </c:pt>
                <c:pt idx="689">
                  <c:v>105.54300000000002</c:v>
                </c:pt>
                <c:pt idx="690">
                  <c:v>104.51300000000002</c:v>
                </c:pt>
                <c:pt idx="691">
                  <c:v>104.474</c:v>
                </c:pt>
                <c:pt idx="692">
                  <c:v>104.083</c:v>
                </c:pt>
                <c:pt idx="693">
                  <c:v>103.91000000000001</c:v>
                </c:pt>
                <c:pt idx="694">
                  <c:v>104.139</c:v>
                </c:pt>
                <c:pt idx="695">
                  <c:v>103.995</c:v>
                </c:pt>
                <c:pt idx="696">
                  <c:v>102.44400000000002</c:v>
                </c:pt>
                <c:pt idx="697">
                  <c:v>101.51600000000002</c:v>
                </c:pt>
                <c:pt idx="698">
                  <c:v>101.2</c:v>
                </c:pt>
                <c:pt idx="699">
                  <c:v>100.64</c:v>
                </c:pt>
                <c:pt idx="700">
                  <c:v>100.52500000000001</c:v>
                </c:pt>
                <c:pt idx="701">
                  <c:v>100.21100000000001</c:v>
                </c:pt>
                <c:pt idx="702">
                  <c:v>100.139</c:v>
                </c:pt>
                <c:pt idx="703">
                  <c:v>99.807000000000002</c:v>
                </c:pt>
                <c:pt idx="704">
                  <c:v>99.709000000000003</c:v>
                </c:pt>
                <c:pt idx="705">
                  <c:v>99.727000000000004</c:v>
                </c:pt>
                <c:pt idx="706">
                  <c:v>99.777999999999992</c:v>
                </c:pt>
                <c:pt idx="707">
                  <c:v>99.778999999999982</c:v>
                </c:pt>
                <c:pt idx="708">
                  <c:v>99.751000000000005</c:v>
                </c:pt>
                <c:pt idx="709">
                  <c:v>99.712999999999994</c:v>
                </c:pt>
                <c:pt idx="710">
                  <c:v>99.798000000000002</c:v>
                </c:pt>
                <c:pt idx="711">
                  <c:v>99.678999999999988</c:v>
                </c:pt>
                <c:pt idx="712">
                  <c:v>99.557999999999993</c:v>
                </c:pt>
                <c:pt idx="713">
                  <c:v>99.685999999999993</c:v>
                </c:pt>
                <c:pt idx="714">
                  <c:v>99.938000000000002</c:v>
                </c:pt>
                <c:pt idx="715">
                  <c:v>99.864000000000004</c:v>
                </c:pt>
                <c:pt idx="716">
                  <c:v>99.864999999999995</c:v>
                </c:pt>
                <c:pt idx="717">
                  <c:v>99.85799999999999</c:v>
                </c:pt>
                <c:pt idx="718">
                  <c:v>99.531999999999996</c:v>
                </c:pt>
                <c:pt idx="719">
                  <c:v>99.415000000000006</c:v>
                </c:pt>
                <c:pt idx="720">
                  <c:v>99.371999999999986</c:v>
                </c:pt>
                <c:pt idx="721">
                  <c:v>99.225999999999999</c:v>
                </c:pt>
                <c:pt idx="722">
                  <c:v>98.75</c:v>
                </c:pt>
                <c:pt idx="723">
                  <c:v>98.551999999999992</c:v>
                </c:pt>
                <c:pt idx="724">
                  <c:v>98.12299999999999</c:v>
                </c:pt>
                <c:pt idx="725">
                  <c:v>98.021000000000001</c:v>
                </c:pt>
                <c:pt idx="726">
                  <c:v>97.711000000000013</c:v>
                </c:pt>
                <c:pt idx="727">
                  <c:v>97.343999999999994</c:v>
                </c:pt>
                <c:pt idx="728">
                  <c:v>97.173999999999992</c:v>
                </c:pt>
                <c:pt idx="729">
                  <c:v>97.11999999999999</c:v>
                </c:pt>
                <c:pt idx="730">
                  <c:v>97.147999999999996</c:v>
                </c:pt>
                <c:pt idx="731">
                  <c:v>97.312000000000012</c:v>
                </c:pt>
                <c:pt idx="732">
                  <c:v>97.349000000000004</c:v>
                </c:pt>
                <c:pt idx="733">
                  <c:v>97.475999999999999</c:v>
                </c:pt>
                <c:pt idx="734">
                  <c:v>97.426000000000002</c:v>
                </c:pt>
                <c:pt idx="735">
                  <c:v>97.278999999999982</c:v>
                </c:pt>
                <c:pt idx="736">
                  <c:v>96.906999999999996</c:v>
                </c:pt>
                <c:pt idx="737">
                  <c:v>97.028999999999982</c:v>
                </c:pt>
                <c:pt idx="738">
                  <c:v>97.363</c:v>
                </c:pt>
                <c:pt idx="739">
                  <c:v>97.34</c:v>
                </c:pt>
                <c:pt idx="740">
                  <c:v>97.274999999999991</c:v>
                </c:pt>
                <c:pt idx="741">
                  <c:v>97.137999999999991</c:v>
                </c:pt>
                <c:pt idx="742">
                  <c:v>97.175999999999988</c:v>
                </c:pt>
                <c:pt idx="743">
                  <c:v>96.956000000000003</c:v>
                </c:pt>
                <c:pt idx="744">
                  <c:v>96.662999999999982</c:v>
                </c:pt>
                <c:pt idx="745">
                  <c:v>97.137</c:v>
                </c:pt>
                <c:pt idx="746">
                  <c:v>96.875999999999991</c:v>
                </c:pt>
                <c:pt idx="747">
                  <c:v>97.188999999999979</c:v>
                </c:pt>
                <c:pt idx="748">
                  <c:v>96.465000000000003</c:v>
                </c:pt>
                <c:pt idx="749">
                  <c:v>96.573999999999998</c:v>
                </c:pt>
                <c:pt idx="750">
                  <c:v>96.438999999999993</c:v>
                </c:pt>
                <c:pt idx="751">
                  <c:v>96.236999999999995</c:v>
                </c:pt>
                <c:pt idx="752">
                  <c:v>96.10199999999999</c:v>
                </c:pt>
                <c:pt idx="753">
                  <c:v>96.245000000000005</c:v>
                </c:pt>
                <c:pt idx="754">
                  <c:v>96.186999999999998</c:v>
                </c:pt>
                <c:pt idx="755">
                  <c:v>96.212000000000003</c:v>
                </c:pt>
                <c:pt idx="756">
                  <c:v>96.242999999999995</c:v>
                </c:pt>
                <c:pt idx="757">
                  <c:v>96.32</c:v>
                </c:pt>
                <c:pt idx="758">
                  <c:v>96.182999999999993</c:v>
                </c:pt>
                <c:pt idx="759">
                  <c:v>96.274999999999991</c:v>
                </c:pt>
                <c:pt idx="760">
                  <c:v>96.284999999999997</c:v>
                </c:pt>
                <c:pt idx="761">
                  <c:v>96.037999999999997</c:v>
                </c:pt>
                <c:pt idx="762">
                  <c:v>95.997000000000014</c:v>
                </c:pt>
                <c:pt idx="763">
                  <c:v>96.081000000000003</c:v>
                </c:pt>
                <c:pt idx="764">
                  <c:v>96.260999999999996</c:v>
                </c:pt>
                <c:pt idx="765">
                  <c:v>96.631</c:v>
                </c:pt>
                <c:pt idx="766">
                  <c:v>97.137999999999991</c:v>
                </c:pt>
                <c:pt idx="767">
                  <c:v>97.228999999999999</c:v>
                </c:pt>
                <c:pt idx="768">
                  <c:v>97.48</c:v>
                </c:pt>
                <c:pt idx="769">
                  <c:v>97.459000000000003</c:v>
                </c:pt>
                <c:pt idx="770">
                  <c:v>98.747000000000014</c:v>
                </c:pt>
                <c:pt idx="771">
                  <c:v>99.098000000000013</c:v>
                </c:pt>
                <c:pt idx="772">
                  <c:v>99.557999999999993</c:v>
                </c:pt>
                <c:pt idx="773">
                  <c:v>99.947000000000017</c:v>
                </c:pt>
                <c:pt idx="774">
                  <c:v>101.854</c:v>
                </c:pt>
                <c:pt idx="775">
                  <c:v>101.94400000000002</c:v>
                </c:pt>
                <c:pt idx="776">
                  <c:v>101.84</c:v>
                </c:pt>
                <c:pt idx="777">
                  <c:v>101.854</c:v>
                </c:pt>
                <c:pt idx="778">
                  <c:v>102.459</c:v>
                </c:pt>
                <c:pt idx="779">
                  <c:v>102.301</c:v>
                </c:pt>
                <c:pt idx="780">
                  <c:v>102.40700000000001</c:v>
                </c:pt>
                <c:pt idx="781">
                  <c:v>102.107</c:v>
                </c:pt>
                <c:pt idx="782">
                  <c:v>101.483</c:v>
                </c:pt>
                <c:pt idx="783">
                  <c:v>101.81</c:v>
                </c:pt>
                <c:pt idx="784">
                  <c:v>102.68300000000001</c:v>
                </c:pt>
                <c:pt idx="785">
                  <c:v>102.149</c:v>
                </c:pt>
                <c:pt idx="786">
                  <c:v>101.26100000000001</c:v>
                </c:pt>
                <c:pt idx="787">
                  <c:v>98.634</c:v>
                </c:pt>
                <c:pt idx="788">
                  <c:v>98.150999999999982</c:v>
                </c:pt>
                <c:pt idx="789">
                  <c:v>97.875999999999991</c:v>
                </c:pt>
                <c:pt idx="790">
                  <c:v>97.807000000000002</c:v>
                </c:pt>
                <c:pt idx="791">
                  <c:v>97.795000000000002</c:v>
                </c:pt>
                <c:pt idx="792">
                  <c:v>97.804999999999993</c:v>
                </c:pt>
                <c:pt idx="793">
                  <c:v>97.349000000000004</c:v>
                </c:pt>
                <c:pt idx="794">
                  <c:v>97.488</c:v>
                </c:pt>
                <c:pt idx="795">
                  <c:v>96.774999999999991</c:v>
                </c:pt>
                <c:pt idx="796">
                  <c:v>96.801000000000002</c:v>
                </c:pt>
                <c:pt idx="797">
                  <c:v>96.397000000000006</c:v>
                </c:pt>
                <c:pt idx="798">
                  <c:v>95.385999999999981</c:v>
                </c:pt>
                <c:pt idx="799">
                  <c:v>94.001999999999995</c:v>
                </c:pt>
                <c:pt idx="800">
                  <c:v>93.73</c:v>
                </c:pt>
                <c:pt idx="801">
                  <c:v>93.253</c:v>
                </c:pt>
                <c:pt idx="802">
                  <c:v>91.371999999999986</c:v>
                </c:pt>
                <c:pt idx="803">
                  <c:v>89.933999999999997</c:v>
                </c:pt>
              </c:numCache>
            </c:numRef>
          </c:val>
        </c:ser>
        <c:dLbls>
          <c:showLegendKey val="0"/>
          <c:showVal val="0"/>
          <c:showCatName val="0"/>
          <c:showSerName val="0"/>
          <c:showPercent val="0"/>
          <c:showBubbleSize val="0"/>
        </c:dLbls>
        <c:axId val="296812856"/>
        <c:axId val="296813248"/>
      </c:areaChart>
      <c:lineChart>
        <c:grouping val="standard"/>
        <c:varyColors val="0"/>
        <c:ser>
          <c:idx val="1"/>
          <c:order val="1"/>
          <c:tx>
            <c:strRef>
              <c:f>Eurobond!$D$3</c:f>
              <c:strCache>
                <c:ptCount val="1"/>
                <c:pt idx="0">
                  <c:v>Средњи принос до доспећа</c:v>
                </c:pt>
              </c:strCache>
            </c:strRef>
          </c:tx>
          <c:spPr>
            <a:ln w="22225" cap="rnd">
              <a:solidFill>
                <a:srgbClr val="51671F"/>
              </a:solidFill>
              <a:round/>
            </a:ln>
            <a:effectLst/>
          </c:spPr>
          <c:marker>
            <c:symbol val="none"/>
          </c:marker>
          <c:cat>
            <c:numRef>
              <c:f>'[2]EUROBOND 2021'!$A$25:$A$530</c:f>
              <c:numCache>
                <c:formatCode>General</c:formatCode>
                <c:ptCount val="50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numCache>
            </c:numRef>
          </c:cat>
          <c:val>
            <c:numRef>
              <c:f>Eurobond!$D$6:$D$809</c:f>
              <c:numCache>
                <c:formatCode>#,##0.000</c:formatCode>
                <c:ptCount val="804"/>
                <c:pt idx="0">
                  <c:v>4.7080000000000002</c:v>
                </c:pt>
                <c:pt idx="1">
                  <c:v>4.7489999999999997</c:v>
                </c:pt>
                <c:pt idx="2">
                  <c:v>4.7469999999999999</c:v>
                </c:pt>
                <c:pt idx="3">
                  <c:v>4.754999999999999</c:v>
                </c:pt>
                <c:pt idx="4">
                  <c:v>4.7569999999999997</c:v>
                </c:pt>
                <c:pt idx="5">
                  <c:v>4.7699999999999996</c:v>
                </c:pt>
                <c:pt idx="6">
                  <c:v>4.7450000000000001</c:v>
                </c:pt>
                <c:pt idx="7">
                  <c:v>4.7539999999999996</c:v>
                </c:pt>
                <c:pt idx="8">
                  <c:v>4.79</c:v>
                </c:pt>
                <c:pt idx="9">
                  <c:v>4.8539999999999992</c:v>
                </c:pt>
                <c:pt idx="10">
                  <c:v>4.95</c:v>
                </c:pt>
                <c:pt idx="11">
                  <c:v>5.1189999999999989</c:v>
                </c:pt>
                <c:pt idx="12">
                  <c:v>5.0730000000000004</c:v>
                </c:pt>
                <c:pt idx="13">
                  <c:v>5.1179999999999994</c:v>
                </c:pt>
                <c:pt idx="14">
                  <c:v>5.1370000000000005</c:v>
                </c:pt>
                <c:pt idx="15">
                  <c:v>5.1119999999999992</c:v>
                </c:pt>
                <c:pt idx="16">
                  <c:v>5.0619999999999994</c:v>
                </c:pt>
                <c:pt idx="17">
                  <c:v>5.2089999999999996</c:v>
                </c:pt>
                <c:pt idx="18">
                  <c:v>5.2480000000000002</c:v>
                </c:pt>
                <c:pt idx="19">
                  <c:v>5.2439999999999998</c:v>
                </c:pt>
                <c:pt idx="20">
                  <c:v>5.274</c:v>
                </c:pt>
                <c:pt idx="21">
                  <c:v>5.22</c:v>
                </c:pt>
                <c:pt idx="22">
                  <c:v>5.1559999999999988</c:v>
                </c:pt>
                <c:pt idx="23">
                  <c:v>5.149</c:v>
                </c:pt>
                <c:pt idx="24">
                  <c:v>5.1689999999999987</c:v>
                </c:pt>
                <c:pt idx="25">
                  <c:v>4.9740000000000002</c:v>
                </c:pt>
                <c:pt idx="26">
                  <c:v>4.8689999999999989</c:v>
                </c:pt>
                <c:pt idx="27">
                  <c:v>4.7940000000000005</c:v>
                </c:pt>
                <c:pt idx="28">
                  <c:v>4.8109999999999991</c:v>
                </c:pt>
                <c:pt idx="29">
                  <c:v>4.84</c:v>
                </c:pt>
                <c:pt idx="30">
                  <c:v>4.8780000000000001</c:v>
                </c:pt>
                <c:pt idx="31">
                  <c:v>4.9249999999999989</c:v>
                </c:pt>
                <c:pt idx="32">
                  <c:v>4.9119999999999999</c:v>
                </c:pt>
                <c:pt idx="33">
                  <c:v>4.9320000000000004</c:v>
                </c:pt>
                <c:pt idx="34">
                  <c:v>4.9160000000000004</c:v>
                </c:pt>
                <c:pt idx="35">
                  <c:v>4.847999999999999</c:v>
                </c:pt>
                <c:pt idx="36">
                  <c:v>4.7539999999999996</c:v>
                </c:pt>
                <c:pt idx="37">
                  <c:v>4.754999999999999</c:v>
                </c:pt>
                <c:pt idx="38">
                  <c:v>4.6629999999999994</c:v>
                </c:pt>
                <c:pt idx="39">
                  <c:v>4.6519999999999992</c:v>
                </c:pt>
                <c:pt idx="40">
                  <c:v>4.7119999999999997</c:v>
                </c:pt>
                <c:pt idx="41">
                  <c:v>4.7139999999999995</c:v>
                </c:pt>
                <c:pt idx="42">
                  <c:v>4.762999999999999</c:v>
                </c:pt>
                <c:pt idx="43">
                  <c:v>4.7379999999999995</c:v>
                </c:pt>
                <c:pt idx="44">
                  <c:v>4.7009999999999996</c:v>
                </c:pt>
                <c:pt idx="45">
                  <c:v>4.702</c:v>
                </c:pt>
                <c:pt idx="46">
                  <c:v>4.7269999999999994</c:v>
                </c:pt>
                <c:pt idx="47">
                  <c:v>4.7030000000000003</c:v>
                </c:pt>
                <c:pt idx="48">
                  <c:v>4.7960000000000003</c:v>
                </c:pt>
                <c:pt idx="49">
                  <c:v>4.8419999999999996</c:v>
                </c:pt>
                <c:pt idx="50">
                  <c:v>4.8339999999999996</c:v>
                </c:pt>
                <c:pt idx="51">
                  <c:v>4.7610000000000001</c:v>
                </c:pt>
                <c:pt idx="52">
                  <c:v>4.6959999999999988</c:v>
                </c:pt>
                <c:pt idx="53">
                  <c:v>4.6939999999999991</c:v>
                </c:pt>
                <c:pt idx="54">
                  <c:v>4.6949999999999994</c:v>
                </c:pt>
                <c:pt idx="55">
                  <c:v>4.722999999999999</c:v>
                </c:pt>
                <c:pt idx="56">
                  <c:v>4.8719999999999999</c:v>
                </c:pt>
                <c:pt idx="57">
                  <c:v>4.9589999999999996</c:v>
                </c:pt>
                <c:pt idx="58">
                  <c:v>5.0239999999999991</c:v>
                </c:pt>
                <c:pt idx="59">
                  <c:v>5.1360000000000001</c:v>
                </c:pt>
                <c:pt idx="60">
                  <c:v>5.2350000000000003</c:v>
                </c:pt>
                <c:pt idx="61">
                  <c:v>5.2590000000000003</c:v>
                </c:pt>
                <c:pt idx="62">
                  <c:v>5.2409999999999997</c:v>
                </c:pt>
                <c:pt idx="63">
                  <c:v>5.1109999999999989</c:v>
                </c:pt>
                <c:pt idx="64">
                  <c:v>5.0010000000000003</c:v>
                </c:pt>
                <c:pt idx="65">
                  <c:v>5.0039999999999996</c:v>
                </c:pt>
                <c:pt idx="66">
                  <c:v>4.8730000000000002</c:v>
                </c:pt>
                <c:pt idx="67">
                  <c:v>4.6499999999999995</c:v>
                </c:pt>
                <c:pt idx="68">
                  <c:v>4.6739999999999995</c:v>
                </c:pt>
                <c:pt idx="69">
                  <c:v>4.7080000000000002</c:v>
                </c:pt>
                <c:pt idx="70">
                  <c:v>4.7269999999999994</c:v>
                </c:pt>
                <c:pt idx="71">
                  <c:v>4.75</c:v>
                </c:pt>
                <c:pt idx="72">
                  <c:v>4.9210000000000003</c:v>
                </c:pt>
                <c:pt idx="73">
                  <c:v>5.032</c:v>
                </c:pt>
                <c:pt idx="74">
                  <c:v>5.069</c:v>
                </c:pt>
                <c:pt idx="75">
                  <c:v>5.0869999999999997</c:v>
                </c:pt>
                <c:pt idx="76">
                  <c:v>5.0919999999999996</c:v>
                </c:pt>
                <c:pt idx="77">
                  <c:v>5.0139999999999993</c:v>
                </c:pt>
                <c:pt idx="78">
                  <c:v>5.0430000000000001</c:v>
                </c:pt>
                <c:pt idx="79">
                  <c:v>5.0149999999999988</c:v>
                </c:pt>
                <c:pt idx="80">
                  <c:v>4.9009999999999998</c:v>
                </c:pt>
                <c:pt idx="81">
                  <c:v>4.9740000000000002</c:v>
                </c:pt>
                <c:pt idx="82">
                  <c:v>4.9180000000000001</c:v>
                </c:pt>
                <c:pt idx="83">
                  <c:v>4.859</c:v>
                </c:pt>
                <c:pt idx="84">
                  <c:v>4.843</c:v>
                </c:pt>
                <c:pt idx="85">
                  <c:v>4.8460000000000001</c:v>
                </c:pt>
                <c:pt idx="86">
                  <c:v>4.843</c:v>
                </c:pt>
                <c:pt idx="87">
                  <c:v>4.8209999999999988</c:v>
                </c:pt>
                <c:pt idx="88">
                  <c:v>4.7960000000000003</c:v>
                </c:pt>
                <c:pt idx="89">
                  <c:v>4.843</c:v>
                </c:pt>
                <c:pt idx="90">
                  <c:v>4.9080000000000004</c:v>
                </c:pt>
                <c:pt idx="91">
                  <c:v>4.9530000000000003</c:v>
                </c:pt>
                <c:pt idx="92">
                  <c:v>4.71</c:v>
                </c:pt>
                <c:pt idx="93">
                  <c:v>4.6760000000000002</c:v>
                </c:pt>
                <c:pt idx="94">
                  <c:v>4.6969999999999992</c:v>
                </c:pt>
                <c:pt idx="95">
                  <c:v>4.6909999999999989</c:v>
                </c:pt>
                <c:pt idx="96">
                  <c:v>4.6099999999999994</c:v>
                </c:pt>
                <c:pt idx="97">
                  <c:v>4.5880000000000001</c:v>
                </c:pt>
                <c:pt idx="98">
                  <c:v>4.5679999999999987</c:v>
                </c:pt>
                <c:pt idx="99">
                  <c:v>4.5389999999999997</c:v>
                </c:pt>
                <c:pt idx="100">
                  <c:v>4.5090000000000003</c:v>
                </c:pt>
                <c:pt idx="101">
                  <c:v>4.4749999999999996</c:v>
                </c:pt>
                <c:pt idx="102">
                  <c:v>4.4850000000000003</c:v>
                </c:pt>
                <c:pt idx="103">
                  <c:v>4.4930000000000003</c:v>
                </c:pt>
                <c:pt idx="104">
                  <c:v>4.479000000000001</c:v>
                </c:pt>
                <c:pt idx="105">
                  <c:v>4.516</c:v>
                </c:pt>
                <c:pt idx="106">
                  <c:v>4.6209999999999996</c:v>
                </c:pt>
                <c:pt idx="107">
                  <c:v>4.6639999999999988</c:v>
                </c:pt>
                <c:pt idx="108">
                  <c:v>4.6049999999999995</c:v>
                </c:pt>
                <c:pt idx="109">
                  <c:v>4.5229999999999988</c:v>
                </c:pt>
                <c:pt idx="110">
                  <c:v>4.5730000000000004</c:v>
                </c:pt>
                <c:pt idx="111">
                  <c:v>4.6079999999999988</c:v>
                </c:pt>
                <c:pt idx="112">
                  <c:v>4.67</c:v>
                </c:pt>
                <c:pt idx="113">
                  <c:v>4.875</c:v>
                </c:pt>
                <c:pt idx="114">
                  <c:v>4.944</c:v>
                </c:pt>
                <c:pt idx="115">
                  <c:v>4.9379999999999997</c:v>
                </c:pt>
                <c:pt idx="116">
                  <c:v>4.9559999999999995</c:v>
                </c:pt>
                <c:pt idx="117">
                  <c:v>4.9470000000000001</c:v>
                </c:pt>
                <c:pt idx="118">
                  <c:v>4.8890000000000002</c:v>
                </c:pt>
                <c:pt idx="119">
                  <c:v>4.8449999999999989</c:v>
                </c:pt>
                <c:pt idx="120">
                  <c:v>4.7639999999999993</c:v>
                </c:pt>
                <c:pt idx="121">
                  <c:v>4.7050000000000001</c:v>
                </c:pt>
                <c:pt idx="122">
                  <c:v>4.7059999999999995</c:v>
                </c:pt>
                <c:pt idx="123">
                  <c:v>4.7469999999999999</c:v>
                </c:pt>
                <c:pt idx="124">
                  <c:v>4.7729999999999997</c:v>
                </c:pt>
                <c:pt idx="125">
                  <c:v>4.8039999999999994</c:v>
                </c:pt>
                <c:pt idx="126">
                  <c:v>4.8839999999999995</c:v>
                </c:pt>
                <c:pt idx="127">
                  <c:v>4.9630000000000001</c:v>
                </c:pt>
                <c:pt idx="128">
                  <c:v>5.1049999999999995</c:v>
                </c:pt>
                <c:pt idx="129">
                  <c:v>5.2039999999999997</c:v>
                </c:pt>
                <c:pt idx="130">
                  <c:v>5.2210000000000001</c:v>
                </c:pt>
                <c:pt idx="131">
                  <c:v>5.2969999999999997</c:v>
                </c:pt>
                <c:pt idx="132">
                  <c:v>5.319</c:v>
                </c:pt>
                <c:pt idx="133">
                  <c:v>5.38</c:v>
                </c:pt>
                <c:pt idx="134">
                  <c:v>5.4560000000000004</c:v>
                </c:pt>
                <c:pt idx="135">
                  <c:v>5.46</c:v>
                </c:pt>
                <c:pt idx="136">
                  <c:v>5.41</c:v>
                </c:pt>
                <c:pt idx="137">
                  <c:v>5.407</c:v>
                </c:pt>
                <c:pt idx="138">
                  <c:v>5.3870000000000005</c:v>
                </c:pt>
                <c:pt idx="139">
                  <c:v>5.3810000000000002</c:v>
                </c:pt>
                <c:pt idx="140">
                  <c:v>5.3870000000000005</c:v>
                </c:pt>
                <c:pt idx="141">
                  <c:v>5.3849999999999989</c:v>
                </c:pt>
                <c:pt idx="142">
                  <c:v>5.38</c:v>
                </c:pt>
                <c:pt idx="143">
                  <c:v>5.31</c:v>
                </c:pt>
                <c:pt idx="144">
                  <c:v>5.274</c:v>
                </c:pt>
                <c:pt idx="145">
                  <c:v>5.254999999999999</c:v>
                </c:pt>
                <c:pt idx="146">
                  <c:v>5.2370000000000001</c:v>
                </c:pt>
                <c:pt idx="147">
                  <c:v>5.2939999999999996</c:v>
                </c:pt>
                <c:pt idx="148">
                  <c:v>5.2830000000000004</c:v>
                </c:pt>
                <c:pt idx="149">
                  <c:v>5.298</c:v>
                </c:pt>
                <c:pt idx="150">
                  <c:v>5.294999999999999</c:v>
                </c:pt>
                <c:pt idx="151">
                  <c:v>5.3339999999999996</c:v>
                </c:pt>
                <c:pt idx="152">
                  <c:v>5.282</c:v>
                </c:pt>
                <c:pt idx="153">
                  <c:v>5.2560000000000002</c:v>
                </c:pt>
                <c:pt idx="154">
                  <c:v>5.2110000000000003</c:v>
                </c:pt>
                <c:pt idx="155">
                  <c:v>5.2080000000000002</c:v>
                </c:pt>
                <c:pt idx="156">
                  <c:v>5.25</c:v>
                </c:pt>
                <c:pt idx="157">
                  <c:v>5.266</c:v>
                </c:pt>
                <c:pt idx="158">
                  <c:v>5.2889999999999997</c:v>
                </c:pt>
                <c:pt idx="159">
                  <c:v>5.3149999999999995</c:v>
                </c:pt>
                <c:pt idx="160">
                  <c:v>5.3219999999999992</c:v>
                </c:pt>
                <c:pt idx="161">
                  <c:v>5.3159999999999989</c:v>
                </c:pt>
                <c:pt idx="162">
                  <c:v>5.2839999999999998</c:v>
                </c:pt>
                <c:pt idx="163">
                  <c:v>5.3609999999999989</c:v>
                </c:pt>
                <c:pt idx="164">
                  <c:v>5.4169999999999998</c:v>
                </c:pt>
                <c:pt idx="165">
                  <c:v>5.5110000000000001</c:v>
                </c:pt>
                <c:pt idx="166">
                  <c:v>5.4749999999999996</c:v>
                </c:pt>
                <c:pt idx="167">
                  <c:v>5.4879999999999995</c:v>
                </c:pt>
                <c:pt idx="168">
                  <c:v>5.38</c:v>
                </c:pt>
                <c:pt idx="169">
                  <c:v>5.4329999999999998</c:v>
                </c:pt>
                <c:pt idx="170">
                  <c:v>5.3539999999999992</c:v>
                </c:pt>
                <c:pt idx="171">
                  <c:v>5.2700000000000005</c:v>
                </c:pt>
                <c:pt idx="172">
                  <c:v>5.4109999999999996</c:v>
                </c:pt>
                <c:pt idx="173">
                  <c:v>5.4850000000000003</c:v>
                </c:pt>
                <c:pt idx="174">
                  <c:v>5.520999999999999</c:v>
                </c:pt>
                <c:pt idx="175">
                  <c:v>5.3079999999999989</c:v>
                </c:pt>
                <c:pt idx="176">
                  <c:v>5.375</c:v>
                </c:pt>
                <c:pt idx="177">
                  <c:v>5.4249999999999989</c:v>
                </c:pt>
                <c:pt idx="178">
                  <c:v>5.4429999999999996</c:v>
                </c:pt>
                <c:pt idx="179">
                  <c:v>5.508</c:v>
                </c:pt>
                <c:pt idx="180">
                  <c:v>5.6</c:v>
                </c:pt>
                <c:pt idx="181">
                  <c:v>5.6749999999999989</c:v>
                </c:pt>
                <c:pt idx="182">
                  <c:v>5.7030000000000003</c:v>
                </c:pt>
                <c:pt idx="183">
                  <c:v>5.722999999999999</c:v>
                </c:pt>
                <c:pt idx="184">
                  <c:v>5.7639999999999993</c:v>
                </c:pt>
                <c:pt idx="185">
                  <c:v>5.7859999999999996</c:v>
                </c:pt>
                <c:pt idx="186">
                  <c:v>5.8019999999999996</c:v>
                </c:pt>
                <c:pt idx="187">
                  <c:v>5.7139999999999995</c:v>
                </c:pt>
                <c:pt idx="188">
                  <c:v>5.6579999999999995</c:v>
                </c:pt>
                <c:pt idx="189">
                  <c:v>5.6229999999999993</c:v>
                </c:pt>
                <c:pt idx="190">
                  <c:v>5.6549999999999994</c:v>
                </c:pt>
                <c:pt idx="191">
                  <c:v>5.7450000000000001</c:v>
                </c:pt>
                <c:pt idx="192">
                  <c:v>5.8179999999999987</c:v>
                </c:pt>
                <c:pt idx="193">
                  <c:v>5.9669999999999996</c:v>
                </c:pt>
                <c:pt idx="194">
                  <c:v>6.2720000000000002</c:v>
                </c:pt>
                <c:pt idx="195">
                  <c:v>6.3279999999999994</c:v>
                </c:pt>
                <c:pt idx="196">
                  <c:v>6.2539999999999996</c:v>
                </c:pt>
                <c:pt idx="197">
                  <c:v>6.1689999999999987</c:v>
                </c:pt>
                <c:pt idx="198">
                  <c:v>6.05</c:v>
                </c:pt>
                <c:pt idx="199">
                  <c:v>6.0759999999999996</c:v>
                </c:pt>
                <c:pt idx="200">
                  <c:v>6.0510000000000002</c:v>
                </c:pt>
                <c:pt idx="201">
                  <c:v>5.8469999999999995</c:v>
                </c:pt>
                <c:pt idx="202">
                  <c:v>5.7869999999999999</c:v>
                </c:pt>
                <c:pt idx="203">
                  <c:v>5.8139999999999992</c:v>
                </c:pt>
                <c:pt idx="204">
                  <c:v>5.8319999999999999</c:v>
                </c:pt>
                <c:pt idx="205">
                  <c:v>5.8219999999999992</c:v>
                </c:pt>
                <c:pt idx="206">
                  <c:v>5.8090000000000002</c:v>
                </c:pt>
                <c:pt idx="207">
                  <c:v>5.8649999999999993</c:v>
                </c:pt>
                <c:pt idx="208">
                  <c:v>5.9720000000000004</c:v>
                </c:pt>
                <c:pt idx="209">
                  <c:v>6.0279999999999987</c:v>
                </c:pt>
                <c:pt idx="210">
                  <c:v>6.0759999999999996</c:v>
                </c:pt>
                <c:pt idx="211">
                  <c:v>6.1370000000000005</c:v>
                </c:pt>
                <c:pt idx="212">
                  <c:v>6.141</c:v>
                </c:pt>
                <c:pt idx="213">
                  <c:v>6.1370000000000005</c:v>
                </c:pt>
                <c:pt idx="214">
                  <c:v>6.1639999999999988</c:v>
                </c:pt>
                <c:pt idx="215">
                  <c:v>6.2969999999999997</c:v>
                </c:pt>
                <c:pt idx="216">
                  <c:v>6.319</c:v>
                </c:pt>
                <c:pt idx="217">
                  <c:v>6.2939999999999996</c:v>
                </c:pt>
                <c:pt idx="218">
                  <c:v>6.2850000000000001</c:v>
                </c:pt>
                <c:pt idx="219">
                  <c:v>6.274</c:v>
                </c:pt>
                <c:pt idx="220">
                  <c:v>6.2620000000000005</c:v>
                </c:pt>
                <c:pt idx="221">
                  <c:v>6.26</c:v>
                </c:pt>
                <c:pt idx="222">
                  <c:v>6.2569999999999997</c:v>
                </c:pt>
                <c:pt idx="223">
                  <c:v>6.2510000000000003</c:v>
                </c:pt>
                <c:pt idx="224">
                  <c:v>6.2430000000000003</c:v>
                </c:pt>
                <c:pt idx="225">
                  <c:v>6.2489999999999997</c:v>
                </c:pt>
                <c:pt idx="226">
                  <c:v>6.2590000000000003</c:v>
                </c:pt>
                <c:pt idx="227">
                  <c:v>6.2620000000000005</c:v>
                </c:pt>
                <c:pt idx="228">
                  <c:v>6.2720000000000002</c:v>
                </c:pt>
                <c:pt idx="229">
                  <c:v>6.2839999999999998</c:v>
                </c:pt>
                <c:pt idx="230">
                  <c:v>6.302999999999999</c:v>
                </c:pt>
                <c:pt idx="231">
                  <c:v>6.3139999999999992</c:v>
                </c:pt>
                <c:pt idx="232">
                  <c:v>6.3159999999999989</c:v>
                </c:pt>
                <c:pt idx="233">
                  <c:v>6.3169999999999993</c:v>
                </c:pt>
                <c:pt idx="234">
                  <c:v>6.3549999999999995</c:v>
                </c:pt>
                <c:pt idx="235">
                  <c:v>6.3689999999999989</c:v>
                </c:pt>
                <c:pt idx="236">
                  <c:v>6.3979999999999988</c:v>
                </c:pt>
                <c:pt idx="237">
                  <c:v>6.4639999999999995</c:v>
                </c:pt>
                <c:pt idx="238">
                  <c:v>6.452</c:v>
                </c:pt>
                <c:pt idx="239">
                  <c:v>6.4459999999999997</c:v>
                </c:pt>
                <c:pt idx="240">
                  <c:v>6.4329999999999998</c:v>
                </c:pt>
                <c:pt idx="241">
                  <c:v>6.4290000000000003</c:v>
                </c:pt>
                <c:pt idx="242">
                  <c:v>6.4450000000000003</c:v>
                </c:pt>
                <c:pt idx="243">
                  <c:v>6.4160000000000004</c:v>
                </c:pt>
                <c:pt idx="244">
                  <c:v>6.4059999999999997</c:v>
                </c:pt>
                <c:pt idx="245">
                  <c:v>6.5629999999999988</c:v>
                </c:pt>
                <c:pt idx="246">
                  <c:v>6.6760000000000002</c:v>
                </c:pt>
                <c:pt idx="247">
                  <c:v>6.6760000000000002</c:v>
                </c:pt>
                <c:pt idx="248">
                  <c:v>6.6079999999999988</c:v>
                </c:pt>
                <c:pt idx="249">
                  <c:v>6.5919999999999996</c:v>
                </c:pt>
                <c:pt idx="250">
                  <c:v>6.6569999999999991</c:v>
                </c:pt>
                <c:pt idx="251">
                  <c:v>6.7069999999999999</c:v>
                </c:pt>
                <c:pt idx="252">
                  <c:v>6.83</c:v>
                </c:pt>
                <c:pt idx="253">
                  <c:v>6.8129999999999988</c:v>
                </c:pt>
                <c:pt idx="254">
                  <c:v>6.7439999999999998</c:v>
                </c:pt>
                <c:pt idx="255">
                  <c:v>6.72</c:v>
                </c:pt>
                <c:pt idx="256">
                  <c:v>6.5750000000000002</c:v>
                </c:pt>
                <c:pt idx="257">
                  <c:v>6.6269999999999989</c:v>
                </c:pt>
                <c:pt idx="258">
                  <c:v>6.7</c:v>
                </c:pt>
                <c:pt idx="259">
                  <c:v>6.5309999999999997</c:v>
                </c:pt>
                <c:pt idx="260">
                  <c:v>6.520999999999999</c:v>
                </c:pt>
                <c:pt idx="261">
                  <c:v>6.4969999999999999</c:v>
                </c:pt>
                <c:pt idx="262">
                  <c:v>6.3449999999999989</c:v>
                </c:pt>
                <c:pt idx="263">
                  <c:v>6.2910000000000004</c:v>
                </c:pt>
                <c:pt idx="264">
                  <c:v>6.1249999999999991</c:v>
                </c:pt>
                <c:pt idx="265">
                  <c:v>6.1149999999999993</c:v>
                </c:pt>
                <c:pt idx="266">
                  <c:v>6.0709999999999997</c:v>
                </c:pt>
                <c:pt idx="267">
                  <c:v>5.9770000000000003</c:v>
                </c:pt>
                <c:pt idx="268">
                  <c:v>6.0759999999999996</c:v>
                </c:pt>
                <c:pt idx="269">
                  <c:v>6.0969999999999995</c:v>
                </c:pt>
                <c:pt idx="270">
                  <c:v>6.0880000000000001</c:v>
                </c:pt>
                <c:pt idx="271">
                  <c:v>6.1099999999999994</c:v>
                </c:pt>
                <c:pt idx="272">
                  <c:v>6.181</c:v>
                </c:pt>
                <c:pt idx="273">
                  <c:v>6.2130000000000001</c:v>
                </c:pt>
                <c:pt idx="274">
                  <c:v>6.274</c:v>
                </c:pt>
                <c:pt idx="275">
                  <c:v>6.2720000000000002</c:v>
                </c:pt>
                <c:pt idx="276">
                  <c:v>6.2869999999999999</c:v>
                </c:pt>
                <c:pt idx="277">
                  <c:v>6.37</c:v>
                </c:pt>
                <c:pt idx="278">
                  <c:v>6.5120000000000005</c:v>
                </c:pt>
                <c:pt idx="279">
                  <c:v>6.7290000000000001</c:v>
                </c:pt>
                <c:pt idx="280">
                  <c:v>6.548</c:v>
                </c:pt>
                <c:pt idx="281">
                  <c:v>6.520999999999999</c:v>
                </c:pt>
                <c:pt idx="282">
                  <c:v>6.516</c:v>
                </c:pt>
                <c:pt idx="283">
                  <c:v>6.5219999999999994</c:v>
                </c:pt>
                <c:pt idx="284">
                  <c:v>6.520999999999999</c:v>
                </c:pt>
                <c:pt idx="285">
                  <c:v>6.4349999999999996</c:v>
                </c:pt>
                <c:pt idx="286">
                  <c:v>6.4119999999999999</c:v>
                </c:pt>
                <c:pt idx="287">
                  <c:v>6.4169999999999998</c:v>
                </c:pt>
                <c:pt idx="288">
                  <c:v>6.4210000000000003</c:v>
                </c:pt>
                <c:pt idx="289">
                  <c:v>6.423</c:v>
                </c:pt>
                <c:pt idx="290">
                  <c:v>6.5169999999999995</c:v>
                </c:pt>
                <c:pt idx="291">
                  <c:v>6.54</c:v>
                </c:pt>
                <c:pt idx="292">
                  <c:v>7.0639999999999992</c:v>
                </c:pt>
                <c:pt idx="293">
                  <c:v>7.0839999999999996</c:v>
                </c:pt>
                <c:pt idx="294">
                  <c:v>7.0969999999999995</c:v>
                </c:pt>
                <c:pt idx="295">
                  <c:v>7.25</c:v>
                </c:pt>
                <c:pt idx="296">
                  <c:v>7.2649999999999988</c:v>
                </c:pt>
                <c:pt idx="297">
                  <c:v>7.3169999999999993</c:v>
                </c:pt>
                <c:pt idx="298">
                  <c:v>7.3330000000000002</c:v>
                </c:pt>
                <c:pt idx="299">
                  <c:v>7.26</c:v>
                </c:pt>
                <c:pt idx="300">
                  <c:v>7.2889999999999997</c:v>
                </c:pt>
                <c:pt idx="301">
                  <c:v>7.3149999999999995</c:v>
                </c:pt>
                <c:pt idx="302">
                  <c:v>7.1909999999999989</c:v>
                </c:pt>
                <c:pt idx="303">
                  <c:v>7.1449999999999987</c:v>
                </c:pt>
                <c:pt idx="304">
                  <c:v>7.1509999999999989</c:v>
                </c:pt>
                <c:pt idx="305">
                  <c:v>7.1360000000000001</c:v>
                </c:pt>
                <c:pt idx="306">
                  <c:v>7.101</c:v>
                </c:pt>
                <c:pt idx="307">
                  <c:v>7.0539999999999994</c:v>
                </c:pt>
                <c:pt idx="308">
                  <c:v>6.9130000000000003</c:v>
                </c:pt>
                <c:pt idx="309">
                  <c:v>7.004999999999999</c:v>
                </c:pt>
                <c:pt idx="310">
                  <c:v>6.99</c:v>
                </c:pt>
                <c:pt idx="311">
                  <c:v>7.0679999999999987</c:v>
                </c:pt>
                <c:pt idx="312">
                  <c:v>7.1199999999999992</c:v>
                </c:pt>
                <c:pt idx="313">
                  <c:v>7.1479999999999988</c:v>
                </c:pt>
                <c:pt idx="314">
                  <c:v>7.145999999999999</c:v>
                </c:pt>
                <c:pt idx="315">
                  <c:v>7.0060000000000002</c:v>
                </c:pt>
                <c:pt idx="316">
                  <c:v>6.9850000000000003</c:v>
                </c:pt>
                <c:pt idx="317">
                  <c:v>6.88</c:v>
                </c:pt>
                <c:pt idx="318">
                  <c:v>6.8730000000000002</c:v>
                </c:pt>
                <c:pt idx="319">
                  <c:v>6.8730000000000002</c:v>
                </c:pt>
                <c:pt idx="320">
                  <c:v>6.9379999999999997</c:v>
                </c:pt>
                <c:pt idx="321">
                  <c:v>7.0439999999999996</c:v>
                </c:pt>
                <c:pt idx="322">
                  <c:v>7.0750000000000002</c:v>
                </c:pt>
                <c:pt idx="323">
                  <c:v>7.1179999999999994</c:v>
                </c:pt>
                <c:pt idx="324">
                  <c:v>7.1149999999999993</c:v>
                </c:pt>
                <c:pt idx="325">
                  <c:v>7.1129999999999995</c:v>
                </c:pt>
                <c:pt idx="326">
                  <c:v>7.0519999999999996</c:v>
                </c:pt>
                <c:pt idx="327">
                  <c:v>6.8229999999999995</c:v>
                </c:pt>
                <c:pt idx="328">
                  <c:v>6.3939999999999992</c:v>
                </c:pt>
                <c:pt idx="329">
                  <c:v>6.359</c:v>
                </c:pt>
                <c:pt idx="330">
                  <c:v>6.3769999999999998</c:v>
                </c:pt>
                <c:pt idx="331">
                  <c:v>6.3689999999999989</c:v>
                </c:pt>
                <c:pt idx="332">
                  <c:v>6.3090000000000002</c:v>
                </c:pt>
                <c:pt idx="333">
                  <c:v>6.2080000000000002</c:v>
                </c:pt>
                <c:pt idx="334">
                  <c:v>6.1419999999999995</c:v>
                </c:pt>
                <c:pt idx="335">
                  <c:v>6.1569999999999991</c:v>
                </c:pt>
                <c:pt idx="336">
                  <c:v>6.145999999999999</c:v>
                </c:pt>
                <c:pt idx="337">
                  <c:v>6.22</c:v>
                </c:pt>
                <c:pt idx="338">
                  <c:v>6.282</c:v>
                </c:pt>
                <c:pt idx="339">
                  <c:v>6.319</c:v>
                </c:pt>
                <c:pt idx="340">
                  <c:v>6.3760000000000003</c:v>
                </c:pt>
                <c:pt idx="341">
                  <c:v>6.4059999999999997</c:v>
                </c:pt>
                <c:pt idx="342">
                  <c:v>6.4809999999999999</c:v>
                </c:pt>
                <c:pt idx="343">
                  <c:v>6.4749999999999996</c:v>
                </c:pt>
                <c:pt idx="344">
                  <c:v>6.4870000000000001</c:v>
                </c:pt>
                <c:pt idx="345">
                  <c:v>6.4290000000000003</c:v>
                </c:pt>
                <c:pt idx="346">
                  <c:v>6.391</c:v>
                </c:pt>
                <c:pt idx="347">
                  <c:v>6.3939999999999992</c:v>
                </c:pt>
                <c:pt idx="348">
                  <c:v>6.355999999999999</c:v>
                </c:pt>
                <c:pt idx="349">
                  <c:v>6.5369999999999999</c:v>
                </c:pt>
                <c:pt idx="350">
                  <c:v>6.7709999999999999</c:v>
                </c:pt>
                <c:pt idx="351">
                  <c:v>6.87</c:v>
                </c:pt>
                <c:pt idx="352">
                  <c:v>7.1119999999999992</c:v>
                </c:pt>
                <c:pt idx="353">
                  <c:v>7.2409999999999997</c:v>
                </c:pt>
                <c:pt idx="354">
                  <c:v>7.2359999999999998</c:v>
                </c:pt>
                <c:pt idx="355">
                  <c:v>6.774</c:v>
                </c:pt>
                <c:pt idx="356">
                  <c:v>6.6850000000000005</c:v>
                </c:pt>
                <c:pt idx="357">
                  <c:v>6.14</c:v>
                </c:pt>
                <c:pt idx="358">
                  <c:v>6.153999999999999</c:v>
                </c:pt>
                <c:pt idx="359">
                  <c:v>6.0939999999999994</c:v>
                </c:pt>
                <c:pt idx="360">
                  <c:v>6.1899999999999995</c:v>
                </c:pt>
                <c:pt idx="361">
                  <c:v>6.4030000000000014</c:v>
                </c:pt>
                <c:pt idx="362">
                  <c:v>6.4409999999999998</c:v>
                </c:pt>
                <c:pt idx="363">
                  <c:v>6.6279999999999992</c:v>
                </c:pt>
                <c:pt idx="364">
                  <c:v>6.3390000000000004</c:v>
                </c:pt>
                <c:pt idx="365">
                  <c:v>6.1519999999999992</c:v>
                </c:pt>
                <c:pt idx="366">
                  <c:v>5.7480000000000002</c:v>
                </c:pt>
                <c:pt idx="367">
                  <c:v>5.5939999999999994</c:v>
                </c:pt>
                <c:pt idx="368">
                  <c:v>5.4989999999999997</c:v>
                </c:pt>
                <c:pt idx="369">
                  <c:v>5.5330000000000004</c:v>
                </c:pt>
                <c:pt idx="370">
                  <c:v>5.5350000000000001</c:v>
                </c:pt>
                <c:pt idx="371">
                  <c:v>5.5229999999999988</c:v>
                </c:pt>
                <c:pt idx="372">
                  <c:v>5.5249999999999995</c:v>
                </c:pt>
                <c:pt idx="373">
                  <c:v>5.298</c:v>
                </c:pt>
                <c:pt idx="374">
                  <c:v>5.1719999999999997</c:v>
                </c:pt>
                <c:pt idx="375">
                  <c:v>5.1689999999999987</c:v>
                </c:pt>
                <c:pt idx="376">
                  <c:v>4.7850000000000001</c:v>
                </c:pt>
                <c:pt idx="377">
                  <c:v>4.6679999999999993</c:v>
                </c:pt>
                <c:pt idx="378">
                  <c:v>4.6819999999999995</c:v>
                </c:pt>
                <c:pt idx="379">
                  <c:v>4.6439999999999992</c:v>
                </c:pt>
                <c:pt idx="380">
                  <c:v>4.653999999999999</c:v>
                </c:pt>
                <c:pt idx="381">
                  <c:v>4.6530000000000005</c:v>
                </c:pt>
                <c:pt idx="382">
                  <c:v>4.6439999999999992</c:v>
                </c:pt>
                <c:pt idx="383">
                  <c:v>4.6259999999999994</c:v>
                </c:pt>
                <c:pt idx="384">
                  <c:v>4.5949999999999989</c:v>
                </c:pt>
                <c:pt idx="385">
                  <c:v>4.4359999999999999</c:v>
                </c:pt>
                <c:pt idx="386">
                  <c:v>4.4139999999999997</c:v>
                </c:pt>
                <c:pt idx="387">
                  <c:v>4.4580000000000002</c:v>
                </c:pt>
                <c:pt idx="388">
                  <c:v>4.4359999999999999</c:v>
                </c:pt>
                <c:pt idx="389">
                  <c:v>4.4639999999999995</c:v>
                </c:pt>
                <c:pt idx="390">
                  <c:v>4.452</c:v>
                </c:pt>
                <c:pt idx="391">
                  <c:v>4.5139999999999993</c:v>
                </c:pt>
                <c:pt idx="392">
                  <c:v>4.6760000000000002</c:v>
                </c:pt>
                <c:pt idx="393">
                  <c:v>4.722999999999999</c:v>
                </c:pt>
                <c:pt idx="394">
                  <c:v>4.7809999999999997</c:v>
                </c:pt>
                <c:pt idx="395">
                  <c:v>4.7969999999999997</c:v>
                </c:pt>
                <c:pt idx="396">
                  <c:v>4.8410000000000002</c:v>
                </c:pt>
                <c:pt idx="397">
                  <c:v>4.9169999999999998</c:v>
                </c:pt>
                <c:pt idx="398">
                  <c:v>4.9779999999999998</c:v>
                </c:pt>
                <c:pt idx="399">
                  <c:v>5.016</c:v>
                </c:pt>
                <c:pt idx="400">
                  <c:v>5.161999999999999</c:v>
                </c:pt>
                <c:pt idx="401">
                  <c:v>5.3689999999999989</c:v>
                </c:pt>
                <c:pt idx="402">
                  <c:v>5.2249999999999988</c:v>
                </c:pt>
                <c:pt idx="403">
                  <c:v>5.1629999999999994</c:v>
                </c:pt>
                <c:pt idx="404">
                  <c:v>5.0960000000000001</c:v>
                </c:pt>
                <c:pt idx="405">
                  <c:v>5.0830000000000002</c:v>
                </c:pt>
                <c:pt idx="406">
                  <c:v>5.105999999999999</c:v>
                </c:pt>
                <c:pt idx="407">
                  <c:v>5.1579999999999995</c:v>
                </c:pt>
                <c:pt idx="408">
                  <c:v>5.153999999999999</c:v>
                </c:pt>
                <c:pt idx="409">
                  <c:v>5.1839999999999993</c:v>
                </c:pt>
                <c:pt idx="410">
                  <c:v>5.2789999999999999</c:v>
                </c:pt>
                <c:pt idx="411">
                  <c:v>5.42</c:v>
                </c:pt>
                <c:pt idx="412">
                  <c:v>5.4690000000000003</c:v>
                </c:pt>
                <c:pt idx="413">
                  <c:v>5.5309999999999997</c:v>
                </c:pt>
                <c:pt idx="414">
                  <c:v>5.5679999999999987</c:v>
                </c:pt>
                <c:pt idx="415">
                  <c:v>5.5720000000000001</c:v>
                </c:pt>
                <c:pt idx="416">
                  <c:v>5.5709999999999997</c:v>
                </c:pt>
                <c:pt idx="417">
                  <c:v>5.5419999999999998</c:v>
                </c:pt>
                <c:pt idx="418">
                  <c:v>5.3849999999999989</c:v>
                </c:pt>
                <c:pt idx="419">
                  <c:v>5.4039999999999999</c:v>
                </c:pt>
                <c:pt idx="420">
                  <c:v>5.5060000000000002</c:v>
                </c:pt>
                <c:pt idx="421">
                  <c:v>5.5229999999999988</c:v>
                </c:pt>
                <c:pt idx="422">
                  <c:v>5.552999999999999</c:v>
                </c:pt>
                <c:pt idx="423">
                  <c:v>5.5869999999999997</c:v>
                </c:pt>
                <c:pt idx="424">
                  <c:v>5.5639999999999992</c:v>
                </c:pt>
                <c:pt idx="425">
                  <c:v>5.4639999999999995</c:v>
                </c:pt>
                <c:pt idx="426">
                  <c:v>5.468</c:v>
                </c:pt>
                <c:pt idx="427">
                  <c:v>5.3860000000000001</c:v>
                </c:pt>
                <c:pt idx="428">
                  <c:v>5.1919999999999993</c:v>
                </c:pt>
                <c:pt idx="429">
                  <c:v>5.1579999999999995</c:v>
                </c:pt>
                <c:pt idx="430">
                  <c:v>5.1509999999999989</c:v>
                </c:pt>
                <c:pt idx="431">
                  <c:v>5.1929999999999987</c:v>
                </c:pt>
                <c:pt idx="432">
                  <c:v>5.3330000000000002</c:v>
                </c:pt>
                <c:pt idx="433">
                  <c:v>5.4459999999999997</c:v>
                </c:pt>
                <c:pt idx="434">
                  <c:v>5.4950000000000001</c:v>
                </c:pt>
                <c:pt idx="435">
                  <c:v>5.4770000000000003</c:v>
                </c:pt>
                <c:pt idx="436">
                  <c:v>5.4960000000000004</c:v>
                </c:pt>
                <c:pt idx="437">
                  <c:v>5.5440000000000005</c:v>
                </c:pt>
                <c:pt idx="438">
                  <c:v>5.5330000000000004</c:v>
                </c:pt>
                <c:pt idx="439">
                  <c:v>5.4749999999999996</c:v>
                </c:pt>
                <c:pt idx="440">
                  <c:v>5.4580000000000002</c:v>
                </c:pt>
                <c:pt idx="441">
                  <c:v>5.4290000000000003</c:v>
                </c:pt>
                <c:pt idx="442">
                  <c:v>5.395999999999999</c:v>
                </c:pt>
                <c:pt idx="443">
                  <c:v>5.3319999999999999</c:v>
                </c:pt>
                <c:pt idx="444">
                  <c:v>5.29</c:v>
                </c:pt>
                <c:pt idx="445">
                  <c:v>5.2839999999999998</c:v>
                </c:pt>
                <c:pt idx="446">
                  <c:v>5.2379999999999995</c:v>
                </c:pt>
                <c:pt idx="447">
                  <c:v>5.2269999999999994</c:v>
                </c:pt>
                <c:pt idx="448">
                  <c:v>5.2249999999999988</c:v>
                </c:pt>
                <c:pt idx="449">
                  <c:v>5.2409999999999997</c:v>
                </c:pt>
                <c:pt idx="450">
                  <c:v>5.2279999999999989</c:v>
                </c:pt>
                <c:pt idx="451">
                  <c:v>5.226</c:v>
                </c:pt>
                <c:pt idx="452">
                  <c:v>5.2309999999999999</c:v>
                </c:pt>
                <c:pt idx="453">
                  <c:v>5.2269999999999994</c:v>
                </c:pt>
                <c:pt idx="454">
                  <c:v>5.121999999999999</c:v>
                </c:pt>
                <c:pt idx="455">
                  <c:v>5.0179999999999989</c:v>
                </c:pt>
                <c:pt idx="456">
                  <c:v>4.92</c:v>
                </c:pt>
                <c:pt idx="457">
                  <c:v>4.8760000000000003</c:v>
                </c:pt>
                <c:pt idx="458">
                  <c:v>4.8599999999999994</c:v>
                </c:pt>
                <c:pt idx="459">
                  <c:v>4.9020000000000001</c:v>
                </c:pt>
                <c:pt idx="460">
                  <c:v>4.91</c:v>
                </c:pt>
                <c:pt idx="461">
                  <c:v>4.9239999999999995</c:v>
                </c:pt>
                <c:pt idx="462">
                  <c:v>4.923</c:v>
                </c:pt>
                <c:pt idx="463">
                  <c:v>4.8710000000000004</c:v>
                </c:pt>
                <c:pt idx="464">
                  <c:v>4.7919999999999998</c:v>
                </c:pt>
                <c:pt idx="465">
                  <c:v>4.7850000000000001</c:v>
                </c:pt>
                <c:pt idx="466">
                  <c:v>4.7759999999999998</c:v>
                </c:pt>
                <c:pt idx="467">
                  <c:v>4.758</c:v>
                </c:pt>
                <c:pt idx="468">
                  <c:v>4.7379999999999995</c:v>
                </c:pt>
                <c:pt idx="469">
                  <c:v>4.7510000000000003</c:v>
                </c:pt>
                <c:pt idx="470">
                  <c:v>4.8069999999999995</c:v>
                </c:pt>
                <c:pt idx="471">
                  <c:v>4.8090000000000002</c:v>
                </c:pt>
                <c:pt idx="472">
                  <c:v>4.819</c:v>
                </c:pt>
                <c:pt idx="473">
                  <c:v>4.8579999999999988</c:v>
                </c:pt>
                <c:pt idx="474">
                  <c:v>4.8390000000000004</c:v>
                </c:pt>
                <c:pt idx="475">
                  <c:v>4.87</c:v>
                </c:pt>
                <c:pt idx="476">
                  <c:v>4.952</c:v>
                </c:pt>
                <c:pt idx="477">
                  <c:v>4.9989999999999997</c:v>
                </c:pt>
                <c:pt idx="478">
                  <c:v>5.0739999999999998</c:v>
                </c:pt>
                <c:pt idx="479">
                  <c:v>5.0669999999999993</c:v>
                </c:pt>
                <c:pt idx="480">
                  <c:v>5.0709999999999997</c:v>
                </c:pt>
                <c:pt idx="481">
                  <c:v>5.069</c:v>
                </c:pt>
                <c:pt idx="482">
                  <c:v>5.0860000000000003</c:v>
                </c:pt>
                <c:pt idx="483">
                  <c:v>5.08</c:v>
                </c:pt>
                <c:pt idx="484">
                  <c:v>5.0810000000000004</c:v>
                </c:pt>
                <c:pt idx="485">
                  <c:v>5.0679999999999987</c:v>
                </c:pt>
                <c:pt idx="486">
                  <c:v>5.0750000000000002</c:v>
                </c:pt>
                <c:pt idx="487">
                  <c:v>5.0789999999999997</c:v>
                </c:pt>
                <c:pt idx="488">
                  <c:v>5.141</c:v>
                </c:pt>
                <c:pt idx="489">
                  <c:v>5.3129999999999988</c:v>
                </c:pt>
                <c:pt idx="490">
                  <c:v>5.3860000000000001</c:v>
                </c:pt>
                <c:pt idx="491">
                  <c:v>5.44</c:v>
                </c:pt>
                <c:pt idx="492">
                  <c:v>5.4349999999999996</c:v>
                </c:pt>
                <c:pt idx="493">
                  <c:v>5.427999999999999</c:v>
                </c:pt>
                <c:pt idx="494">
                  <c:v>5.4009999999999998</c:v>
                </c:pt>
                <c:pt idx="495">
                  <c:v>5.3849999999999989</c:v>
                </c:pt>
                <c:pt idx="496">
                  <c:v>5.38</c:v>
                </c:pt>
                <c:pt idx="497">
                  <c:v>5.387999999999999</c:v>
                </c:pt>
                <c:pt idx="498">
                  <c:v>5.387999999999999</c:v>
                </c:pt>
                <c:pt idx="499">
                  <c:v>5.3870000000000005</c:v>
                </c:pt>
                <c:pt idx="500">
                  <c:v>5.3929999999999989</c:v>
                </c:pt>
                <c:pt idx="501">
                  <c:v>5.407</c:v>
                </c:pt>
                <c:pt idx="502">
                  <c:v>5.4980000000000002</c:v>
                </c:pt>
                <c:pt idx="503">
                  <c:v>5.5179999999999989</c:v>
                </c:pt>
                <c:pt idx="504">
                  <c:v>5.5639999999999992</c:v>
                </c:pt>
                <c:pt idx="505">
                  <c:v>5.5750000000000002</c:v>
                </c:pt>
                <c:pt idx="506">
                  <c:v>5.5649999999999986</c:v>
                </c:pt>
                <c:pt idx="507">
                  <c:v>5.5739999999999998</c:v>
                </c:pt>
                <c:pt idx="508">
                  <c:v>5.6319999999999997</c:v>
                </c:pt>
                <c:pt idx="509">
                  <c:v>5.6839999999999993</c:v>
                </c:pt>
                <c:pt idx="510">
                  <c:v>5.7370000000000001</c:v>
                </c:pt>
                <c:pt idx="511">
                  <c:v>5.7770000000000001</c:v>
                </c:pt>
                <c:pt idx="512">
                  <c:v>6.0430000000000001</c:v>
                </c:pt>
                <c:pt idx="513">
                  <c:v>6.0789999999999997</c:v>
                </c:pt>
                <c:pt idx="514">
                  <c:v>6.0860000000000003</c:v>
                </c:pt>
                <c:pt idx="515">
                  <c:v>6.0880000000000001</c:v>
                </c:pt>
                <c:pt idx="516">
                  <c:v>6.0869999999999997</c:v>
                </c:pt>
                <c:pt idx="517">
                  <c:v>6.1119999999999992</c:v>
                </c:pt>
                <c:pt idx="518">
                  <c:v>6.1269999999999989</c:v>
                </c:pt>
                <c:pt idx="519">
                  <c:v>6.1209999999999996</c:v>
                </c:pt>
                <c:pt idx="520">
                  <c:v>6.101</c:v>
                </c:pt>
                <c:pt idx="521">
                  <c:v>6.1599999999999993</c:v>
                </c:pt>
                <c:pt idx="522">
                  <c:v>6.1909999999999989</c:v>
                </c:pt>
                <c:pt idx="523">
                  <c:v>6.1469999999999994</c:v>
                </c:pt>
                <c:pt idx="524">
                  <c:v>6.121999999999999</c:v>
                </c:pt>
                <c:pt idx="525">
                  <c:v>6.0810000000000004</c:v>
                </c:pt>
                <c:pt idx="526">
                  <c:v>6.0949999999999989</c:v>
                </c:pt>
                <c:pt idx="527">
                  <c:v>6.2080000000000002</c:v>
                </c:pt>
                <c:pt idx="528">
                  <c:v>6.28</c:v>
                </c:pt>
                <c:pt idx="529">
                  <c:v>6.06</c:v>
                </c:pt>
                <c:pt idx="530">
                  <c:v>5.9619999999999997</c:v>
                </c:pt>
                <c:pt idx="531">
                  <c:v>5.9290000000000003</c:v>
                </c:pt>
                <c:pt idx="532">
                  <c:v>5.7889999999999997</c:v>
                </c:pt>
                <c:pt idx="533">
                  <c:v>5.7290000000000001</c:v>
                </c:pt>
                <c:pt idx="534">
                  <c:v>5.734</c:v>
                </c:pt>
                <c:pt idx="535">
                  <c:v>5.8669999999999991</c:v>
                </c:pt>
                <c:pt idx="536">
                  <c:v>5.9530000000000003</c:v>
                </c:pt>
                <c:pt idx="537">
                  <c:v>6.0780000000000003</c:v>
                </c:pt>
                <c:pt idx="538">
                  <c:v>6.1209999999999996</c:v>
                </c:pt>
                <c:pt idx="539">
                  <c:v>6.2409999999999997</c:v>
                </c:pt>
                <c:pt idx="540">
                  <c:v>6.2590000000000003</c:v>
                </c:pt>
                <c:pt idx="541">
                  <c:v>6.2910000000000004</c:v>
                </c:pt>
                <c:pt idx="542">
                  <c:v>6.351</c:v>
                </c:pt>
                <c:pt idx="543">
                  <c:v>6.35</c:v>
                </c:pt>
                <c:pt idx="544">
                  <c:v>6.3490000000000002</c:v>
                </c:pt>
                <c:pt idx="545">
                  <c:v>6.3490000000000002</c:v>
                </c:pt>
                <c:pt idx="546">
                  <c:v>6.4550000000000001</c:v>
                </c:pt>
                <c:pt idx="547">
                  <c:v>6.0339999999999998</c:v>
                </c:pt>
                <c:pt idx="548">
                  <c:v>5.9619999999999997</c:v>
                </c:pt>
                <c:pt idx="549">
                  <c:v>5.9809999999999999</c:v>
                </c:pt>
                <c:pt idx="550">
                  <c:v>5.9290000000000003</c:v>
                </c:pt>
                <c:pt idx="551">
                  <c:v>5.9109999999999996</c:v>
                </c:pt>
                <c:pt idx="552">
                  <c:v>5.8439999999999994</c:v>
                </c:pt>
                <c:pt idx="553">
                  <c:v>5.819</c:v>
                </c:pt>
                <c:pt idx="554">
                  <c:v>5.8199999999999994</c:v>
                </c:pt>
                <c:pt idx="555">
                  <c:v>5.8390000000000004</c:v>
                </c:pt>
                <c:pt idx="556">
                  <c:v>6.1189999999999989</c:v>
                </c:pt>
                <c:pt idx="557">
                  <c:v>6.1679999999999993</c:v>
                </c:pt>
                <c:pt idx="558">
                  <c:v>6.3249999999999993</c:v>
                </c:pt>
                <c:pt idx="559">
                  <c:v>6.4009999999999998</c:v>
                </c:pt>
                <c:pt idx="560">
                  <c:v>6.4539999999999997</c:v>
                </c:pt>
                <c:pt idx="561">
                  <c:v>6.7930000000000001</c:v>
                </c:pt>
                <c:pt idx="562">
                  <c:v>6.8659999999999988</c:v>
                </c:pt>
                <c:pt idx="563">
                  <c:v>6.9180000000000001</c:v>
                </c:pt>
                <c:pt idx="564">
                  <c:v>7.0430000000000001</c:v>
                </c:pt>
                <c:pt idx="565">
                  <c:v>7.0439999999999996</c:v>
                </c:pt>
                <c:pt idx="566">
                  <c:v>7.0380000000000003</c:v>
                </c:pt>
                <c:pt idx="567">
                  <c:v>7</c:v>
                </c:pt>
                <c:pt idx="568">
                  <c:v>6.9429999999999996</c:v>
                </c:pt>
                <c:pt idx="569">
                  <c:v>6.9539999999999997</c:v>
                </c:pt>
                <c:pt idx="570">
                  <c:v>6.9459999999999997</c:v>
                </c:pt>
                <c:pt idx="571">
                  <c:v>6.9370000000000003</c:v>
                </c:pt>
                <c:pt idx="572">
                  <c:v>6.9420000000000002</c:v>
                </c:pt>
                <c:pt idx="573">
                  <c:v>6.927999999999999</c:v>
                </c:pt>
                <c:pt idx="574">
                  <c:v>7.004999999999999</c:v>
                </c:pt>
                <c:pt idx="575">
                  <c:v>7.0239999999999991</c:v>
                </c:pt>
                <c:pt idx="576">
                  <c:v>7.07</c:v>
                </c:pt>
                <c:pt idx="577">
                  <c:v>7.177999999999999</c:v>
                </c:pt>
                <c:pt idx="578">
                  <c:v>7.1859999999999991</c:v>
                </c:pt>
                <c:pt idx="579">
                  <c:v>7.22</c:v>
                </c:pt>
                <c:pt idx="580">
                  <c:v>7.2439999999999998</c:v>
                </c:pt>
                <c:pt idx="581">
                  <c:v>7.1959999999999988</c:v>
                </c:pt>
                <c:pt idx="582">
                  <c:v>7.2329999999999997</c:v>
                </c:pt>
                <c:pt idx="583">
                  <c:v>7.2080000000000002</c:v>
                </c:pt>
                <c:pt idx="584">
                  <c:v>6.823999999999999</c:v>
                </c:pt>
                <c:pt idx="585">
                  <c:v>6.7359999999999998</c:v>
                </c:pt>
                <c:pt idx="586">
                  <c:v>6.7700000000000005</c:v>
                </c:pt>
                <c:pt idx="587">
                  <c:v>6.8179999999999987</c:v>
                </c:pt>
                <c:pt idx="588">
                  <c:v>6.9639999999999995</c:v>
                </c:pt>
                <c:pt idx="589">
                  <c:v>7.0659999999999989</c:v>
                </c:pt>
                <c:pt idx="590">
                  <c:v>7.0960000000000001</c:v>
                </c:pt>
                <c:pt idx="591">
                  <c:v>7.0919999999999996</c:v>
                </c:pt>
                <c:pt idx="592">
                  <c:v>7.1179999999999994</c:v>
                </c:pt>
                <c:pt idx="593">
                  <c:v>7.1319999999999997</c:v>
                </c:pt>
                <c:pt idx="594">
                  <c:v>7.1129999999999995</c:v>
                </c:pt>
                <c:pt idx="595">
                  <c:v>7.0169999999999995</c:v>
                </c:pt>
                <c:pt idx="596">
                  <c:v>7.004999999999999</c:v>
                </c:pt>
                <c:pt idx="597">
                  <c:v>7.0149999999999988</c:v>
                </c:pt>
                <c:pt idx="598">
                  <c:v>6.8719999999999999</c:v>
                </c:pt>
                <c:pt idx="599">
                  <c:v>6.7809999999999997</c:v>
                </c:pt>
                <c:pt idx="600">
                  <c:v>6.774</c:v>
                </c:pt>
                <c:pt idx="601">
                  <c:v>6.8199999999999994</c:v>
                </c:pt>
                <c:pt idx="602">
                  <c:v>6.8760000000000003</c:v>
                </c:pt>
                <c:pt idx="603">
                  <c:v>7.04</c:v>
                </c:pt>
                <c:pt idx="604">
                  <c:v>6.7620000000000005</c:v>
                </c:pt>
                <c:pt idx="605">
                  <c:v>6.6589999999999989</c:v>
                </c:pt>
                <c:pt idx="606">
                  <c:v>6.6339999999999995</c:v>
                </c:pt>
                <c:pt idx="607">
                  <c:v>6.6659999999999995</c:v>
                </c:pt>
                <c:pt idx="608">
                  <c:v>6.677999999999999</c:v>
                </c:pt>
                <c:pt idx="609">
                  <c:v>6.7919999999999998</c:v>
                </c:pt>
                <c:pt idx="610">
                  <c:v>6.802999999999999</c:v>
                </c:pt>
                <c:pt idx="611">
                  <c:v>6.8659999999999988</c:v>
                </c:pt>
                <c:pt idx="612">
                  <c:v>6.8549999999999995</c:v>
                </c:pt>
                <c:pt idx="613">
                  <c:v>6.8629999999999987</c:v>
                </c:pt>
                <c:pt idx="614">
                  <c:v>6.88</c:v>
                </c:pt>
                <c:pt idx="615">
                  <c:v>6.7910000000000004</c:v>
                </c:pt>
                <c:pt idx="616">
                  <c:v>6.6909999999999989</c:v>
                </c:pt>
                <c:pt idx="617">
                  <c:v>6.7990000000000004</c:v>
                </c:pt>
                <c:pt idx="618">
                  <c:v>6.8769999999999998</c:v>
                </c:pt>
                <c:pt idx="619">
                  <c:v>6.9359999999999999</c:v>
                </c:pt>
                <c:pt idx="620">
                  <c:v>6.9580000000000002</c:v>
                </c:pt>
                <c:pt idx="621">
                  <c:v>6.9980000000000002</c:v>
                </c:pt>
                <c:pt idx="622">
                  <c:v>7.0169999999999995</c:v>
                </c:pt>
                <c:pt idx="623">
                  <c:v>7.0780000000000003</c:v>
                </c:pt>
                <c:pt idx="624">
                  <c:v>7.1119999999999992</c:v>
                </c:pt>
                <c:pt idx="625">
                  <c:v>7.1749999999999989</c:v>
                </c:pt>
                <c:pt idx="626">
                  <c:v>7.2379999999999995</c:v>
                </c:pt>
                <c:pt idx="627">
                  <c:v>7.3209999999999988</c:v>
                </c:pt>
                <c:pt idx="628">
                  <c:v>7.3649999999999993</c:v>
                </c:pt>
                <c:pt idx="629">
                  <c:v>7.3649999999999993</c:v>
                </c:pt>
                <c:pt idx="630">
                  <c:v>7.3259999999999987</c:v>
                </c:pt>
                <c:pt idx="631">
                  <c:v>7.181</c:v>
                </c:pt>
                <c:pt idx="632">
                  <c:v>7.1079999999999988</c:v>
                </c:pt>
                <c:pt idx="633">
                  <c:v>7.0629999999999988</c:v>
                </c:pt>
                <c:pt idx="634">
                  <c:v>7.0510000000000002</c:v>
                </c:pt>
                <c:pt idx="635">
                  <c:v>7.0219999999999994</c:v>
                </c:pt>
                <c:pt idx="636">
                  <c:v>6.9870000000000001</c:v>
                </c:pt>
                <c:pt idx="637">
                  <c:v>6.9749999999999996</c:v>
                </c:pt>
                <c:pt idx="638">
                  <c:v>6.8780000000000001</c:v>
                </c:pt>
                <c:pt idx="639">
                  <c:v>6.7780000000000014</c:v>
                </c:pt>
                <c:pt idx="640">
                  <c:v>6.7080000000000002</c:v>
                </c:pt>
                <c:pt idx="641">
                  <c:v>6.6739999999999995</c:v>
                </c:pt>
                <c:pt idx="642">
                  <c:v>6.6559999999999988</c:v>
                </c:pt>
                <c:pt idx="643">
                  <c:v>6.4340000000000002</c:v>
                </c:pt>
                <c:pt idx="644">
                  <c:v>6.39</c:v>
                </c:pt>
                <c:pt idx="645">
                  <c:v>6.3739999999999997</c:v>
                </c:pt>
                <c:pt idx="646">
                  <c:v>6.3710000000000004</c:v>
                </c:pt>
                <c:pt idx="647">
                  <c:v>6.3549999999999995</c:v>
                </c:pt>
                <c:pt idx="648">
                  <c:v>6.3780000000000001</c:v>
                </c:pt>
                <c:pt idx="649">
                  <c:v>6.4109999999999996</c:v>
                </c:pt>
                <c:pt idx="650">
                  <c:v>6.3710000000000004</c:v>
                </c:pt>
                <c:pt idx="651">
                  <c:v>6.3860000000000001</c:v>
                </c:pt>
                <c:pt idx="652">
                  <c:v>6.4290000000000003</c:v>
                </c:pt>
                <c:pt idx="653">
                  <c:v>6.4420000000000002</c:v>
                </c:pt>
                <c:pt idx="654">
                  <c:v>6.4409999999999998</c:v>
                </c:pt>
                <c:pt idx="655">
                  <c:v>6.4480000000000004</c:v>
                </c:pt>
                <c:pt idx="656">
                  <c:v>6.4580000000000002</c:v>
                </c:pt>
                <c:pt idx="657">
                  <c:v>6.4700000000000006</c:v>
                </c:pt>
                <c:pt idx="658">
                  <c:v>6.4820000000000002</c:v>
                </c:pt>
                <c:pt idx="659">
                  <c:v>6.4960000000000004</c:v>
                </c:pt>
                <c:pt idx="660">
                  <c:v>6.4870000000000001</c:v>
                </c:pt>
                <c:pt idx="661">
                  <c:v>6.479000000000001</c:v>
                </c:pt>
                <c:pt idx="662">
                  <c:v>6.4720000000000004</c:v>
                </c:pt>
                <c:pt idx="663">
                  <c:v>6.464999999999999</c:v>
                </c:pt>
                <c:pt idx="664">
                  <c:v>6.4770000000000003</c:v>
                </c:pt>
                <c:pt idx="665">
                  <c:v>6.4749999999999996</c:v>
                </c:pt>
                <c:pt idx="666">
                  <c:v>6.4749999999999996</c:v>
                </c:pt>
                <c:pt idx="667">
                  <c:v>6.4820000000000002</c:v>
                </c:pt>
                <c:pt idx="668">
                  <c:v>6.4589999999999996</c:v>
                </c:pt>
                <c:pt idx="669">
                  <c:v>6.391</c:v>
                </c:pt>
                <c:pt idx="670">
                  <c:v>6.3949999999999987</c:v>
                </c:pt>
                <c:pt idx="671">
                  <c:v>6.4009999999999998</c:v>
                </c:pt>
                <c:pt idx="672">
                  <c:v>6.3969999999999994</c:v>
                </c:pt>
                <c:pt idx="673">
                  <c:v>6.3939999999999992</c:v>
                </c:pt>
                <c:pt idx="674">
                  <c:v>6.4130000000000003</c:v>
                </c:pt>
                <c:pt idx="675">
                  <c:v>6.4290000000000003</c:v>
                </c:pt>
                <c:pt idx="676">
                  <c:v>6.4349999999999996</c:v>
                </c:pt>
                <c:pt idx="677">
                  <c:v>6.4219999999999997</c:v>
                </c:pt>
                <c:pt idx="678">
                  <c:v>6.4429999999999996</c:v>
                </c:pt>
                <c:pt idx="679">
                  <c:v>6.4480000000000004</c:v>
                </c:pt>
                <c:pt idx="680">
                  <c:v>6.41</c:v>
                </c:pt>
                <c:pt idx="681">
                  <c:v>6.4</c:v>
                </c:pt>
                <c:pt idx="682">
                  <c:v>6.3119999999999994</c:v>
                </c:pt>
                <c:pt idx="683">
                  <c:v>6.302999999999999</c:v>
                </c:pt>
                <c:pt idx="684">
                  <c:v>6.294999999999999</c:v>
                </c:pt>
                <c:pt idx="685">
                  <c:v>6.3</c:v>
                </c:pt>
                <c:pt idx="686">
                  <c:v>6.3339999999999996</c:v>
                </c:pt>
                <c:pt idx="687">
                  <c:v>6.3179999999999987</c:v>
                </c:pt>
                <c:pt idx="688">
                  <c:v>6.3469999999999995</c:v>
                </c:pt>
                <c:pt idx="689">
                  <c:v>6.4619999999999997</c:v>
                </c:pt>
                <c:pt idx="690">
                  <c:v>6.6039999999999992</c:v>
                </c:pt>
                <c:pt idx="691">
                  <c:v>6.6099999999999994</c:v>
                </c:pt>
                <c:pt idx="692">
                  <c:v>6.6639999999999988</c:v>
                </c:pt>
                <c:pt idx="693">
                  <c:v>6.6890000000000001</c:v>
                </c:pt>
                <c:pt idx="694">
                  <c:v>6.6569999999999991</c:v>
                </c:pt>
                <c:pt idx="695">
                  <c:v>6.6769999999999996</c:v>
                </c:pt>
                <c:pt idx="696">
                  <c:v>6.895999999999999</c:v>
                </c:pt>
                <c:pt idx="697">
                  <c:v>7.028999999999999</c:v>
                </c:pt>
                <c:pt idx="698">
                  <c:v>7.0739999999999998</c:v>
                </c:pt>
                <c:pt idx="699">
                  <c:v>7.1549999999999994</c:v>
                </c:pt>
                <c:pt idx="700">
                  <c:v>7.1719999999999997</c:v>
                </c:pt>
                <c:pt idx="701">
                  <c:v>7.218</c:v>
                </c:pt>
                <c:pt idx="702">
                  <c:v>7.2279999999999989</c:v>
                </c:pt>
                <c:pt idx="703">
                  <c:v>7.2770000000000001</c:v>
                </c:pt>
                <c:pt idx="704">
                  <c:v>7.2910000000000004</c:v>
                </c:pt>
                <c:pt idx="705">
                  <c:v>7.2889999999999997</c:v>
                </c:pt>
                <c:pt idx="706">
                  <c:v>7.2809999999999997</c:v>
                </c:pt>
                <c:pt idx="707">
                  <c:v>7.2809999999999997</c:v>
                </c:pt>
                <c:pt idx="708">
                  <c:v>7.2850000000000001</c:v>
                </c:pt>
                <c:pt idx="709">
                  <c:v>7.29</c:v>
                </c:pt>
                <c:pt idx="710">
                  <c:v>7.2780000000000014</c:v>
                </c:pt>
                <c:pt idx="711">
                  <c:v>7.294999999999999</c:v>
                </c:pt>
                <c:pt idx="712">
                  <c:v>7.3129999999999988</c:v>
                </c:pt>
                <c:pt idx="713">
                  <c:v>7.2939999999999996</c:v>
                </c:pt>
                <c:pt idx="714">
                  <c:v>7.2569999999999997</c:v>
                </c:pt>
                <c:pt idx="715">
                  <c:v>7.2679999999999989</c:v>
                </c:pt>
                <c:pt idx="716">
                  <c:v>7.2679999999999989</c:v>
                </c:pt>
                <c:pt idx="717">
                  <c:v>7.2690000000000001</c:v>
                </c:pt>
                <c:pt idx="718">
                  <c:v>7.3159999999999989</c:v>
                </c:pt>
                <c:pt idx="719">
                  <c:v>7.3339999999999996</c:v>
                </c:pt>
                <c:pt idx="720">
                  <c:v>7.34</c:v>
                </c:pt>
                <c:pt idx="721">
                  <c:v>7.3609999999999989</c:v>
                </c:pt>
                <c:pt idx="722">
                  <c:v>7.4320000000000004</c:v>
                </c:pt>
                <c:pt idx="723">
                  <c:v>7.4610000000000003</c:v>
                </c:pt>
                <c:pt idx="724">
                  <c:v>7.5239999999999991</c:v>
                </c:pt>
                <c:pt idx="725">
                  <c:v>7.54</c:v>
                </c:pt>
                <c:pt idx="726">
                  <c:v>7.5860000000000003</c:v>
                </c:pt>
                <c:pt idx="727">
                  <c:v>7.641</c:v>
                </c:pt>
                <c:pt idx="728">
                  <c:v>7.6659999999999995</c:v>
                </c:pt>
                <c:pt idx="729">
                  <c:v>7.6739999999999995</c:v>
                </c:pt>
                <c:pt idx="730">
                  <c:v>7.67</c:v>
                </c:pt>
                <c:pt idx="731">
                  <c:v>7.6449999999999987</c:v>
                </c:pt>
                <c:pt idx="732">
                  <c:v>7.64</c:v>
                </c:pt>
                <c:pt idx="733">
                  <c:v>7.6199999999999992</c:v>
                </c:pt>
                <c:pt idx="734">
                  <c:v>7.6279999999999992</c:v>
                </c:pt>
                <c:pt idx="735">
                  <c:v>7.6499999999999995</c:v>
                </c:pt>
                <c:pt idx="736">
                  <c:v>7.7059999999999995</c:v>
                </c:pt>
                <c:pt idx="737">
                  <c:v>7.6869999999999994</c:v>
                </c:pt>
                <c:pt idx="738">
                  <c:v>7.6370000000000005</c:v>
                </c:pt>
                <c:pt idx="739">
                  <c:v>7.64</c:v>
                </c:pt>
                <c:pt idx="740">
                  <c:v>7.6499999999999995</c:v>
                </c:pt>
                <c:pt idx="741">
                  <c:v>7.67</c:v>
                </c:pt>
                <c:pt idx="742">
                  <c:v>7.6639999999999988</c:v>
                </c:pt>
                <c:pt idx="743">
                  <c:v>7.6969999999999992</c:v>
                </c:pt>
                <c:pt idx="744">
                  <c:v>7.7409999999999997</c:v>
                </c:pt>
                <c:pt idx="745">
                  <c:v>7.67</c:v>
                </c:pt>
                <c:pt idx="746">
                  <c:v>7.7089999999999996</c:v>
                </c:pt>
                <c:pt idx="747">
                  <c:v>7.661999999999999</c:v>
                </c:pt>
                <c:pt idx="748">
                  <c:v>7.7709999999999999</c:v>
                </c:pt>
                <c:pt idx="749">
                  <c:v>7.7539999999999996</c:v>
                </c:pt>
                <c:pt idx="750">
                  <c:v>7.774</c:v>
                </c:pt>
                <c:pt idx="751">
                  <c:v>7.8049999999999988</c:v>
                </c:pt>
                <c:pt idx="752">
                  <c:v>7.8249999999999993</c:v>
                </c:pt>
                <c:pt idx="753">
                  <c:v>7.802999999999999</c:v>
                </c:pt>
                <c:pt idx="754">
                  <c:v>7.8119999999999994</c:v>
                </c:pt>
                <c:pt idx="755">
                  <c:v>7.8079999999999989</c:v>
                </c:pt>
                <c:pt idx="756">
                  <c:v>7.802999999999999</c:v>
                </c:pt>
                <c:pt idx="757">
                  <c:v>7.7919999999999998</c:v>
                </c:pt>
                <c:pt idx="758">
                  <c:v>7.8119999999999994</c:v>
                </c:pt>
                <c:pt idx="759">
                  <c:v>7.798</c:v>
                </c:pt>
                <c:pt idx="760">
                  <c:v>7.7960000000000003</c:v>
                </c:pt>
                <c:pt idx="761">
                  <c:v>7.8339999999999996</c:v>
                </c:pt>
                <c:pt idx="762">
                  <c:v>7.84</c:v>
                </c:pt>
                <c:pt idx="763">
                  <c:v>7.8269999999999991</c:v>
                </c:pt>
                <c:pt idx="764">
                  <c:v>7.8</c:v>
                </c:pt>
                <c:pt idx="765">
                  <c:v>7.7439999999999998</c:v>
                </c:pt>
                <c:pt idx="766">
                  <c:v>7.6679999999999993</c:v>
                </c:pt>
                <c:pt idx="767">
                  <c:v>7.653999999999999</c:v>
                </c:pt>
                <c:pt idx="768">
                  <c:v>7.6169999999999991</c:v>
                </c:pt>
                <c:pt idx="769">
                  <c:v>7.6199999999999992</c:v>
                </c:pt>
                <c:pt idx="770">
                  <c:v>7.4300000000000006</c:v>
                </c:pt>
                <c:pt idx="771">
                  <c:v>7.3780000000000001</c:v>
                </c:pt>
                <c:pt idx="772">
                  <c:v>7.3119999999999994</c:v>
                </c:pt>
                <c:pt idx="773">
                  <c:v>7.2560000000000002</c:v>
                </c:pt>
                <c:pt idx="774">
                  <c:v>6.9850000000000003</c:v>
                </c:pt>
                <c:pt idx="775">
                  <c:v>6.9720000000000004</c:v>
                </c:pt>
                <c:pt idx="776">
                  <c:v>6.9870000000000001</c:v>
                </c:pt>
                <c:pt idx="777">
                  <c:v>6.9850000000000003</c:v>
                </c:pt>
                <c:pt idx="778">
                  <c:v>6.9009999999999998</c:v>
                </c:pt>
                <c:pt idx="779">
                  <c:v>6.923</c:v>
                </c:pt>
                <c:pt idx="780">
                  <c:v>6.9080000000000004</c:v>
                </c:pt>
                <c:pt idx="781">
                  <c:v>6.95</c:v>
                </c:pt>
                <c:pt idx="782">
                  <c:v>7.0380000000000003</c:v>
                </c:pt>
                <c:pt idx="783">
                  <c:v>6.992</c:v>
                </c:pt>
                <c:pt idx="784">
                  <c:v>6.8710000000000004</c:v>
                </c:pt>
                <c:pt idx="785">
                  <c:v>6.9450000000000003</c:v>
                </c:pt>
                <c:pt idx="786">
                  <c:v>7.07</c:v>
                </c:pt>
                <c:pt idx="787">
                  <c:v>7.4459999999999997</c:v>
                </c:pt>
                <c:pt idx="788">
                  <c:v>7.516</c:v>
                </c:pt>
                <c:pt idx="789">
                  <c:v>7.5569999999999995</c:v>
                </c:pt>
                <c:pt idx="790">
                  <c:v>7.5669999999999993</c:v>
                </c:pt>
                <c:pt idx="791">
                  <c:v>7.569</c:v>
                </c:pt>
                <c:pt idx="792">
                  <c:v>7.5669999999999993</c:v>
                </c:pt>
                <c:pt idx="793">
                  <c:v>7.6339999999999995</c:v>
                </c:pt>
                <c:pt idx="794">
                  <c:v>7.613999999999999</c:v>
                </c:pt>
                <c:pt idx="795">
                  <c:v>7.72</c:v>
                </c:pt>
                <c:pt idx="796">
                  <c:v>7.7160000000000002</c:v>
                </c:pt>
                <c:pt idx="797">
                  <c:v>7.7759999999999998</c:v>
                </c:pt>
                <c:pt idx="798">
                  <c:v>7.927999999999999</c:v>
                </c:pt>
                <c:pt idx="799">
                  <c:v>8.1399999999999988</c:v>
                </c:pt>
                <c:pt idx="800">
                  <c:v>8.1820000000000004</c:v>
                </c:pt>
                <c:pt idx="801">
                  <c:v>8.2560000000000002</c:v>
                </c:pt>
                <c:pt idx="802">
                  <c:v>8.5530000000000008</c:v>
                </c:pt>
                <c:pt idx="803">
                  <c:v>8.7850000000000001</c:v>
                </c:pt>
              </c:numCache>
            </c:numRef>
          </c:val>
          <c:smooth val="0"/>
        </c:ser>
        <c:dLbls>
          <c:showLegendKey val="0"/>
          <c:showVal val="0"/>
          <c:showCatName val="0"/>
          <c:showSerName val="0"/>
          <c:showPercent val="0"/>
          <c:showBubbleSize val="0"/>
        </c:dLbls>
        <c:marker val="1"/>
        <c:smooth val="0"/>
        <c:axId val="296814032"/>
        <c:axId val="296813640"/>
      </c:lineChart>
      <c:dateAx>
        <c:axId val="296812856"/>
        <c:scaling>
          <c:orientation val="minMax"/>
          <c:max val="41943"/>
          <c:min val="40818"/>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lang="sr-Latn-RS" sz="900" b="0" i="0" u="none" strike="noStrike" kern="1200" cap="none" spc="0" normalizeH="0" baseline="0">
                <a:solidFill>
                  <a:schemeClr val="tx1">
                    <a:lumMod val="65000"/>
                    <a:lumOff val="35000"/>
                  </a:schemeClr>
                </a:solidFill>
                <a:latin typeface="+mj-lt"/>
                <a:ea typeface="+mn-ea"/>
                <a:cs typeface="+mn-cs"/>
              </a:defRPr>
            </a:pPr>
            <a:endParaRPr lang="en-US"/>
          </a:p>
        </c:txPr>
        <c:crossAx val="296813248"/>
        <c:crosses val="autoZero"/>
        <c:auto val="0"/>
        <c:lblOffset val="100"/>
        <c:baseTimeUnit val="days"/>
        <c:majorUnit val="45"/>
        <c:majorTimeUnit val="days"/>
      </c:dateAx>
      <c:valAx>
        <c:axId val="296813248"/>
        <c:scaling>
          <c:orientation val="minMax"/>
          <c:min val="9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540A]" sourceLinked="0"/>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crossAx val="296812856"/>
        <c:crosses val="autoZero"/>
        <c:crossBetween val="between"/>
        <c:majorUnit val="3"/>
      </c:valAx>
      <c:valAx>
        <c:axId val="296813640"/>
        <c:scaling>
          <c:orientation val="minMax"/>
          <c:min val="4"/>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RS" sz="900" b="0" i="0" u="none" strike="noStrike" kern="1200" cap="all" baseline="0">
                    <a:solidFill>
                      <a:schemeClr val="tx1">
                        <a:lumMod val="65000"/>
                        <a:lumOff val="35000"/>
                      </a:schemeClr>
                    </a:solidFill>
                    <a:latin typeface="+mj-lt"/>
                    <a:ea typeface="+mn-ea"/>
                    <a:cs typeface="+mn-cs"/>
                  </a:defRPr>
                </a:pPr>
                <a:r>
                  <a:rPr lang="x-none"/>
                  <a:t>У процентима</a:t>
                </a: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crossAx val="296814032"/>
        <c:crosses val="max"/>
        <c:crossBetween val="between"/>
        <c:majorUnit val="0.5"/>
      </c:valAx>
      <c:catAx>
        <c:axId val="296814032"/>
        <c:scaling>
          <c:orientation val="minMax"/>
        </c:scaling>
        <c:delete val="1"/>
        <c:axPos val="b"/>
        <c:numFmt formatCode="General" sourceLinked="1"/>
        <c:majorTickMark val="out"/>
        <c:minorTickMark val="none"/>
        <c:tickLblPos val="none"/>
        <c:crossAx val="296813640"/>
        <c:crosses val="autoZero"/>
        <c:auto val="1"/>
        <c:lblAlgn val="ctr"/>
        <c:lblOffset val="100"/>
        <c:noMultiLvlLbl val="0"/>
      </c:catAx>
      <c:spPr>
        <a:solidFill>
          <a:srgbClr val="9BBB59">
            <a:lumMod val="20000"/>
            <a:lumOff val="80000"/>
          </a:srgbClr>
        </a:solidFill>
        <a:ln>
          <a:noFill/>
        </a:ln>
        <a:effectLst/>
      </c:spPr>
    </c:plotArea>
    <c:legend>
      <c:legendPos val="t"/>
      <c:layout>
        <c:manualLayout>
          <c:xMode val="edge"/>
          <c:yMode val="edge"/>
          <c:x val="0.50688449161246152"/>
          <c:y val="3.6059150326797386E-2"/>
          <c:w val="0.38970909505876988"/>
          <c:h val="0.12639352109316063"/>
        </c:manualLayout>
      </c:layout>
      <c:overlay val="0"/>
      <c:spPr>
        <a:noFill/>
        <a:ln>
          <a:noFill/>
        </a:ln>
        <a:effectLst/>
      </c:spPr>
      <c:txPr>
        <a:bodyPr rot="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900">
          <a:latin typeface="+mj-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0726591760299625"/>
          <c:y val="5.0925925925925923E-2"/>
          <c:w val="0.85977528089889077"/>
          <c:h val="0.65804389034704869"/>
        </c:manualLayout>
      </c:layout>
      <c:barChart>
        <c:barDir val="col"/>
        <c:grouping val="stacked"/>
        <c:varyColors val="0"/>
        <c:ser>
          <c:idx val="0"/>
          <c:order val="0"/>
          <c:tx>
            <c:strRef>
              <c:f>Makro!$C$183</c:f>
              <c:strCache>
                <c:ptCount val="1"/>
                <c:pt idx="0">
                  <c:v>Пољопривреда</c:v>
                </c:pt>
              </c:strCache>
            </c:strRef>
          </c:tx>
          <c:spPr>
            <a:solidFill>
              <a:schemeClr val="accent3">
                <a:shade val="53000"/>
              </a:schemeClr>
            </a:solidFill>
            <a:ln w="9525" cap="flat" cmpd="sng" algn="ctr">
              <a:solidFill>
                <a:schemeClr val="accent3">
                  <a:shade val="50000"/>
                  <a:shade val="95000"/>
                  <a:satMod val="105000"/>
                </a:schemeClr>
              </a:solidFill>
              <a:prstDash val="solid"/>
              <a:round/>
            </a:ln>
            <a:effectLst/>
          </c:spPr>
          <c:invertIfNegative val="0"/>
          <c:cat>
            <c:numRef>
              <c:f>Makro!$D$181:$M$181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Makro!$D$183:$M$183</c:f>
              <c:numCache>
                <c:formatCode>0.0</c:formatCode>
                <c:ptCount val="10"/>
                <c:pt idx="0">
                  <c:v>0.82414079145505348</c:v>
                </c:pt>
                <c:pt idx="1">
                  <c:v>-0.46676891228071299</c:v>
                </c:pt>
                <c:pt idx="2">
                  <c:v>0.62294152625723187</c:v>
                </c:pt>
                <c:pt idx="3">
                  <c:v>9.1025117672631675E-2</c:v>
                </c:pt>
                <c:pt idx="4">
                  <c:v>-1.7647707591452015</c:v>
                </c:pt>
                <c:pt idx="5">
                  <c:v>1.7756299896207604</c:v>
                </c:pt>
                <c:pt idx="6">
                  <c:v>0.13835939684361609</c:v>
                </c:pt>
                <c:pt idx="7">
                  <c:v>0.16974681367519412</c:v>
                </c:pt>
                <c:pt idx="8">
                  <c:v>0.18283125843656467</c:v>
                </c:pt>
                <c:pt idx="9">
                  <c:v>0.18711056169529425</c:v>
                </c:pt>
              </c:numCache>
            </c:numRef>
          </c:val>
        </c:ser>
        <c:ser>
          <c:idx val="1"/>
          <c:order val="1"/>
          <c:tx>
            <c:strRef>
              <c:f>Makro!$C$184</c:f>
              <c:strCache>
                <c:ptCount val="1"/>
                <c:pt idx="0">
                  <c:v>Индустрија</c:v>
                </c:pt>
              </c:strCache>
            </c:strRef>
          </c:tx>
          <c:spPr>
            <a:solidFill>
              <a:schemeClr val="accent3">
                <a:lumMod val="20000"/>
                <a:lumOff val="80000"/>
              </a:schemeClr>
            </a:solidFill>
            <a:ln w="9525" cap="flat" cmpd="sng" algn="ctr">
              <a:solidFill>
                <a:schemeClr val="accent3">
                  <a:shade val="50000"/>
                  <a:shade val="95000"/>
                  <a:satMod val="105000"/>
                </a:schemeClr>
              </a:solidFill>
              <a:prstDash val="solid"/>
              <a:round/>
            </a:ln>
            <a:effectLst/>
          </c:spPr>
          <c:invertIfNegative val="0"/>
          <c:cat>
            <c:numRef>
              <c:f>Makro!$D$181:$M$181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Makro!$D$184:$M$184</c:f>
              <c:numCache>
                <c:formatCode>0.0</c:formatCode>
                <c:ptCount val="10"/>
                <c:pt idx="0">
                  <c:v>0.48939125667053929</c:v>
                </c:pt>
                <c:pt idx="1">
                  <c:v>-0.69436436858403261</c:v>
                </c:pt>
                <c:pt idx="2">
                  <c:v>0.17461322608264446</c:v>
                </c:pt>
                <c:pt idx="3">
                  <c:v>0.71560317712781152</c:v>
                </c:pt>
                <c:pt idx="4">
                  <c:v>1.2819700501869653</c:v>
                </c:pt>
                <c:pt idx="5">
                  <c:v>1.4628097714390662</c:v>
                </c:pt>
                <c:pt idx="6">
                  <c:v>-1.4315180159019147</c:v>
                </c:pt>
                <c:pt idx="7">
                  <c:v>0.89374521586796218</c:v>
                </c:pt>
                <c:pt idx="8">
                  <c:v>0.49430352584034332</c:v>
                </c:pt>
                <c:pt idx="9">
                  <c:v>0.62973223949848012</c:v>
                </c:pt>
              </c:numCache>
            </c:numRef>
          </c:val>
        </c:ser>
        <c:ser>
          <c:idx val="2"/>
          <c:order val="2"/>
          <c:tx>
            <c:strRef>
              <c:f>Makro!$C$185</c:f>
              <c:strCache>
                <c:ptCount val="1"/>
                <c:pt idx="0">
                  <c:v>Грађевинарство</c:v>
                </c:pt>
              </c:strCache>
            </c:strRef>
          </c:tx>
          <c:spPr>
            <a:solidFill>
              <a:schemeClr val="accent4">
                <a:lumMod val="40000"/>
                <a:lumOff val="60000"/>
              </a:schemeClr>
            </a:solidFill>
            <a:ln w="9525" cap="flat" cmpd="sng" algn="ctr">
              <a:solidFill>
                <a:schemeClr val="accent3">
                  <a:shade val="50000"/>
                  <a:shade val="95000"/>
                  <a:satMod val="105000"/>
                </a:schemeClr>
              </a:solidFill>
              <a:prstDash val="solid"/>
              <a:round/>
            </a:ln>
            <a:effectLst/>
          </c:spPr>
          <c:invertIfNegative val="0"/>
          <c:cat>
            <c:numRef>
              <c:f>Makro!$D$181:$M$181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Makro!$D$185:$M$185</c:f>
              <c:numCache>
                <c:formatCode>0.0</c:formatCode>
                <c:ptCount val="10"/>
                <c:pt idx="0">
                  <c:v>0.78938706353775712</c:v>
                </c:pt>
                <c:pt idx="1">
                  <c:v>-0.83761355996430731</c:v>
                </c:pt>
                <c:pt idx="2">
                  <c:v>-0.14250875321008721</c:v>
                </c:pt>
                <c:pt idx="3">
                  <c:v>0.33491255875411441</c:v>
                </c:pt>
                <c:pt idx="4">
                  <c:v>-0.58328563078339635</c:v>
                </c:pt>
                <c:pt idx="5">
                  <c:v>-0.21215055210253411</c:v>
                </c:pt>
                <c:pt idx="6">
                  <c:v>-0.36663383683406164</c:v>
                </c:pt>
                <c:pt idx="7">
                  <c:v>0.79467368839035335</c:v>
                </c:pt>
                <c:pt idx="8">
                  <c:v>0.35801430817856744</c:v>
                </c:pt>
                <c:pt idx="9">
                  <c:v>0.39859679403749654</c:v>
                </c:pt>
              </c:numCache>
            </c:numRef>
          </c:val>
        </c:ser>
        <c:ser>
          <c:idx val="3"/>
          <c:order val="3"/>
          <c:tx>
            <c:strRef>
              <c:f>Makro!$C$186</c:f>
              <c:strCache>
                <c:ptCount val="1"/>
                <c:pt idx="0">
                  <c:v>Услуге</c:v>
                </c:pt>
              </c:strCache>
            </c:strRef>
          </c:tx>
          <c:spPr>
            <a:solidFill>
              <a:schemeClr val="accent6">
                <a:lumMod val="20000"/>
                <a:lumOff val="80000"/>
              </a:schemeClr>
            </a:solidFill>
            <a:ln w="9525" cap="flat" cmpd="sng" algn="ctr">
              <a:solidFill>
                <a:schemeClr val="accent3">
                  <a:shade val="50000"/>
                  <a:shade val="95000"/>
                  <a:satMod val="105000"/>
                </a:schemeClr>
              </a:solidFill>
              <a:prstDash val="solid"/>
              <a:round/>
            </a:ln>
            <a:effectLst/>
          </c:spPr>
          <c:invertIfNegative val="0"/>
          <c:cat>
            <c:numRef>
              <c:f>Makro!$D$181:$M$181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Makro!$D$186:$M$186</c:f>
              <c:numCache>
                <c:formatCode>0.0</c:formatCode>
                <c:ptCount val="10"/>
                <c:pt idx="0">
                  <c:v>2.7467508357270622</c:v>
                </c:pt>
                <c:pt idx="1">
                  <c:v>-1.4394847419604129</c:v>
                </c:pt>
                <c:pt idx="2">
                  <c:v>0.11885698009492325</c:v>
                </c:pt>
                <c:pt idx="3">
                  <c:v>0.32479386805688781</c:v>
                </c:pt>
                <c:pt idx="4">
                  <c:v>0.2718314584904491</c:v>
                </c:pt>
                <c:pt idx="5">
                  <c:v>0.24995728075387186</c:v>
                </c:pt>
                <c:pt idx="6">
                  <c:v>-0.34547912547970505</c:v>
                </c:pt>
                <c:pt idx="7">
                  <c:v>-2.3592423181927882</c:v>
                </c:pt>
                <c:pt idx="8">
                  <c:v>0.43453231576415058</c:v>
                </c:pt>
                <c:pt idx="9">
                  <c:v>0.8092976484309955</c:v>
                </c:pt>
              </c:numCache>
            </c:numRef>
          </c:val>
        </c:ser>
        <c:dLbls>
          <c:showLegendKey val="0"/>
          <c:showVal val="0"/>
          <c:showCatName val="0"/>
          <c:showSerName val="0"/>
          <c:showPercent val="0"/>
          <c:showBubbleSize val="0"/>
        </c:dLbls>
        <c:gapWidth val="91"/>
        <c:overlap val="76"/>
        <c:axId val="205508536"/>
        <c:axId val="205509320"/>
      </c:barChart>
      <c:lineChart>
        <c:grouping val="standard"/>
        <c:varyColors val="0"/>
        <c:ser>
          <c:idx val="4"/>
          <c:order val="4"/>
          <c:tx>
            <c:strRef>
              <c:f>Makro!$C$182</c:f>
              <c:strCache>
                <c:ptCount val="1"/>
                <c:pt idx="0">
                  <c:v>Раст БДВ делатности</c:v>
                </c:pt>
              </c:strCache>
            </c:strRef>
          </c:tx>
          <c:spPr>
            <a:ln w="25400" cap="rnd" cmpd="sng" algn="ctr">
              <a:solidFill>
                <a:schemeClr val="tx1"/>
              </a:solidFill>
              <a:prstDash val="solid"/>
              <a:round/>
            </a:ln>
            <a:effectLst/>
          </c:spPr>
          <c:marker>
            <c:spPr>
              <a:noFill/>
              <a:ln w="9525" cap="flat" cmpd="sng" algn="ctr">
                <a:solidFill>
                  <a:schemeClr val="accent3">
                    <a:tint val="54000"/>
                    <a:shade val="95000"/>
                    <a:satMod val="105000"/>
                  </a:schemeClr>
                </a:solidFill>
                <a:prstDash val="solid"/>
                <a:round/>
              </a:ln>
              <a:effectLst/>
            </c:spPr>
          </c:marker>
          <c:dLbls>
            <c:dLbl>
              <c:idx val="1"/>
              <c:layout>
                <c:manualLayout>
                  <c:x val="1.5042735042735043E-2"/>
                  <c:y val="4.9513704686105506E-4"/>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0082449941107186E-2"/>
                  <c:y val="2.52519893899203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4134275618374558E-2"/>
                  <c:y val="6.666666666666666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1861012956419144E-2"/>
                  <c:y val="8.7222222222222215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50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shade val="95000"/>
                          <a:satMod val="105000"/>
                        </a:schemeClr>
                      </a:solidFill>
                      <a:prstDash val="solid"/>
                      <a:round/>
                    </a:ln>
                    <a:effectLst/>
                  </c:spPr>
                </c15:leaderLines>
              </c:ext>
            </c:extLst>
          </c:dLbls>
          <c:val>
            <c:numRef>
              <c:f>Makro!$D$182:$M$182</c:f>
              <c:numCache>
                <c:formatCode>0.0</c:formatCode>
                <c:ptCount val="10"/>
                <c:pt idx="0">
                  <c:v>4.8496699473904226</c:v>
                </c:pt>
                <c:pt idx="1">
                  <c:v>-3.4382315827894527</c:v>
                </c:pt>
                <c:pt idx="2">
                  <c:v>0.77390297922470541</c:v>
                </c:pt>
                <c:pt idx="3">
                  <c:v>1.4663347216114397</c:v>
                </c:pt>
                <c:pt idx="4">
                  <c:v>-0.79425488125118848</c:v>
                </c:pt>
                <c:pt idx="5">
                  <c:v>3.2762464897111654</c:v>
                </c:pt>
                <c:pt idx="6">
                  <c:v>-2.005271581372059</c:v>
                </c:pt>
                <c:pt idx="7">
                  <c:v>-0.50107660025928702</c:v>
                </c:pt>
                <c:pt idx="8">
                  <c:v>1.4696814082196363</c:v>
                </c:pt>
                <c:pt idx="9">
                  <c:v>2.0247372436622557</c:v>
                </c:pt>
              </c:numCache>
            </c:numRef>
          </c:val>
          <c:smooth val="1"/>
        </c:ser>
        <c:dLbls>
          <c:showLegendKey val="0"/>
          <c:showVal val="0"/>
          <c:showCatName val="0"/>
          <c:showSerName val="0"/>
          <c:showPercent val="0"/>
          <c:showBubbleSize val="0"/>
        </c:dLbls>
        <c:marker val="1"/>
        <c:smooth val="0"/>
        <c:axId val="205508536"/>
        <c:axId val="205509320"/>
      </c:lineChart>
      <c:catAx>
        <c:axId val="205508536"/>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low"/>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205509320"/>
        <c:crosses val="autoZero"/>
        <c:auto val="1"/>
        <c:lblAlgn val="ctr"/>
        <c:lblOffset val="100"/>
        <c:noMultiLvlLbl val="0"/>
      </c:catAx>
      <c:valAx>
        <c:axId val="205509320"/>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205508536"/>
        <c:crosses val="autoZero"/>
        <c:crossBetween val="between"/>
        <c:majorUnit val="2"/>
      </c:valAx>
      <c:spPr>
        <a:solidFill>
          <a:schemeClr val="accent3">
            <a:tint val="20000"/>
          </a:schemeClr>
        </a:solidFill>
        <a:ln>
          <a:noFill/>
        </a:ln>
        <a:effectLst/>
      </c:spPr>
    </c:plotArea>
    <c:legend>
      <c:legendPos val="b"/>
      <c:layout>
        <c:manualLayout>
          <c:xMode val="edge"/>
          <c:yMode val="edge"/>
          <c:x val="1.7222222222222161E-3"/>
          <c:y val="0.84540500145815889"/>
          <c:w val="0.97433333333333361"/>
          <c:h val="0.12681722076407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a:solidFill>
            <a:schemeClr val="bg1">
              <a:lumMod val="50000"/>
            </a:schemeClr>
          </a:solidFill>
          <a:latin typeface="+mj-lt"/>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4748455428067"/>
          <c:y val="2.8934444444444447E-2"/>
          <c:w val="0.80282375540960593"/>
          <c:h val="0.74221862745098088"/>
        </c:manualLayout>
      </c:layout>
      <c:areaChart>
        <c:grouping val="stacked"/>
        <c:varyColors val="0"/>
        <c:ser>
          <c:idx val="0"/>
          <c:order val="0"/>
          <c:tx>
            <c:strRef>
              <c:f>Eurobond!$G$3</c:f>
              <c:strCache>
                <c:ptCount val="1"/>
                <c:pt idx="0">
                  <c:v>Цена на затварању</c:v>
                </c:pt>
              </c:strCache>
            </c:strRef>
          </c:tx>
          <c:spPr>
            <a:solidFill>
              <a:srgbClr val="9BBB59">
                <a:lumMod val="75000"/>
              </a:srgbClr>
            </a:solidFill>
            <a:ln>
              <a:noFill/>
            </a:ln>
            <a:effectLst/>
          </c:spPr>
          <c:cat>
            <c:numRef>
              <c:f>Eurobond!$B$6:$B$809</c:f>
              <c:numCache>
                <c:formatCode>d/m/yyyy</c:formatCode>
                <c:ptCount val="804"/>
                <c:pt idx="0">
                  <c:v>41943</c:v>
                </c:pt>
                <c:pt idx="1">
                  <c:v>41942</c:v>
                </c:pt>
                <c:pt idx="2">
                  <c:v>41941</c:v>
                </c:pt>
                <c:pt idx="3">
                  <c:v>41940</c:v>
                </c:pt>
                <c:pt idx="4">
                  <c:v>41939</c:v>
                </c:pt>
                <c:pt idx="5">
                  <c:v>41936</c:v>
                </c:pt>
                <c:pt idx="6">
                  <c:v>41935</c:v>
                </c:pt>
                <c:pt idx="7">
                  <c:v>41934</c:v>
                </c:pt>
                <c:pt idx="8">
                  <c:v>41933</c:v>
                </c:pt>
                <c:pt idx="9">
                  <c:v>41932</c:v>
                </c:pt>
                <c:pt idx="10">
                  <c:v>41929</c:v>
                </c:pt>
                <c:pt idx="11">
                  <c:v>41928</c:v>
                </c:pt>
                <c:pt idx="12">
                  <c:v>41927</c:v>
                </c:pt>
                <c:pt idx="13">
                  <c:v>41926</c:v>
                </c:pt>
                <c:pt idx="14">
                  <c:v>41925</c:v>
                </c:pt>
                <c:pt idx="15">
                  <c:v>41922</c:v>
                </c:pt>
                <c:pt idx="16">
                  <c:v>41921</c:v>
                </c:pt>
                <c:pt idx="17">
                  <c:v>41920</c:v>
                </c:pt>
                <c:pt idx="18">
                  <c:v>41919</c:v>
                </c:pt>
                <c:pt idx="19">
                  <c:v>41918</c:v>
                </c:pt>
                <c:pt idx="20">
                  <c:v>41915</c:v>
                </c:pt>
                <c:pt idx="21">
                  <c:v>41914</c:v>
                </c:pt>
                <c:pt idx="22">
                  <c:v>41913</c:v>
                </c:pt>
                <c:pt idx="23">
                  <c:v>41912</c:v>
                </c:pt>
                <c:pt idx="24">
                  <c:v>41911</c:v>
                </c:pt>
                <c:pt idx="25">
                  <c:v>41908</c:v>
                </c:pt>
                <c:pt idx="26">
                  <c:v>41907</c:v>
                </c:pt>
                <c:pt idx="27">
                  <c:v>41906</c:v>
                </c:pt>
                <c:pt idx="28">
                  <c:v>41905</c:v>
                </c:pt>
                <c:pt idx="29">
                  <c:v>41904</c:v>
                </c:pt>
                <c:pt idx="30">
                  <c:v>41901</c:v>
                </c:pt>
                <c:pt idx="31">
                  <c:v>41900</c:v>
                </c:pt>
                <c:pt idx="32">
                  <c:v>41899</c:v>
                </c:pt>
                <c:pt idx="33">
                  <c:v>41898</c:v>
                </c:pt>
                <c:pt idx="34">
                  <c:v>41897</c:v>
                </c:pt>
                <c:pt idx="35">
                  <c:v>41894</c:v>
                </c:pt>
                <c:pt idx="36">
                  <c:v>41893</c:v>
                </c:pt>
                <c:pt idx="37">
                  <c:v>41892</c:v>
                </c:pt>
                <c:pt idx="38">
                  <c:v>41891</c:v>
                </c:pt>
                <c:pt idx="39">
                  <c:v>41890</c:v>
                </c:pt>
                <c:pt idx="40">
                  <c:v>41887</c:v>
                </c:pt>
                <c:pt idx="41">
                  <c:v>41886</c:v>
                </c:pt>
                <c:pt idx="42">
                  <c:v>41885</c:v>
                </c:pt>
                <c:pt idx="43">
                  <c:v>41884</c:v>
                </c:pt>
                <c:pt idx="44">
                  <c:v>41883</c:v>
                </c:pt>
                <c:pt idx="45">
                  <c:v>41880</c:v>
                </c:pt>
                <c:pt idx="46">
                  <c:v>41879</c:v>
                </c:pt>
                <c:pt idx="47">
                  <c:v>41878</c:v>
                </c:pt>
                <c:pt idx="48">
                  <c:v>41877</c:v>
                </c:pt>
                <c:pt idx="49">
                  <c:v>41876</c:v>
                </c:pt>
                <c:pt idx="50">
                  <c:v>41873</c:v>
                </c:pt>
                <c:pt idx="51">
                  <c:v>41872</c:v>
                </c:pt>
                <c:pt idx="52">
                  <c:v>41871</c:v>
                </c:pt>
                <c:pt idx="53">
                  <c:v>41870</c:v>
                </c:pt>
                <c:pt idx="54">
                  <c:v>41869</c:v>
                </c:pt>
                <c:pt idx="55">
                  <c:v>41866</c:v>
                </c:pt>
                <c:pt idx="56">
                  <c:v>41865</c:v>
                </c:pt>
                <c:pt idx="57">
                  <c:v>41864</c:v>
                </c:pt>
                <c:pt idx="58">
                  <c:v>41863</c:v>
                </c:pt>
                <c:pt idx="59">
                  <c:v>41862</c:v>
                </c:pt>
                <c:pt idx="60">
                  <c:v>41859</c:v>
                </c:pt>
                <c:pt idx="61">
                  <c:v>41858</c:v>
                </c:pt>
                <c:pt idx="62">
                  <c:v>41857</c:v>
                </c:pt>
                <c:pt idx="63">
                  <c:v>41856</c:v>
                </c:pt>
                <c:pt idx="64">
                  <c:v>41855</c:v>
                </c:pt>
                <c:pt idx="65">
                  <c:v>41852</c:v>
                </c:pt>
                <c:pt idx="66">
                  <c:v>41851</c:v>
                </c:pt>
                <c:pt idx="67">
                  <c:v>41850</c:v>
                </c:pt>
                <c:pt idx="68">
                  <c:v>41849</c:v>
                </c:pt>
                <c:pt idx="69">
                  <c:v>41848</c:v>
                </c:pt>
                <c:pt idx="70">
                  <c:v>41845</c:v>
                </c:pt>
                <c:pt idx="71">
                  <c:v>41844</c:v>
                </c:pt>
                <c:pt idx="72">
                  <c:v>41843</c:v>
                </c:pt>
                <c:pt idx="73">
                  <c:v>41842</c:v>
                </c:pt>
                <c:pt idx="74">
                  <c:v>41841</c:v>
                </c:pt>
                <c:pt idx="75">
                  <c:v>41838</c:v>
                </c:pt>
                <c:pt idx="76">
                  <c:v>41837</c:v>
                </c:pt>
                <c:pt idx="77">
                  <c:v>41836</c:v>
                </c:pt>
                <c:pt idx="78">
                  <c:v>41835</c:v>
                </c:pt>
                <c:pt idx="79">
                  <c:v>41834</c:v>
                </c:pt>
                <c:pt idx="80">
                  <c:v>41831</c:v>
                </c:pt>
                <c:pt idx="81">
                  <c:v>41830</c:v>
                </c:pt>
                <c:pt idx="82">
                  <c:v>41829</c:v>
                </c:pt>
                <c:pt idx="83">
                  <c:v>41828</c:v>
                </c:pt>
                <c:pt idx="84">
                  <c:v>41827</c:v>
                </c:pt>
                <c:pt idx="85">
                  <c:v>41824</c:v>
                </c:pt>
                <c:pt idx="86">
                  <c:v>41823</c:v>
                </c:pt>
                <c:pt idx="87">
                  <c:v>41822</c:v>
                </c:pt>
                <c:pt idx="88">
                  <c:v>41821</c:v>
                </c:pt>
                <c:pt idx="89">
                  <c:v>41820</c:v>
                </c:pt>
                <c:pt idx="90">
                  <c:v>41817</c:v>
                </c:pt>
                <c:pt idx="91">
                  <c:v>41816</c:v>
                </c:pt>
                <c:pt idx="92">
                  <c:v>41815</c:v>
                </c:pt>
                <c:pt idx="93">
                  <c:v>41814</c:v>
                </c:pt>
                <c:pt idx="94">
                  <c:v>41813</c:v>
                </c:pt>
                <c:pt idx="95">
                  <c:v>41810</c:v>
                </c:pt>
                <c:pt idx="96">
                  <c:v>41809</c:v>
                </c:pt>
                <c:pt idx="97">
                  <c:v>41808</c:v>
                </c:pt>
                <c:pt idx="98">
                  <c:v>41807</c:v>
                </c:pt>
                <c:pt idx="99">
                  <c:v>41806</c:v>
                </c:pt>
                <c:pt idx="100">
                  <c:v>41803</c:v>
                </c:pt>
                <c:pt idx="101">
                  <c:v>41802</c:v>
                </c:pt>
                <c:pt idx="102">
                  <c:v>41801</c:v>
                </c:pt>
                <c:pt idx="103">
                  <c:v>41800</c:v>
                </c:pt>
                <c:pt idx="104">
                  <c:v>41799</c:v>
                </c:pt>
                <c:pt idx="105">
                  <c:v>41796</c:v>
                </c:pt>
                <c:pt idx="106">
                  <c:v>41795</c:v>
                </c:pt>
                <c:pt idx="107">
                  <c:v>41794</c:v>
                </c:pt>
                <c:pt idx="108">
                  <c:v>41793</c:v>
                </c:pt>
                <c:pt idx="109">
                  <c:v>41792</c:v>
                </c:pt>
                <c:pt idx="110">
                  <c:v>41789</c:v>
                </c:pt>
                <c:pt idx="111">
                  <c:v>41788</c:v>
                </c:pt>
                <c:pt idx="112">
                  <c:v>41787</c:v>
                </c:pt>
                <c:pt idx="113">
                  <c:v>41786</c:v>
                </c:pt>
                <c:pt idx="114">
                  <c:v>41785</c:v>
                </c:pt>
                <c:pt idx="115">
                  <c:v>41782</c:v>
                </c:pt>
                <c:pt idx="116">
                  <c:v>41781</c:v>
                </c:pt>
                <c:pt idx="117">
                  <c:v>41780</c:v>
                </c:pt>
                <c:pt idx="118">
                  <c:v>41779</c:v>
                </c:pt>
                <c:pt idx="119">
                  <c:v>41778</c:v>
                </c:pt>
                <c:pt idx="120">
                  <c:v>41775</c:v>
                </c:pt>
                <c:pt idx="121">
                  <c:v>41774</c:v>
                </c:pt>
                <c:pt idx="122">
                  <c:v>41773</c:v>
                </c:pt>
                <c:pt idx="123">
                  <c:v>41772</c:v>
                </c:pt>
                <c:pt idx="124">
                  <c:v>41771</c:v>
                </c:pt>
                <c:pt idx="125">
                  <c:v>41768</c:v>
                </c:pt>
                <c:pt idx="126">
                  <c:v>41767</c:v>
                </c:pt>
                <c:pt idx="127">
                  <c:v>41766</c:v>
                </c:pt>
                <c:pt idx="128">
                  <c:v>41765</c:v>
                </c:pt>
                <c:pt idx="129">
                  <c:v>41764</c:v>
                </c:pt>
                <c:pt idx="130">
                  <c:v>41761</c:v>
                </c:pt>
                <c:pt idx="131">
                  <c:v>41760</c:v>
                </c:pt>
                <c:pt idx="132">
                  <c:v>41759</c:v>
                </c:pt>
                <c:pt idx="133">
                  <c:v>41758</c:v>
                </c:pt>
                <c:pt idx="134">
                  <c:v>41757</c:v>
                </c:pt>
                <c:pt idx="135">
                  <c:v>41754</c:v>
                </c:pt>
                <c:pt idx="136">
                  <c:v>41753</c:v>
                </c:pt>
                <c:pt idx="137">
                  <c:v>41752</c:v>
                </c:pt>
                <c:pt idx="138">
                  <c:v>41751</c:v>
                </c:pt>
                <c:pt idx="139">
                  <c:v>41750</c:v>
                </c:pt>
                <c:pt idx="140">
                  <c:v>41747</c:v>
                </c:pt>
                <c:pt idx="141">
                  <c:v>41746</c:v>
                </c:pt>
                <c:pt idx="142">
                  <c:v>41745</c:v>
                </c:pt>
                <c:pt idx="143">
                  <c:v>41744</c:v>
                </c:pt>
                <c:pt idx="144">
                  <c:v>41743</c:v>
                </c:pt>
                <c:pt idx="145">
                  <c:v>41740</c:v>
                </c:pt>
                <c:pt idx="146">
                  <c:v>41739</c:v>
                </c:pt>
                <c:pt idx="147">
                  <c:v>41738</c:v>
                </c:pt>
                <c:pt idx="148">
                  <c:v>41737</c:v>
                </c:pt>
                <c:pt idx="149">
                  <c:v>41736</c:v>
                </c:pt>
                <c:pt idx="150">
                  <c:v>41733</c:v>
                </c:pt>
                <c:pt idx="151">
                  <c:v>41732</c:v>
                </c:pt>
                <c:pt idx="152">
                  <c:v>41731</c:v>
                </c:pt>
                <c:pt idx="153">
                  <c:v>41730</c:v>
                </c:pt>
                <c:pt idx="154">
                  <c:v>41729</c:v>
                </c:pt>
                <c:pt idx="155">
                  <c:v>41726</c:v>
                </c:pt>
                <c:pt idx="156">
                  <c:v>41725</c:v>
                </c:pt>
                <c:pt idx="157">
                  <c:v>41724</c:v>
                </c:pt>
                <c:pt idx="158">
                  <c:v>41723</c:v>
                </c:pt>
                <c:pt idx="159">
                  <c:v>41722</c:v>
                </c:pt>
                <c:pt idx="160">
                  <c:v>41719</c:v>
                </c:pt>
                <c:pt idx="161">
                  <c:v>41718</c:v>
                </c:pt>
                <c:pt idx="162">
                  <c:v>41717</c:v>
                </c:pt>
                <c:pt idx="163">
                  <c:v>41716</c:v>
                </c:pt>
                <c:pt idx="164">
                  <c:v>41715</c:v>
                </c:pt>
                <c:pt idx="165">
                  <c:v>41712</c:v>
                </c:pt>
                <c:pt idx="166">
                  <c:v>41711</c:v>
                </c:pt>
                <c:pt idx="167">
                  <c:v>41710</c:v>
                </c:pt>
                <c:pt idx="168">
                  <c:v>41709</c:v>
                </c:pt>
                <c:pt idx="169">
                  <c:v>41708</c:v>
                </c:pt>
                <c:pt idx="170">
                  <c:v>41705</c:v>
                </c:pt>
                <c:pt idx="171">
                  <c:v>41704</c:v>
                </c:pt>
                <c:pt idx="172">
                  <c:v>41703</c:v>
                </c:pt>
                <c:pt idx="173">
                  <c:v>41702</c:v>
                </c:pt>
                <c:pt idx="174">
                  <c:v>41701</c:v>
                </c:pt>
                <c:pt idx="175">
                  <c:v>41698</c:v>
                </c:pt>
                <c:pt idx="176">
                  <c:v>41697</c:v>
                </c:pt>
                <c:pt idx="177">
                  <c:v>41696</c:v>
                </c:pt>
                <c:pt idx="178">
                  <c:v>41695</c:v>
                </c:pt>
                <c:pt idx="179">
                  <c:v>41694</c:v>
                </c:pt>
                <c:pt idx="180">
                  <c:v>41691</c:v>
                </c:pt>
                <c:pt idx="181">
                  <c:v>41690</c:v>
                </c:pt>
                <c:pt idx="182">
                  <c:v>41689</c:v>
                </c:pt>
                <c:pt idx="183">
                  <c:v>41688</c:v>
                </c:pt>
                <c:pt idx="184">
                  <c:v>41687</c:v>
                </c:pt>
                <c:pt idx="185">
                  <c:v>41684</c:v>
                </c:pt>
                <c:pt idx="186">
                  <c:v>41683</c:v>
                </c:pt>
                <c:pt idx="187">
                  <c:v>41682</c:v>
                </c:pt>
                <c:pt idx="188">
                  <c:v>41681</c:v>
                </c:pt>
                <c:pt idx="189">
                  <c:v>41680</c:v>
                </c:pt>
                <c:pt idx="190">
                  <c:v>41677</c:v>
                </c:pt>
                <c:pt idx="191">
                  <c:v>41676</c:v>
                </c:pt>
                <c:pt idx="192">
                  <c:v>41675</c:v>
                </c:pt>
                <c:pt idx="193">
                  <c:v>41674</c:v>
                </c:pt>
                <c:pt idx="194">
                  <c:v>41673</c:v>
                </c:pt>
                <c:pt idx="195">
                  <c:v>41670</c:v>
                </c:pt>
                <c:pt idx="196">
                  <c:v>41669</c:v>
                </c:pt>
                <c:pt idx="197">
                  <c:v>41668</c:v>
                </c:pt>
                <c:pt idx="198">
                  <c:v>41667</c:v>
                </c:pt>
                <c:pt idx="199">
                  <c:v>41666</c:v>
                </c:pt>
                <c:pt idx="200">
                  <c:v>41663</c:v>
                </c:pt>
                <c:pt idx="201">
                  <c:v>41662</c:v>
                </c:pt>
                <c:pt idx="202">
                  <c:v>41661</c:v>
                </c:pt>
                <c:pt idx="203">
                  <c:v>41660</c:v>
                </c:pt>
                <c:pt idx="204">
                  <c:v>41659</c:v>
                </c:pt>
                <c:pt idx="205">
                  <c:v>41656</c:v>
                </c:pt>
                <c:pt idx="206">
                  <c:v>41655</c:v>
                </c:pt>
                <c:pt idx="207">
                  <c:v>41654</c:v>
                </c:pt>
                <c:pt idx="208">
                  <c:v>41653</c:v>
                </c:pt>
                <c:pt idx="209">
                  <c:v>41652</c:v>
                </c:pt>
                <c:pt idx="210">
                  <c:v>41649</c:v>
                </c:pt>
                <c:pt idx="211">
                  <c:v>41648</c:v>
                </c:pt>
                <c:pt idx="212">
                  <c:v>41647</c:v>
                </c:pt>
                <c:pt idx="213">
                  <c:v>41646</c:v>
                </c:pt>
                <c:pt idx="214">
                  <c:v>41645</c:v>
                </c:pt>
                <c:pt idx="215">
                  <c:v>41642</c:v>
                </c:pt>
                <c:pt idx="216">
                  <c:v>41641</c:v>
                </c:pt>
                <c:pt idx="217">
                  <c:v>41640</c:v>
                </c:pt>
                <c:pt idx="218">
                  <c:v>41639</c:v>
                </c:pt>
                <c:pt idx="219">
                  <c:v>41638</c:v>
                </c:pt>
                <c:pt idx="220">
                  <c:v>41635</c:v>
                </c:pt>
                <c:pt idx="221">
                  <c:v>41634</c:v>
                </c:pt>
                <c:pt idx="222">
                  <c:v>41633</c:v>
                </c:pt>
                <c:pt idx="223">
                  <c:v>41632</c:v>
                </c:pt>
                <c:pt idx="224">
                  <c:v>41631</c:v>
                </c:pt>
                <c:pt idx="225">
                  <c:v>41628</c:v>
                </c:pt>
                <c:pt idx="226">
                  <c:v>41627</c:v>
                </c:pt>
                <c:pt idx="227">
                  <c:v>41626</c:v>
                </c:pt>
                <c:pt idx="228">
                  <c:v>41625</c:v>
                </c:pt>
                <c:pt idx="229">
                  <c:v>41624</c:v>
                </c:pt>
                <c:pt idx="230">
                  <c:v>41621</c:v>
                </c:pt>
                <c:pt idx="231">
                  <c:v>41620</c:v>
                </c:pt>
                <c:pt idx="232">
                  <c:v>41619</c:v>
                </c:pt>
                <c:pt idx="233">
                  <c:v>41618</c:v>
                </c:pt>
                <c:pt idx="234">
                  <c:v>41617</c:v>
                </c:pt>
                <c:pt idx="235">
                  <c:v>41614</c:v>
                </c:pt>
                <c:pt idx="236">
                  <c:v>41613</c:v>
                </c:pt>
                <c:pt idx="237">
                  <c:v>41612</c:v>
                </c:pt>
                <c:pt idx="238">
                  <c:v>41611</c:v>
                </c:pt>
                <c:pt idx="239">
                  <c:v>41610</c:v>
                </c:pt>
                <c:pt idx="240">
                  <c:v>41607</c:v>
                </c:pt>
                <c:pt idx="241">
                  <c:v>41606</c:v>
                </c:pt>
                <c:pt idx="242">
                  <c:v>41605</c:v>
                </c:pt>
                <c:pt idx="243">
                  <c:v>41604</c:v>
                </c:pt>
                <c:pt idx="244">
                  <c:v>41603</c:v>
                </c:pt>
                <c:pt idx="245">
                  <c:v>41600</c:v>
                </c:pt>
                <c:pt idx="246">
                  <c:v>41599</c:v>
                </c:pt>
                <c:pt idx="247">
                  <c:v>41598</c:v>
                </c:pt>
                <c:pt idx="248">
                  <c:v>41597</c:v>
                </c:pt>
                <c:pt idx="249">
                  <c:v>41596</c:v>
                </c:pt>
                <c:pt idx="250">
                  <c:v>41593</c:v>
                </c:pt>
                <c:pt idx="251">
                  <c:v>41592</c:v>
                </c:pt>
                <c:pt idx="252">
                  <c:v>41591</c:v>
                </c:pt>
                <c:pt idx="253">
                  <c:v>41590</c:v>
                </c:pt>
                <c:pt idx="254">
                  <c:v>41589</c:v>
                </c:pt>
                <c:pt idx="255">
                  <c:v>41586</c:v>
                </c:pt>
                <c:pt idx="256">
                  <c:v>41585</c:v>
                </c:pt>
                <c:pt idx="257">
                  <c:v>41584</c:v>
                </c:pt>
                <c:pt idx="258">
                  <c:v>41583</c:v>
                </c:pt>
                <c:pt idx="259">
                  <c:v>41582</c:v>
                </c:pt>
                <c:pt idx="260">
                  <c:v>41579</c:v>
                </c:pt>
                <c:pt idx="261">
                  <c:v>41578</c:v>
                </c:pt>
                <c:pt idx="262">
                  <c:v>41577</c:v>
                </c:pt>
                <c:pt idx="263">
                  <c:v>41576</c:v>
                </c:pt>
                <c:pt idx="264">
                  <c:v>41575</c:v>
                </c:pt>
                <c:pt idx="265">
                  <c:v>41572</c:v>
                </c:pt>
                <c:pt idx="266">
                  <c:v>41571</c:v>
                </c:pt>
                <c:pt idx="267">
                  <c:v>41570</c:v>
                </c:pt>
                <c:pt idx="268">
                  <c:v>41569</c:v>
                </c:pt>
                <c:pt idx="269">
                  <c:v>41568</c:v>
                </c:pt>
                <c:pt idx="270">
                  <c:v>41565</c:v>
                </c:pt>
                <c:pt idx="271">
                  <c:v>41564</c:v>
                </c:pt>
                <c:pt idx="272">
                  <c:v>41563</c:v>
                </c:pt>
                <c:pt idx="273">
                  <c:v>41562</c:v>
                </c:pt>
                <c:pt idx="274">
                  <c:v>41561</c:v>
                </c:pt>
                <c:pt idx="275">
                  <c:v>41558</c:v>
                </c:pt>
                <c:pt idx="276">
                  <c:v>41557</c:v>
                </c:pt>
                <c:pt idx="277">
                  <c:v>41556</c:v>
                </c:pt>
                <c:pt idx="278">
                  <c:v>41555</c:v>
                </c:pt>
                <c:pt idx="279">
                  <c:v>41554</c:v>
                </c:pt>
                <c:pt idx="280">
                  <c:v>41551</c:v>
                </c:pt>
                <c:pt idx="281">
                  <c:v>41550</c:v>
                </c:pt>
                <c:pt idx="282">
                  <c:v>41549</c:v>
                </c:pt>
                <c:pt idx="283">
                  <c:v>41548</c:v>
                </c:pt>
                <c:pt idx="284">
                  <c:v>41547</c:v>
                </c:pt>
                <c:pt idx="285">
                  <c:v>41544</c:v>
                </c:pt>
                <c:pt idx="286">
                  <c:v>41543</c:v>
                </c:pt>
                <c:pt idx="287">
                  <c:v>41542</c:v>
                </c:pt>
                <c:pt idx="288">
                  <c:v>41541</c:v>
                </c:pt>
                <c:pt idx="289">
                  <c:v>41540</c:v>
                </c:pt>
                <c:pt idx="290">
                  <c:v>41537</c:v>
                </c:pt>
                <c:pt idx="291">
                  <c:v>41536</c:v>
                </c:pt>
                <c:pt idx="292">
                  <c:v>41535</c:v>
                </c:pt>
                <c:pt idx="293">
                  <c:v>41534</c:v>
                </c:pt>
                <c:pt idx="294">
                  <c:v>41533</c:v>
                </c:pt>
                <c:pt idx="295">
                  <c:v>41530</c:v>
                </c:pt>
                <c:pt idx="296">
                  <c:v>41529</c:v>
                </c:pt>
                <c:pt idx="297">
                  <c:v>41528</c:v>
                </c:pt>
                <c:pt idx="298">
                  <c:v>41527</c:v>
                </c:pt>
                <c:pt idx="299">
                  <c:v>41526</c:v>
                </c:pt>
                <c:pt idx="300">
                  <c:v>41523</c:v>
                </c:pt>
                <c:pt idx="301">
                  <c:v>41522</c:v>
                </c:pt>
                <c:pt idx="302">
                  <c:v>41521</c:v>
                </c:pt>
                <c:pt idx="303">
                  <c:v>41520</c:v>
                </c:pt>
                <c:pt idx="304">
                  <c:v>41519</c:v>
                </c:pt>
                <c:pt idx="305">
                  <c:v>41516</c:v>
                </c:pt>
                <c:pt idx="306">
                  <c:v>41515</c:v>
                </c:pt>
                <c:pt idx="307">
                  <c:v>41514</c:v>
                </c:pt>
                <c:pt idx="308">
                  <c:v>41513</c:v>
                </c:pt>
                <c:pt idx="309">
                  <c:v>41512</c:v>
                </c:pt>
                <c:pt idx="310">
                  <c:v>41509</c:v>
                </c:pt>
                <c:pt idx="311">
                  <c:v>41508</c:v>
                </c:pt>
                <c:pt idx="312">
                  <c:v>41507</c:v>
                </c:pt>
                <c:pt idx="313">
                  <c:v>41506</c:v>
                </c:pt>
                <c:pt idx="314">
                  <c:v>41505</c:v>
                </c:pt>
                <c:pt idx="315">
                  <c:v>41502</c:v>
                </c:pt>
                <c:pt idx="316">
                  <c:v>41501</c:v>
                </c:pt>
                <c:pt idx="317">
                  <c:v>41500</c:v>
                </c:pt>
                <c:pt idx="318">
                  <c:v>41499</c:v>
                </c:pt>
                <c:pt idx="319">
                  <c:v>41498</c:v>
                </c:pt>
                <c:pt idx="320">
                  <c:v>41495</c:v>
                </c:pt>
                <c:pt idx="321">
                  <c:v>41494</c:v>
                </c:pt>
                <c:pt idx="322">
                  <c:v>41493</c:v>
                </c:pt>
                <c:pt idx="323">
                  <c:v>41492</c:v>
                </c:pt>
                <c:pt idx="324">
                  <c:v>41491</c:v>
                </c:pt>
                <c:pt idx="325">
                  <c:v>41488</c:v>
                </c:pt>
                <c:pt idx="326">
                  <c:v>41487</c:v>
                </c:pt>
                <c:pt idx="327">
                  <c:v>41486</c:v>
                </c:pt>
                <c:pt idx="328">
                  <c:v>41485</c:v>
                </c:pt>
                <c:pt idx="329">
                  <c:v>41484</c:v>
                </c:pt>
                <c:pt idx="330">
                  <c:v>41481</c:v>
                </c:pt>
                <c:pt idx="331">
                  <c:v>41480</c:v>
                </c:pt>
                <c:pt idx="332">
                  <c:v>41479</c:v>
                </c:pt>
                <c:pt idx="333">
                  <c:v>41478</c:v>
                </c:pt>
                <c:pt idx="334">
                  <c:v>41477</c:v>
                </c:pt>
                <c:pt idx="335">
                  <c:v>41474</c:v>
                </c:pt>
                <c:pt idx="336">
                  <c:v>41473</c:v>
                </c:pt>
                <c:pt idx="337">
                  <c:v>41472</c:v>
                </c:pt>
                <c:pt idx="338">
                  <c:v>41471</c:v>
                </c:pt>
                <c:pt idx="339">
                  <c:v>41470</c:v>
                </c:pt>
                <c:pt idx="340">
                  <c:v>41467</c:v>
                </c:pt>
                <c:pt idx="341">
                  <c:v>41466</c:v>
                </c:pt>
                <c:pt idx="342">
                  <c:v>41465</c:v>
                </c:pt>
                <c:pt idx="343">
                  <c:v>41464</c:v>
                </c:pt>
                <c:pt idx="344">
                  <c:v>41463</c:v>
                </c:pt>
                <c:pt idx="345">
                  <c:v>41460</c:v>
                </c:pt>
                <c:pt idx="346">
                  <c:v>41459</c:v>
                </c:pt>
                <c:pt idx="347">
                  <c:v>41458</c:v>
                </c:pt>
                <c:pt idx="348">
                  <c:v>41457</c:v>
                </c:pt>
                <c:pt idx="349">
                  <c:v>41456</c:v>
                </c:pt>
                <c:pt idx="350">
                  <c:v>41453</c:v>
                </c:pt>
                <c:pt idx="351">
                  <c:v>41452</c:v>
                </c:pt>
                <c:pt idx="352">
                  <c:v>41451</c:v>
                </c:pt>
                <c:pt idx="353">
                  <c:v>41450</c:v>
                </c:pt>
                <c:pt idx="354">
                  <c:v>41449</c:v>
                </c:pt>
                <c:pt idx="355">
                  <c:v>41446</c:v>
                </c:pt>
                <c:pt idx="356">
                  <c:v>41445</c:v>
                </c:pt>
                <c:pt idx="357">
                  <c:v>41444</c:v>
                </c:pt>
                <c:pt idx="358">
                  <c:v>41443</c:v>
                </c:pt>
                <c:pt idx="359">
                  <c:v>41442</c:v>
                </c:pt>
                <c:pt idx="360">
                  <c:v>41439</c:v>
                </c:pt>
                <c:pt idx="361">
                  <c:v>41438</c:v>
                </c:pt>
                <c:pt idx="362">
                  <c:v>41437</c:v>
                </c:pt>
                <c:pt idx="363">
                  <c:v>41436</c:v>
                </c:pt>
                <c:pt idx="364">
                  <c:v>41435</c:v>
                </c:pt>
                <c:pt idx="365">
                  <c:v>41432</c:v>
                </c:pt>
                <c:pt idx="366">
                  <c:v>41431</c:v>
                </c:pt>
                <c:pt idx="367">
                  <c:v>41430</c:v>
                </c:pt>
                <c:pt idx="368">
                  <c:v>41429</c:v>
                </c:pt>
                <c:pt idx="369">
                  <c:v>41428</c:v>
                </c:pt>
                <c:pt idx="370">
                  <c:v>41425</c:v>
                </c:pt>
                <c:pt idx="371">
                  <c:v>41424</c:v>
                </c:pt>
                <c:pt idx="372">
                  <c:v>41423</c:v>
                </c:pt>
                <c:pt idx="373">
                  <c:v>41422</c:v>
                </c:pt>
                <c:pt idx="374">
                  <c:v>41421</c:v>
                </c:pt>
                <c:pt idx="375">
                  <c:v>41418</c:v>
                </c:pt>
                <c:pt idx="376">
                  <c:v>41417</c:v>
                </c:pt>
                <c:pt idx="377">
                  <c:v>41416</c:v>
                </c:pt>
                <c:pt idx="378">
                  <c:v>41415</c:v>
                </c:pt>
                <c:pt idx="379">
                  <c:v>41414</c:v>
                </c:pt>
                <c:pt idx="380">
                  <c:v>41411</c:v>
                </c:pt>
                <c:pt idx="381">
                  <c:v>41410</c:v>
                </c:pt>
                <c:pt idx="382">
                  <c:v>41409</c:v>
                </c:pt>
                <c:pt idx="383">
                  <c:v>41408</c:v>
                </c:pt>
                <c:pt idx="384">
                  <c:v>41407</c:v>
                </c:pt>
                <c:pt idx="385">
                  <c:v>41404</c:v>
                </c:pt>
                <c:pt idx="386">
                  <c:v>41403</c:v>
                </c:pt>
                <c:pt idx="387">
                  <c:v>41402</c:v>
                </c:pt>
                <c:pt idx="388">
                  <c:v>41401</c:v>
                </c:pt>
                <c:pt idx="389">
                  <c:v>41400</c:v>
                </c:pt>
                <c:pt idx="390">
                  <c:v>41397</c:v>
                </c:pt>
                <c:pt idx="391">
                  <c:v>41396</c:v>
                </c:pt>
                <c:pt idx="392">
                  <c:v>41395</c:v>
                </c:pt>
                <c:pt idx="393">
                  <c:v>41394</c:v>
                </c:pt>
                <c:pt idx="394">
                  <c:v>41393</c:v>
                </c:pt>
                <c:pt idx="395">
                  <c:v>41390</c:v>
                </c:pt>
                <c:pt idx="396">
                  <c:v>41389</c:v>
                </c:pt>
                <c:pt idx="397">
                  <c:v>41388</c:v>
                </c:pt>
                <c:pt idx="398">
                  <c:v>41387</c:v>
                </c:pt>
                <c:pt idx="399">
                  <c:v>41386</c:v>
                </c:pt>
                <c:pt idx="400">
                  <c:v>41383</c:v>
                </c:pt>
                <c:pt idx="401">
                  <c:v>41382</c:v>
                </c:pt>
                <c:pt idx="402">
                  <c:v>41381</c:v>
                </c:pt>
                <c:pt idx="403">
                  <c:v>41380</c:v>
                </c:pt>
                <c:pt idx="404">
                  <c:v>41379</c:v>
                </c:pt>
                <c:pt idx="405">
                  <c:v>41376</c:v>
                </c:pt>
                <c:pt idx="406">
                  <c:v>41375</c:v>
                </c:pt>
                <c:pt idx="407">
                  <c:v>41374</c:v>
                </c:pt>
                <c:pt idx="408">
                  <c:v>41373</c:v>
                </c:pt>
                <c:pt idx="409">
                  <c:v>41372</c:v>
                </c:pt>
                <c:pt idx="410">
                  <c:v>41369</c:v>
                </c:pt>
                <c:pt idx="411">
                  <c:v>41368</c:v>
                </c:pt>
                <c:pt idx="412">
                  <c:v>41367</c:v>
                </c:pt>
                <c:pt idx="413">
                  <c:v>41366</c:v>
                </c:pt>
                <c:pt idx="414">
                  <c:v>41365</c:v>
                </c:pt>
                <c:pt idx="415">
                  <c:v>41362</c:v>
                </c:pt>
                <c:pt idx="416">
                  <c:v>41361</c:v>
                </c:pt>
                <c:pt idx="417">
                  <c:v>41360</c:v>
                </c:pt>
                <c:pt idx="418">
                  <c:v>41359</c:v>
                </c:pt>
                <c:pt idx="419">
                  <c:v>41358</c:v>
                </c:pt>
                <c:pt idx="420">
                  <c:v>41355</c:v>
                </c:pt>
                <c:pt idx="421">
                  <c:v>41354</c:v>
                </c:pt>
                <c:pt idx="422">
                  <c:v>41353</c:v>
                </c:pt>
                <c:pt idx="423">
                  <c:v>41352</c:v>
                </c:pt>
                <c:pt idx="424">
                  <c:v>41351</c:v>
                </c:pt>
                <c:pt idx="425">
                  <c:v>41348</c:v>
                </c:pt>
                <c:pt idx="426">
                  <c:v>41347</c:v>
                </c:pt>
                <c:pt idx="427">
                  <c:v>41346</c:v>
                </c:pt>
                <c:pt idx="428">
                  <c:v>41345</c:v>
                </c:pt>
                <c:pt idx="429">
                  <c:v>41344</c:v>
                </c:pt>
                <c:pt idx="430">
                  <c:v>41341</c:v>
                </c:pt>
                <c:pt idx="431">
                  <c:v>41340</c:v>
                </c:pt>
                <c:pt idx="432">
                  <c:v>41339</c:v>
                </c:pt>
                <c:pt idx="433">
                  <c:v>41338</c:v>
                </c:pt>
                <c:pt idx="434">
                  <c:v>41337</c:v>
                </c:pt>
                <c:pt idx="435">
                  <c:v>41334</c:v>
                </c:pt>
                <c:pt idx="436">
                  <c:v>41333</c:v>
                </c:pt>
                <c:pt idx="437">
                  <c:v>41332</c:v>
                </c:pt>
                <c:pt idx="438">
                  <c:v>41331</c:v>
                </c:pt>
                <c:pt idx="439">
                  <c:v>41330</c:v>
                </c:pt>
                <c:pt idx="440">
                  <c:v>41327</c:v>
                </c:pt>
                <c:pt idx="441">
                  <c:v>41326</c:v>
                </c:pt>
                <c:pt idx="442">
                  <c:v>41325</c:v>
                </c:pt>
                <c:pt idx="443">
                  <c:v>41324</c:v>
                </c:pt>
                <c:pt idx="444">
                  <c:v>41323</c:v>
                </c:pt>
                <c:pt idx="445">
                  <c:v>41320</c:v>
                </c:pt>
                <c:pt idx="446">
                  <c:v>41319</c:v>
                </c:pt>
                <c:pt idx="447">
                  <c:v>41318</c:v>
                </c:pt>
                <c:pt idx="448">
                  <c:v>41317</c:v>
                </c:pt>
                <c:pt idx="449">
                  <c:v>41316</c:v>
                </c:pt>
                <c:pt idx="450">
                  <c:v>41313</c:v>
                </c:pt>
                <c:pt idx="451">
                  <c:v>41312</c:v>
                </c:pt>
                <c:pt idx="452">
                  <c:v>41311</c:v>
                </c:pt>
                <c:pt idx="453">
                  <c:v>41310</c:v>
                </c:pt>
                <c:pt idx="454">
                  <c:v>41309</c:v>
                </c:pt>
                <c:pt idx="455">
                  <c:v>41306</c:v>
                </c:pt>
                <c:pt idx="456">
                  <c:v>41305</c:v>
                </c:pt>
                <c:pt idx="457">
                  <c:v>41304</c:v>
                </c:pt>
                <c:pt idx="458">
                  <c:v>41303</c:v>
                </c:pt>
                <c:pt idx="459">
                  <c:v>41302</c:v>
                </c:pt>
                <c:pt idx="460">
                  <c:v>41299</c:v>
                </c:pt>
                <c:pt idx="461">
                  <c:v>41298</c:v>
                </c:pt>
                <c:pt idx="462">
                  <c:v>41297</c:v>
                </c:pt>
                <c:pt idx="463">
                  <c:v>41296</c:v>
                </c:pt>
                <c:pt idx="464">
                  <c:v>41295</c:v>
                </c:pt>
                <c:pt idx="465">
                  <c:v>41292</c:v>
                </c:pt>
                <c:pt idx="466">
                  <c:v>41291</c:v>
                </c:pt>
                <c:pt idx="467">
                  <c:v>41290</c:v>
                </c:pt>
                <c:pt idx="468">
                  <c:v>41289</c:v>
                </c:pt>
                <c:pt idx="469">
                  <c:v>41288</c:v>
                </c:pt>
                <c:pt idx="470">
                  <c:v>41285</c:v>
                </c:pt>
                <c:pt idx="471">
                  <c:v>41284</c:v>
                </c:pt>
                <c:pt idx="472">
                  <c:v>41283</c:v>
                </c:pt>
                <c:pt idx="473">
                  <c:v>41282</c:v>
                </c:pt>
                <c:pt idx="474">
                  <c:v>41281</c:v>
                </c:pt>
                <c:pt idx="475">
                  <c:v>41278</c:v>
                </c:pt>
                <c:pt idx="476">
                  <c:v>41277</c:v>
                </c:pt>
                <c:pt idx="477">
                  <c:v>41276</c:v>
                </c:pt>
                <c:pt idx="478">
                  <c:v>41275</c:v>
                </c:pt>
                <c:pt idx="479">
                  <c:v>41274</c:v>
                </c:pt>
                <c:pt idx="480">
                  <c:v>41271</c:v>
                </c:pt>
                <c:pt idx="481">
                  <c:v>41270</c:v>
                </c:pt>
                <c:pt idx="482">
                  <c:v>41269</c:v>
                </c:pt>
                <c:pt idx="483">
                  <c:v>41268</c:v>
                </c:pt>
                <c:pt idx="484">
                  <c:v>41267</c:v>
                </c:pt>
                <c:pt idx="485">
                  <c:v>41264</c:v>
                </c:pt>
                <c:pt idx="486">
                  <c:v>41263</c:v>
                </c:pt>
                <c:pt idx="487">
                  <c:v>41262</c:v>
                </c:pt>
                <c:pt idx="488">
                  <c:v>41261</c:v>
                </c:pt>
                <c:pt idx="489">
                  <c:v>41260</c:v>
                </c:pt>
                <c:pt idx="490">
                  <c:v>41257</c:v>
                </c:pt>
                <c:pt idx="491">
                  <c:v>41256</c:v>
                </c:pt>
                <c:pt idx="492">
                  <c:v>41255</c:v>
                </c:pt>
                <c:pt idx="493">
                  <c:v>41254</c:v>
                </c:pt>
                <c:pt idx="494">
                  <c:v>41253</c:v>
                </c:pt>
                <c:pt idx="495">
                  <c:v>41250</c:v>
                </c:pt>
                <c:pt idx="496">
                  <c:v>41249</c:v>
                </c:pt>
                <c:pt idx="497">
                  <c:v>41248</c:v>
                </c:pt>
                <c:pt idx="498">
                  <c:v>41247</c:v>
                </c:pt>
                <c:pt idx="499">
                  <c:v>41246</c:v>
                </c:pt>
                <c:pt idx="500">
                  <c:v>41243</c:v>
                </c:pt>
                <c:pt idx="501">
                  <c:v>41242</c:v>
                </c:pt>
                <c:pt idx="502">
                  <c:v>41241</c:v>
                </c:pt>
                <c:pt idx="503">
                  <c:v>41240</c:v>
                </c:pt>
                <c:pt idx="504">
                  <c:v>41239</c:v>
                </c:pt>
                <c:pt idx="505">
                  <c:v>41236</c:v>
                </c:pt>
                <c:pt idx="506">
                  <c:v>41235</c:v>
                </c:pt>
                <c:pt idx="507">
                  <c:v>41234</c:v>
                </c:pt>
                <c:pt idx="508">
                  <c:v>41233</c:v>
                </c:pt>
                <c:pt idx="509">
                  <c:v>41232</c:v>
                </c:pt>
                <c:pt idx="510">
                  <c:v>41229</c:v>
                </c:pt>
                <c:pt idx="511">
                  <c:v>41228</c:v>
                </c:pt>
                <c:pt idx="512">
                  <c:v>41227</c:v>
                </c:pt>
                <c:pt idx="513">
                  <c:v>41226</c:v>
                </c:pt>
                <c:pt idx="514">
                  <c:v>41225</c:v>
                </c:pt>
                <c:pt idx="515">
                  <c:v>41222</c:v>
                </c:pt>
                <c:pt idx="516">
                  <c:v>41221</c:v>
                </c:pt>
                <c:pt idx="517">
                  <c:v>41220</c:v>
                </c:pt>
                <c:pt idx="518">
                  <c:v>41219</c:v>
                </c:pt>
                <c:pt idx="519">
                  <c:v>41218</c:v>
                </c:pt>
                <c:pt idx="520">
                  <c:v>41215</c:v>
                </c:pt>
                <c:pt idx="521">
                  <c:v>41214</c:v>
                </c:pt>
                <c:pt idx="522">
                  <c:v>41213</c:v>
                </c:pt>
                <c:pt idx="523">
                  <c:v>41212</c:v>
                </c:pt>
                <c:pt idx="524">
                  <c:v>41211</c:v>
                </c:pt>
                <c:pt idx="525">
                  <c:v>41208</c:v>
                </c:pt>
                <c:pt idx="526">
                  <c:v>41207</c:v>
                </c:pt>
                <c:pt idx="527">
                  <c:v>41206</c:v>
                </c:pt>
                <c:pt idx="528">
                  <c:v>41205</c:v>
                </c:pt>
                <c:pt idx="529">
                  <c:v>41204</c:v>
                </c:pt>
                <c:pt idx="530">
                  <c:v>41201</c:v>
                </c:pt>
                <c:pt idx="531">
                  <c:v>41200</c:v>
                </c:pt>
                <c:pt idx="532">
                  <c:v>41199</c:v>
                </c:pt>
                <c:pt idx="533">
                  <c:v>41198</c:v>
                </c:pt>
                <c:pt idx="534">
                  <c:v>41197</c:v>
                </c:pt>
                <c:pt idx="535">
                  <c:v>41194</c:v>
                </c:pt>
                <c:pt idx="536">
                  <c:v>41193</c:v>
                </c:pt>
                <c:pt idx="537">
                  <c:v>41192</c:v>
                </c:pt>
                <c:pt idx="538">
                  <c:v>41191</c:v>
                </c:pt>
                <c:pt idx="539">
                  <c:v>41190</c:v>
                </c:pt>
                <c:pt idx="540">
                  <c:v>41187</c:v>
                </c:pt>
                <c:pt idx="541">
                  <c:v>41186</c:v>
                </c:pt>
                <c:pt idx="542">
                  <c:v>41185</c:v>
                </c:pt>
                <c:pt idx="543">
                  <c:v>41184</c:v>
                </c:pt>
                <c:pt idx="544">
                  <c:v>41183</c:v>
                </c:pt>
                <c:pt idx="545">
                  <c:v>41180</c:v>
                </c:pt>
                <c:pt idx="546">
                  <c:v>41179</c:v>
                </c:pt>
                <c:pt idx="547">
                  <c:v>41178</c:v>
                </c:pt>
                <c:pt idx="548">
                  <c:v>41177</c:v>
                </c:pt>
                <c:pt idx="549">
                  <c:v>41176</c:v>
                </c:pt>
                <c:pt idx="550">
                  <c:v>41173</c:v>
                </c:pt>
                <c:pt idx="551">
                  <c:v>41172</c:v>
                </c:pt>
                <c:pt idx="552">
                  <c:v>41171</c:v>
                </c:pt>
                <c:pt idx="553">
                  <c:v>41170</c:v>
                </c:pt>
                <c:pt idx="554">
                  <c:v>41169</c:v>
                </c:pt>
                <c:pt idx="555">
                  <c:v>41166</c:v>
                </c:pt>
                <c:pt idx="556">
                  <c:v>41165</c:v>
                </c:pt>
                <c:pt idx="557">
                  <c:v>41164</c:v>
                </c:pt>
                <c:pt idx="558">
                  <c:v>41163</c:v>
                </c:pt>
                <c:pt idx="559">
                  <c:v>41162</c:v>
                </c:pt>
                <c:pt idx="560">
                  <c:v>41159</c:v>
                </c:pt>
                <c:pt idx="561">
                  <c:v>41158</c:v>
                </c:pt>
                <c:pt idx="562">
                  <c:v>41157</c:v>
                </c:pt>
                <c:pt idx="563">
                  <c:v>41156</c:v>
                </c:pt>
                <c:pt idx="564">
                  <c:v>41155</c:v>
                </c:pt>
                <c:pt idx="565">
                  <c:v>41152</c:v>
                </c:pt>
                <c:pt idx="566">
                  <c:v>41151</c:v>
                </c:pt>
                <c:pt idx="567">
                  <c:v>41150</c:v>
                </c:pt>
                <c:pt idx="568">
                  <c:v>41149</c:v>
                </c:pt>
                <c:pt idx="569">
                  <c:v>41148</c:v>
                </c:pt>
                <c:pt idx="570">
                  <c:v>41145</c:v>
                </c:pt>
                <c:pt idx="571">
                  <c:v>41144</c:v>
                </c:pt>
                <c:pt idx="572">
                  <c:v>41143</c:v>
                </c:pt>
                <c:pt idx="573">
                  <c:v>41142</c:v>
                </c:pt>
                <c:pt idx="574">
                  <c:v>41141</c:v>
                </c:pt>
                <c:pt idx="575">
                  <c:v>41138</c:v>
                </c:pt>
                <c:pt idx="576">
                  <c:v>41137</c:v>
                </c:pt>
                <c:pt idx="577">
                  <c:v>41136</c:v>
                </c:pt>
                <c:pt idx="578">
                  <c:v>41135</c:v>
                </c:pt>
                <c:pt idx="579">
                  <c:v>41134</c:v>
                </c:pt>
                <c:pt idx="580">
                  <c:v>41131</c:v>
                </c:pt>
                <c:pt idx="581">
                  <c:v>41130</c:v>
                </c:pt>
                <c:pt idx="582">
                  <c:v>41129</c:v>
                </c:pt>
                <c:pt idx="583">
                  <c:v>41128</c:v>
                </c:pt>
                <c:pt idx="584">
                  <c:v>41127</c:v>
                </c:pt>
                <c:pt idx="585">
                  <c:v>41124</c:v>
                </c:pt>
                <c:pt idx="586">
                  <c:v>41123</c:v>
                </c:pt>
                <c:pt idx="587">
                  <c:v>41122</c:v>
                </c:pt>
                <c:pt idx="588">
                  <c:v>41121</c:v>
                </c:pt>
                <c:pt idx="589">
                  <c:v>41120</c:v>
                </c:pt>
                <c:pt idx="590">
                  <c:v>41117</c:v>
                </c:pt>
                <c:pt idx="591">
                  <c:v>41116</c:v>
                </c:pt>
                <c:pt idx="592">
                  <c:v>41115</c:v>
                </c:pt>
                <c:pt idx="593">
                  <c:v>41114</c:v>
                </c:pt>
                <c:pt idx="594">
                  <c:v>41113</c:v>
                </c:pt>
                <c:pt idx="595">
                  <c:v>41110</c:v>
                </c:pt>
                <c:pt idx="596">
                  <c:v>41109</c:v>
                </c:pt>
                <c:pt idx="597">
                  <c:v>41108</c:v>
                </c:pt>
                <c:pt idx="598">
                  <c:v>41107</c:v>
                </c:pt>
                <c:pt idx="599">
                  <c:v>41106</c:v>
                </c:pt>
                <c:pt idx="600">
                  <c:v>41103</c:v>
                </c:pt>
                <c:pt idx="601">
                  <c:v>41102</c:v>
                </c:pt>
                <c:pt idx="602">
                  <c:v>41101</c:v>
                </c:pt>
                <c:pt idx="603">
                  <c:v>41100</c:v>
                </c:pt>
                <c:pt idx="604">
                  <c:v>41099</c:v>
                </c:pt>
                <c:pt idx="605">
                  <c:v>41096</c:v>
                </c:pt>
                <c:pt idx="606">
                  <c:v>41095</c:v>
                </c:pt>
                <c:pt idx="607">
                  <c:v>41094</c:v>
                </c:pt>
                <c:pt idx="608">
                  <c:v>41093</c:v>
                </c:pt>
                <c:pt idx="609">
                  <c:v>41092</c:v>
                </c:pt>
                <c:pt idx="610">
                  <c:v>41089</c:v>
                </c:pt>
                <c:pt idx="611">
                  <c:v>41088</c:v>
                </c:pt>
                <c:pt idx="612">
                  <c:v>41087</c:v>
                </c:pt>
                <c:pt idx="613">
                  <c:v>41086</c:v>
                </c:pt>
                <c:pt idx="614">
                  <c:v>41085</c:v>
                </c:pt>
                <c:pt idx="615">
                  <c:v>41082</c:v>
                </c:pt>
                <c:pt idx="616">
                  <c:v>41081</c:v>
                </c:pt>
                <c:pt idx="617">
                  <c:v>41080</c:v>
                </c:pt>
                <c:pt idx="618">
                  <c:v>41079</c:v>
                </c:pt>
                <c:pt idx="619">
                  <c:v>41078</c:v>
                </c:pt>
                <c:pt idx="620">
                  <c:v>41075</c:v>
                </c:pt>
                <c:pt idx="621">
                  <c:v>41074</c:v>
                </c:pt>
                <c:pt idx="622">
                  <c:v>41073</c:v>
                </c:pt>
                <c:pt idx="623">
                  <c:v>41072</c:v>
                </c:pt>
                <c:pt idx="624">
                  <c:v>41071</c:v>
                </c:pt>
                <c:pt idx="625">
                  <c:v>41068</c:v>
                </c:pt>
                <c:pt idx="626">
                  <c:v>41067</c:v>
                </c:pt>
                <c:pt idx="627">
                  <c:v>41066</c:v>
                </c:pt>
                <c:pt idx="628">
                  <c:v>41065</c:v>
                </c:pt>
                <c:pt idx="629">
                  <c:v>41064</c:v>
                </c:pt>
                <c:pt idx="630">
                  <c:v>41061</c:v>
                </c:pt>
                <c:pt idx="631">
                  <c:v>41060</c:v>
                </c:pt>
                <c:pt idx="632">
                  <c:v>41059</c:v>
                </c:pt>
                <c:pt idx="633">
                  <c:v>41058</c:v>
                </c:pt>
                <c:pt idx="634">
                  <c:v>41057</c:v>
                </c:pt>
                <c:pt idx="635">
                  <c:v>41054</c:v>
                </c:pt>
                <c:pt idx="636">
                  <c:v>41053</c:v>
                </c:pt>
                <c:pt idx="637">
                  <c:v>41052</c:v>
                </c:pt>
                <c:pt idx="638">
                  <c:v>41051</c:v>
                </c:pt>
                <c:pt idx="639">
                  <c:v>41050</c:v>
                </c:pt>
                <c:pt idx="640">
                  <c:v>41047</c:v>
                </c:pt>
                <c:pt idx="641">
                  <c:v>41046</c:v>
                </c:pt>
                <c:pt idx="642">
                  <c:v>41045</c:v>
                </c:pt>
                <c:pt idx="643">
                  <c:v>41044</c:v>
                </c:pt>
                <c:pt idx="644">
                  <c:v>41043</c:v>
                </c:pt>
                <c:pt idx="645">
                  <c:v>41040</c:v>
                </c:pt>
                <c:pt idx="646">
                  <c:v>41039</c:v>
                </c:pt>
                <c:pt idx="647">
                  <c:v>41038</c:v>
                </c:pt>
                <c:pt idx="648">
                  <c:v>41037</c:v>
                </c:pt>
                <c:pt idx="649">
                  <c:v>41036</c:v>
                </c:pt>
                <c:pt idx="650">
                  <c:v>41033</c:v>
                </c:pt>
                <c:pt idx="651">
                  <c:v>41032</c:v>
                </c:pt>
                <c:pt idx="652">
                  <c:v>41031</c:v>
                </c:pt>
                <c:pt idx="653">
                  <c:v>41030</c:v>
                </c:pt>
                <c:pt idx="654">
                  <c:v>41029</c:v>
                </c:pt>
                <c:pt idx="655">
                  <c:v>41026</c:v>
                </c:pt>
                <c:pt idx="656">
                  <c:v>41025</c:v>
                </c:pt>
                <c:pt idx="657">
                  <c:v>41024</c:v>
                </c:pt>
                <c:pt idx="658">
                  <c:v>41023</c:v>
                </c:pt>
                <c:pt idx="659">
                  <c:v>41022</c:v>
                </c:pt>
                <c:pt idx="660">
                  <c:v>41019</c:v>
                </c:pt>
                <c:pt idx="661">
                  <c:v>41018</c:v>
                </c:pt>
                <c:pt idx="662">
                  <c:v>41017</c:v>
                </c:pt>
                <c:pt idx="663">
                  <c:v>41016</c:v>
                </c:pt>
                <c:pt idx="664">
                  <c:v>41015</c:v>
                </c:pt>
                <c:pt idx="665">
                  <c:v>41012</c:v>
                </c:pt>
                <c:pt idx="666">
                  <c:v>41011</c:v>
                </c:pt>
                <c:pt idx="667">
                  <c:v>41010</c:v>
                </c:pt>
                <c:pt idx="668">
                  <c:v>41009</c:v>
                </c:pt>
                <c:pt idx="669">
                  <c:v>41008</c:v>
                </c:pt>
                <c:pt idx="670">
                  <c:v>41005</c:v>
                </c:pt>
                <c:pt idx="671">
                  <c:v>41004</c:v>
                </c:pt>
                <c:pt idx="672">
                  <c:v>41003</c:v>
                </c:pt>
                <c:pt idx="673">
                  <c:v>41002</c:v>
                </c:pt>
                <c:pt idx="674">
                  <c:v>41001</c:v>
                </c:pt>
                <c:pt idx="675">
                  <c:v>40998</c:v>
                </c:pt>
                <c:pt idx="676">
                  <c:v>40997</c:v>
                </c:pt>
                <c:pt idx="677">
                  <c:v>40996</c:v>
                </c:pt>
                <c:pt idx="678">
                  <c:v>40995</c:v>
                </c:pt>
                <c:pt idx="679">
                  <c:v>40994</c:v>
                </c:pt>
                <c:pt idx="680">
                  <c:v>40991</c:v>
                </c:pt>
                <c:pt idx="681">
                  <c:v>40990</c:v>
                </c:pt>
                <c:pt idx="682">
                  <c:v>40989</c:v>
                </c:pt>
                <c:pt idx="683">
                  <c:v>40988</c:v>
                </c:pt>
                <c:pt idx="684">
                  <c:v>40987</c:v>
                </c:pt>
                <c:pt idx="685">
                  <c:v>40984</c:v>
                </c:pt>
                <c:pt idx="686">
                  <c:v>40983</c:v>
                </c:pt>
                <c:pt idx="687">
                  <c:v>40982</c:v>
                </c:pt>
                <c:pt idx="688">
                  <c:v>40981</c:v>
                </c:pt>
                <c:pt idx="689">
                  <c:v>40980</c:v>
                </c:pt>
                <c:pt idx="690">
                  <c:v>40977</c:v>
                </c:pt>
                <c:pt idx="691">
                  <c:v>40976</c:v>
                </c:pt>
                <c:pt idx="692">
                  <c:v>40975</c:v>
                </c:pt>
                <c:pt idx="693">
                  <c:v>40974</c:v>
                </c:pt>
                <c:pt idx="694">
                  <c:v>40973</c:v>
                </c:pt>
                <c:pt idx="695">
                  <c:v>40970</c:v>
                </c:pt>
                <c:pt idx="696">
                  <c:v>40969</c:v>
                </c:pt>
                <c:pt idx="697">
                  <c:v>40968</c:v>
                </c:pt>
                <c:pt idx="698">
                  <c:v>40967</c:v>
                </c:pt>
                <c:pt idx="699">
                  <c:v>40966</c:v>
                </c:pt>
                <c:pt idx="700">
                  <c:v>40963</c:v>
                </c:pt>
                <c:pt idx="701">
                  <c:v>40962</c:v>
                </c:pt>
                <c:pt idx="702">
                  <c:v>40961</c:v>
                </c:pt>
                <c:pt idx="703">
                  <c:v>40960</c:v>
                </c:pt>
                <c:pt idx="704">
                  <c:v>40959</c:v>
                </c:pt>
                <c:pt idx="705">
                  <c:v>40956</c:v>
                </c:pt>
                <c:pt idx="706">
                  <c:v>40955</c:v>
                </c:pt>
                <c:pt idx="707">
                  <c:v>40954</c:v>
                </c:pt>
                <c:pt idx="708">
                  <c:v>40953</c:v>
                </c:pt>
                <c:pt idx="709">
                  <c:v>40952</c:v>
                </c:pt>
                <c:pt idx="710">
                  <c:v>40949</c:v>
                </c:pt>
                <c:pt idx="711">
                  <c:v>40948</c:v>
                </c:pt>
                <c:pt idx="712">
                  <c:v>40947</c:v>
                </c:pt>
                <c:pt idx="713">
                  <c:v>40946</c:v>
                </c:pt>
                <c:pt idx="714">
                  <c:v>40945</c:v>
                </c:pt>
                <c:pt idx="715">
                  <c:v>40942</c:v>
                </c:pt>
                <c:pt idx="716">
                  <c:v>40941</c:v>
                </c:pt>
                <c:pt idx="717">
                  <c:v>40940</c:v>
                </c:pt>
                <c:pt idx="718">
                  <c:v>40939</c:v>
                </c:pt>
                <c:pt idx="719">
                  <c:v>40938</c:v>
                </c:pt>
                <c:pt idx="720">
                  <c:v>40935</c:v>
                </c:pt>
                <c:pt idx="721">
                  <c:v>40934</c:v>
                </c:pt>
                <c:pt idx="722">
                  <c:v>40933</c:v>
                </c:pt>
                <c:pt idx="723">
                  <c:v>40932</c:v>
                </c:pt>
                <c:pt idx="724">
                  <c:v>40931</c:v>
                </c:pt>
                <c:pt idx="725">
                  <c:v>40928</c:v>
                </c:pt>
                <c:pt idx="726">
                  <c:v>40927</c:v>
                </c:pt>
                <c:pt idx="727">
                  <c:v>40926</c:v>
                </c:pt>
                <c:pt idx="728">
                  <c:v>40925</c:v>
                </c:pt>
                <c:pt idx="729">
                  <c:v>40924</c:v>
                </c:pt>
                <c:pt idx="730">
                  <c:v>40921</c:v>
                </c:pt>
                <c:pt idx="731">
                  <c:v>40920</c:v>
                </c:pt>
                <c:pt idx="732">
                  <c:v>40919</c:v>
                </c:pt>
                <c:pt idx="733">
                  <c:v>40918</c:v>
                </c:pt>
                <c:pt idx="734">
                  <c:v>40917</c:v>
                </c:pt>
                <c:pt idx="735">
                  <c:v>40914</c:v>
                </c:pt>
                <c:pt idx="736">
                  <c:v>40913</c:v>
                </c:pt>
                <c:pt idx="737">
                  <c:v>40912</c:v>
                </c:pt>
                <c:pt idx="738">
                  <c:v>40911</c:v>
                </c:pt>
                <c:pt idx="739">
                  <c:v>40910</c:v>
                </c:pt>
                <c:pt idx="740">
                  <c:v>40907</c:v>
                </c:pt>
                <c:pt idx="741">
                  <c:v>40906</c:v>
                </c:pt>
                <c:pt idx="742">
                  <c:v>40905</c:v>
                </c:pt>
                <c:pt idx="743">
                  <c:v>40904</c:v>
                </c:pt>
                <c:pt idx="744">
                  <c:v>40903</c:v>
                </c:pt>
                <c:pt idx="745">
                  <c:v>40900</c:v>
                </c:pt>
                <c:pt idx="746">
                  <c:v>40899</c:v>
                </c:pt>
                <c:pt idx="747">
                  <c:v>40898</c:v>
                </c:pt>
                <c:pt idx="748">
                  <c:v>40897</c:v>
                </c:pt>
                <c:pt idx="749">
                  <c:v>40896</c:v>
                </c:pt>
                <c:pt idx="750">
                  <c:v>40893</c:v>
                </c:pt>
                <c:pt idx="751">
                  <c:v>40892</c:v>
                </c:pt>
                <c:pt idx="752">
                  <c:v>40891</c:v>
                </c:pt>
                <c:pt idx="753">
                  <c:v>40890</c:v>
                </c:pt>
                <c:pt idx="754">
                  <c:v>40889</c:v>
                </c:pt>
                <c:pt idx="755">
                  <c:v>40886</c:v>
                </c:pt>
                <c:pt idx="756">
                  <c:v>40885</c:v>
                </c:pt>
                <c:pt idx="757">
                  <c:v>40884</c:v>
                </c:pt>
                <c:pt idx="758">
                  <c:v>40883</c:v>
                </c:pt>
                <c:pt idx="759">
                  <c:v>40882</c:v>
                </c:pt>
                <c:pt idx="760">
                  <c:v>40879</c:v>
                </c:pt>
                <c:pt idx="761">
                  <c:v>40878</c:v>
                </c:pt>
                <c:pt idx="762">
                  <c:v>40877</c:v>
                </c:pt>
                <c:pt idx="763">
                  <c:v>40876</c:v>
                </c:pt>
                <c:pt idx="764">
                  <c:v>40875</c:v>
                </c:pt>
                <c:pt idx="765">
                  <c:v>40872</c:v>
                </c:pt>
                <c:pt idx="766">
                  <c:v>40871</c:v>
                </c:pt>
                <c:pt idx="767">
                  <c:v>40870</c:v>
                </c:pt>
                <c:pt idx="768">
                  <c:v>40869</c:v>
                </c:pt>
                <c:pt idx="769">
                  <c:v>40868</c:v>
                </c:pt>
                <c:pt idx="770">
                  <c:v>40865</c:v>
                </c:pt>
                <c:pt idx="771">
                  <c:v>40864</c:v>
                </c:pt>
                <c:pt idx="772">
                  <c:v>40863</c:v>
                </c:pt>
                <c:pt idx="773">
                  <c:v>40862</c:v>
                </c:pt>
                <c:pt idx="774">
                  <c:v>40861</c:v>
                </c:pt>
                <c:pt idx="775">
                  <c:v>40858</c:v>
                </c:pt>
                <c:pt idx="776">
                  <c:v>40857</c:v>
                </c:pt>
                <c:pt idx="777">
                  <c:v>40856</c:v>
                </c:pt>
                <c:pt idx="778">
                  <c:v>40855</c:v>
                </c:pt>
                <c:pt idx="779">
                  <c:v>40854</c:v>
                </c:pt>
                <c:pt idx="780">
                  <c:v>40851</c:v>
                </c:pt>
                <c:pt idx="781">
                  <c:v>40850</c:v>
                </c:pt>
                <c:pt idx="782">
                  <c:v>40849</c:v>
                </c:pt>
                <c:pt idx="783">
                  <c:v>40848</c:v>
                </c:pt>
                <c:pt idx="784">
                  <c:v>40847</c:v>
                </c:pt>
                <c:pt idx="785">
                  <c:v>40844</c:v>
                </c:pt>
                <c:pt idx="786">
                  <c:v>40843</c:v>
                </c:pt>
                <c:pt idx="787">
                  <c:v>40842</c:v>
                </c:pt>
                <c:pt idx="788">
                  <c:v>40841</c:v>
                </c:pt>
                <c:pt idx="789">
                  <c:v>40840</c:v>
                </c:pt>
                <c:pt idx="790">
                  <c:v>40837</c:v>
                </c:pt>
                <c:pt idx="791">
                  <c:v>40836</c:v>
                </c:pt>
                <c:pt idx="792">
                  <c:v>40835</c:v>
                </c:pt>
                <c:pt idx="793">
                  <c:v>40834</c:v>
                </c:pt>
                <c:pt idx="794">
                  <c:v>40833</c:v>
                </c:pt>
                <c:pt idx="795">
                  <c:v>40830</c:v>
                </c:pt>
                <c:pt idx="796">
                  <c:v>40829</c:v>
                </c:pt>
                <c:pt idx="797">
                  <c:v>40828</c:v>
                </c:pt>
                <c:pt idx="798">
                  <c:v>40827</c:v>
                </c:pt>
                <c:pt idx="799">
                  <c:v>40826</c:v>
                </c:pt>
                <c:pt idx="800">
                  <c:v>40823</c:v>
                </c:pt>
                <c:pt idx="801">
                  <c:v>40822</c:v>
                </c:pt>
                <c:pt idx="802">
                  <c:v>40821</c:v>
                </c:pt>
                <c:pt idx="803">
                  <c:v>40820</c:v>
                </c:pt>
              </c:numCache>
            </c:numRef>
          </c:cat>
          <c:val>
            <c:numRef>
              <c:f>Eurobond!$G$6:$G$509</c:f>
              <c:numCache>
                <c:formatCode>#,##0.000</c:formatCode>
                <c:ptCount val="504"/>
                <c:pt idx="0">
                  <c:v>103.824</c:v>
                </c:pt>
                <c:pt idx="1">
                  <c:v>103.73099999999999</c:v>
                </c:pt>
                <c:pt idx="2">
                  <c:v>103.83</c:v>
                </c:pt>
                <c:pt idx="3">
                  <c:v>103.776</c:v>
                </c:pt>
                <c:pt idx="4">
                  <c:v>103.742</c:v>
                </c:pt>
                <c:pt idx="5">
                  <c:v>103.693</c:v>
                </c:pt>
                <c:pt idx="6">
                  <c:v>103.78</c:v>
                </c:pt>
                <c:pt idx="7">
                  <c:v>103.74900000000001</c:v>
                </c:pt>
                <c:pt idx="8">
                  <c:v>103.681</c:v>
                </c:pt>
                <c:pt idx="9">
                  <c:v>103.485</c:v>
                </c:pt>
                <c:pt idx="10">
                  <c:v>103.33</c:v>
                </c:pt>
                <c:pt idx="11">
                  <c:v>102.795</c:v>
                </c:pt>
                <c:pt idx="12">
                  <c:v>102.89700000000002</c:v>
                </c:pt>
                <c:pt idx="13">
                  <c:v>102.798</c:v>
                </c:pt>
                <c:pt idx="14">
                  <c:v>102.699</c:v>
                </c:pt>
                <c:pt idx="15">
                  <c:v>102.74000000000001</c:v>
                </c:pt>
                <c:pt idx="16">
                  <c:v>102.834</c:v>
                </c:pt>
                <c:pt idx="17">
                  <c:v>102.621</c:v>
                </c:pt>
                <c:pt idx="18">
                  <c:v>102.581</c:v>
                </c:pt>
                <c:pt idx="19">
                  <c:v>102.663</c:v>
                </c:pt>
                <c:pt idx="20">
                  <c:v>102.596</c:v>
                </c:pt>
                <c:pt idx="21">
                  <c:v>102.709</c:v>
                </c:pt>
                <c:pt idx="22">
                  <c:v>102.881</c:v>
                </c:pt>
                <c:pt idx="23">
                  <c:v>102.94400000000002</c:v>
                </c:pt>
                <c:pt idx="24">
                  <c:v>102.94700000000002</c:v>
                </c:pt>
                <c:pt idx="25">
                  <c:v>103.35799999999999</c:v>
                </c:pt>
                <c:pt idx="26">
                  <c:v>103.896</c:v>
                </c:pt>
                <c:pt idx="27">
                  <c:v>104.18300000000001</c:v>
                </c:pt>
                <c:pt idx="28">
                  <c:v>104.197</c:v>
                </c:pt>
                <c:pt idx="29">
                  <c:v>104.202</c:v>
                </c:pt>
                <c:pt idx="30">
                  <c:v>104.101</c:v>
                </c:pt>
                <c:pt idx="31">
                  <c:v>103.938</c:v>
                </c:pt>
                <c:pt idx="32">
                  <c:v>103.988</c:v>
                </c:pt>
                <c:pt idx="33">
                  <c:v>103.968</c:v>
                </c:pt>
                <c:pt idx="34">
                  <c:v>104.02</c:v>
                </c:pt>
                <c:pt idx="35">
                  <c:v>104.07499999999999</c:v>
                </c:pt>
                <c:pt idx="36">
                  <c:v>104.27500000000001</c:v>
                </c:pt>
                <c:pt idx="37">
                  <c:v>104.22</c:v>
                </c:pt>
                <c:pt idx="38">
                  <c:v>104.49000000000001</c:v>
                </c:pt>
                <c:pt idx="39">
                  <c:v>104.488</c:v>
                </c:pt>
                <c:pt idx="40">
                  <c:v>104.29300000000002</c:v>
                </c:pt>
                <c:pt idx="41">
                  <c:v>104.285</c:v>
                </c:pt>
                <c:pt idx="42">
                  <c:v>104.12499999999999</c:v>
                </c:pt>
                <c:pt idx="43">
                  <c:v>104.199</c:v>
                </c:pt>
                <c:pt idx="44">
                  <c:v>104.27</c:v>
                </c:pt>
                <c:pt idx="45">
                  <c:v>104.286</c:v>
                </c:pt>
                <c:pt idx="46">
                  <c:v>104.262</c:v>
                </c:pt>
                <c:pt idx="47">
                  <c:v>104.39700000000002</c:v>
                </c:pt>
                <c:pt idx="48">
                  <c:v>104.13500000000001</c:v>
                </c:pt>
                <c:pt idx="49">
                  <c:v>104.086</c:v>
                </c:pt>
                <c:pt idx="50">
                  <c:v>104.151</c:v>
                </c:pt>
                <c:pt idx="51">
                  <c:v>104.364</c:v>
                </c:pt>
                <c:pt idx="52">
                  <c:v>104.562</c:v>
                </c:pt>
                <c:pt idx="53">
                  <c:v>104.61999999999999</c:v>
                </c:pt>
                <c:pt idx="54">
                  <c:v>104.613</c:v>
                </c:pt>
                <c:pt idx="55">
                  <c:v>104.65199999999999</c:v>
                </c:pt>
                <c:pt idx="56">
                  <c:v>104.12799999999999</c:v>
                </c:pt>
                <c:pt idx="57">
                  <c:v>103.813</c:v>
                </c:pt>
                <c:pt idx="58">
                  <c:v>103.589</c:v>
                </c:pt>
                <c:pt idx="59">
                  <c:v>103.18799999999999</c:v>
                </c:pt>
                <c:pt idx="60">
                  <c:v>102.87299999999999</c:v>
                </c:pt>
                <c:pt idx="61">
                  <c:v>103.07799999999999</c:v>
                </c:pt>
                <c:pt idx="62">
                  <c:v>103.131</c:v>
                </c:pt>
                <c:pt idx="63">
                  <c:v>103.654</c:v>
                </c:pt>
                <c:pt idx="64">
                  <c:v>103.86799999999999</c:v>
                </c:pt>
                <c:pt idx="65">
                  <c:v>103.95099999999999</c:v>
                </c:pt>
                <c:pt idx="66">
                  <c:v>104.476</c:v>
                </c:pt>
                <c:pt idx="67">
                  <c:v>104.759</c:v>
                </c:pt>
                <c:pt idx="68">
                  <c:v>104.783</c:v>
                </c:pt>
                <c:pt idx="69">
                  <c:v>104.61</c:v>
                </c:pt>
                <c:pt idx="70">
                  <c:v>104.489</c:v>
                </c:pt>
                <c:pt idx="71">
                  <c:v>104.48699999999999</c:v>
                </c:pt>
                <c:pt idx="72">
                  <c:v>104.235</c:v>
                </c:pt>
                <c:pt idx="73">
                  <c:v>103.893</c:v>
                </c:pt>
                <c:pt idx="74">
                  <c:v>103.8</c:v>
                </c:pt>
                <c:pt idx="75">
                  <c:v>103.79400000000001</c:v>
                </c:pt>
                <c:pt idx="76">
                  <c:v>103.77</c:v>
                </c:pt>
                <c:pt idx="77">
                  <c:v>103.982</c:v>
                </c:pt>
                <c:pt idx="78">
                  <c:v>103.96400000000001</c:v>
                </c:pt>
                <c:pt idx="79">
                  <c:v>104.053</c:v>
                </c:pt>
                <c:pt idx="80">
                  <c:v>104.37199999999999</c:v>
                </c:pt>
                <c:pt idx="81">
                  <c:v>104.215</c:v>
                </c:pt>
                <c:pt idx="82">
                  <c:v>104.40100000000001</c:v>
                </c:pt>
                <c:pt idx="83">
                  <c:v>104.62499999999999</c:v>
                </c:pt>
                <c:pt idx="84">
                  <c:v>104.706</c:v>
                </c:pt>
                <c:pt idx="85">
                  <c:v>104.71000000000001</c:v>
                </c:pt>
                <c:pt idx="86">
                  <c:v>104.736</c:v>
                </c:pt>
                <c:pt idx="87">
                  <c:v>104.75</c:v>
                </c:pt>
                <c:pt idx="88">
                  <c:v>104.73099999999999</c:v>
                </c:pt>
                <c:pt idx="89">
                  <c:v>104.649</c:v>
                </c:pt>
                <c:pt idx="90">
                  <c:v>104.44200000000001</c:v>
                </c:pt>
                <c:pt idx="91">
                  <c:v>104.392</c:v>
                </c:pt>
                <c:pt idx="92">
                  <c:v>105.12299999999999</c:v>
                </c:pt>
                <c:pt idx="93">
                  <c:v>105.16800000000001</c:v>
                </c:pt>
                <c:pt idx="94">
                  <c:v>105.11799999999999</c:v>
                </c:pt>
                <c:pt idx="95">
                  <c:v>105.21400000000001</c:v>
                </c:pt>
                <c:pt idx="96">
                  <c:v>105.40700000000001</c:v>
                </c:pt>
                <c:pt idx="97">
                  <c:v>105.51300000000002</c:v>
                </c:pt>
                <c:pt idx="98">
                  <c:v>105.52200000000001</c:v>
                </c:pt>
                <c:pt idx="99">
                  <c:v>105.62199999999999</c:v>
                </c:pt>
                <c:pt idx="100">
                  <c:v>105.76700000000001</c:v>
                </c:pt>
                <c:pt idx="101">
                  <c:v>105.899</c:v>
                </c:pt>
                <c:pt idx="102">
                  <c:v>105.895</c:v>
                </c:pt>
                <c:pt idx="103">
                  <c:v>105.883</c:v>
                </c:pt>
                <c:pt idx="104">
                  <c:v>105.935</c:v>
                </c:pt>
                <c:pt idx="105">
                  <c:v>105.78</c:v>
                </c:pt>
                <c:pt idx="106">
                  <c:v>105.29</c:v>
                </c:pt>
                <c:pt idx="107">
                  <c:v>105.224</c:v>
                </c:pt>
                <c:pt idx="108">
                  <c:v>105.396</c:v>
                </c:pt>
                <c:pt idx="109">
                  <c:v>105.592</c:v>
                </c:pt>
                <c:pt idx="110">
                  <c:v>105.43100000000001</c:v>
                </c:pt>
                <c:pt idx="111">
                  <c:v>105.383</c:v>
                </c:pt>
                <c:pt idx="112">
                  <c:v>105.149</c:v>
                </c:pt>
                <c:pt idx="113">
                  <c:v>104.765</c:v>
                </c:pt>
                <c:pt idx="114">
                  <c:v>104.62199999999999</c:v>
                </c:pt>
                <c:pt idx="115">
                  <c:v>104.61</c:v>
                </c:pt>
                <c:pt idx="116">
                  <c:v>104.60299999999998</c:v>
                </c:pt>
                <c:pt idx="117">
                  <c:v>104.645</c:v>
                </c:pt>
                <c:pt idx="118">
                  <c:v>104.827</c:v>
                </c:pt>
                <c:pt idx="119">
                  <c:v>104.96899999999999</c:v>
                </c:pt>
                <c:pt idx="120">
                  <c:v>105.124</c:v>
                </c:pt>
                <c:pt idx="121">
                  <c:v>105.318</c:v>
                </c:pt>
                <c:pt idx="122">
                  <c:v>105.361</c:v>
                </c:pt>
                <c:pt idx="123">
                  <c:v>105.194</c:v>
                </c:pt>
                <c:pt idx="124">
                  <c:v>104.96400000000001</c:v>
                </c:pt>
                <c:pt idx="125">
                  <c:v>104.88200000000001</c:v>
                </c:pt>
                <c:pt idx="126">
                  <c:v>104.74000000000001</c:v>
                </c:pt>
                <c:pt idx="127">
                  <c:v>104.598</c:v>
                </c:pt>
                <c:pt idx="128">
                  <c:v>104.142</c:v>
                </c:pt>
                <c:pt idx="129">
                  <c:v>103.79</c:v>
                </c:pt>
                <c:pt idx="130">
                  <c:v>103.815</c:v>
                </c:pt>
                <c:pt idx="131">
                  <c:v>103.55500000000001</c:v>
                </c:pt>
                <c:pt idx="132">
                  <c:v>103.49100000000001</c:v>
                </c:pt>
                <c:pt idx="133">
                  <c:v>103.26600000000002</c:v>
                </c:pt>
                <c:pt idx="134">
                  <c:v>103.06399999999999</c:v>
                </c:pt>
                <c:pt idx="135">
                  <c:v>103.113</c:v>
                </c:pt>
                <c:pt idx="136">
                  <c:v>103.227</c:v>
                </c:pt>
                <c:pt idx="137">
                  <c:v>103.25</c:v>
                </c:pt>
                <c:pt idx="138">
                  <c:v>103.47199999999999</c:v>
                </c:pt>
                <c:pt idx="139">
                  <c:v>103.57899999999998</c:v>
                </c:pt>
                <c:pt idx="140">
                  <c:v>103.518</c:v>
                </c:pt>
                <c:pt idx="141">
                  <c:v>103.489</c:v>
                </c:pt>
                <c:pt idx="142">
                  <c:v>103.51</c:v>
                </c:pt>
                <c:pt idx="143">
                  <c:v>103.67700000000001</c:v>
                </c:pt>
                <c:pt idx="144">
                  <c:v>103.74600000000001</c:v>
                </c:pt>
                <c:pt idx="145">
                  <c:v>103.82899999999998</c:v>
                </c:pt>
                <c:pt idx="146">
                  <c:v>103.887</c:v>
                </c:pt>
                <c:pt idx="147">
                  <c:v>103.72199999999999</c:v>
                </c:pt>
                <c:pt idx="148">
                  <c:v>103.74400000000001</c:v>
                </c:pt>
                <c:pt idx="149">
                  <c:v>103.66500000000001</c:v>
                </c:pt>
                <c:pt idx="150">
                  <c:v>103.67299999999999</c:v>
                </c:pt>
                <c:pt idx="151">
                  <c:v>103.548</c:v>
                </c:pt>
                <c:pt idx="152">
                  <c:v>103.708</c:v>
                </c:pt>
                <c:pt idx="153">
                  <c:v>103.76</c:v>
                </c:pt>
                <c:pt idx="154">
                  <c:v>103.898</c:v>
                </c:pt>
                <c:pt idx="155">
                  <c:v>103.91700000000002</c:v>
                </c:pt>
                <c:pt idx="156">
                  <c:v>103.96899999999999</c:v>
                </c:pt>
                <c:pt idx="157">
                  <c:v>103.982</c:v>
                </c:pt>
                <c:pt idx="158">
                  <c:v>104.015</c:v>
                </c:pt>
                <c:pt idx="159">
                  <c:v>103.973</c:v>
                </c:pt>
                <c:pt idx="160">
                  <c:v>103.929</c:v>
                </c:pt>
                <c:pt idx="161">
                  <c:v>104.01</c:v>
                </c:pt>
                <c:pt idx="162">
                  <c:v>104.133</c:v>
                </c:pt>
                <c:pt idx="163">
                  <c:v>104.084</c:v>
                </c:pt>
                <c:pt idx="164">
                  <c:v>104.051</c:v>
                </c:pt>
                <c:pt idx="165">
                  <c:v>103.631</c:v>
                </c:pt>
                <c:pt idx="166">
                  <c:v>103.795</c:v>
                </c:pt>
                <c:pt idx="167">
                  <c:v>103.709</c:v>
                </c:pt>
                <c:pt idx="168">
                  <c:v>104</c:v>
                </c:pt>
                <c:pt idx="169">
                  <c:v>103.87299999999999</c:v>
                </c:pt>
                <c:pt idx="170">
                  <c:v>104.09</c:v>
                </c:pt>
                <c:pt idx="171">
                  <c:v>104.307</c:v>
                </c:pt>
                <c:pt idx="172">
                  <c:v>104.002</c:v>
                </c:pt>
                <c:pt idx="173">
                  <c:v>103.9</c:v>
                </c:pt>
                <c:pt idx="174">
                  <c:v>103.982</c:v>
                </c:pt>
                <c:pt idx="175">
                  <c:v>104.535</c:v>
                </c:pt>
                <c:pt idx="176">
                  <c:v>104.40900000000002</c:v>
                </c:pt>
                <c:pt idx="177">
                  <c:v>104.38500000000001</c:v>
                </c:pt>
                <c:pt idx="178">
                  <c:v>104.35</c:v>
                </c:pt>
                <c:pt idx="179">
                  <c:v>104.18899999999998</c:v>
                </c:pt>
                <c:pt idx="180">
                  <c:v>104.01600000000002</c:v>
                </c:pt>
                <c:pt idx="181">
                  <c:v>103.729</c:v>
                </c:pt>
                <c:pt idx="182">
                  <c:v>103.723</c:v>
                </c:pt>
                <c:pt idx="183">
                  <c:v>103.74299999999999</c:v>
                </c:pt>
                <c:pt idx="184">
                  <c:v>103.72499999999999</c:v>
                </c:pt>
                <c:pt idx="185">
                  <c:v>103.62499999999999</c:v>
                </c:pt>
                <c:pt idx="186">
                  <c:v>103.462</c:v>
                </c:pt>
                <c:pt idx="187">
                  <c:v>103.604</c:v>
                </c:pt>
                <c:pt idx="188">
                  <c:v>103.89</c:v>
                </c:pt>
                <c:pt idx="189">
                  <c:v>104.01</c:v>
                </c:pt>
                <c:pt idx="190">
                  <c:v>104.029</c:v>
                </c:pt>
                <c:pt idx="191">
                  <c:v>103.492</c:v>
                </c:pt>
                <c:pt idx="192">
                  <c:v>103.11</c:v>
                </c:pt>
                <c:pt idx="193">
                  <c:v>102.46100000000001</c:v>
                </c:pt>
                <c:pt idx="194">
                  <c:v>101.64</c:v>
                </c:pt>
                <c:pt idx="195">
                  <c:v>101.509</c:v>
                </c:pt>
                <c:pt idx="196">
                  <c:v>101.54700000000001</c:v>
                </c:pt>
                <c:pt idx="197">
                  <c:v>101.925</c:v>
                </c:pt>
                <c:pt idx="198">
                  <c:v>102.39700000000002</c:v>
                </c:pt>
                <c:pt idx="199">
                  <c:v>102.29400000000001</c:v>
                </c:pt>
                <c:pt idx="200">
                  <c:v>102.52200000000001</c:v>
                </c:pt>
                <c:pt idx="201">
                  <c:v>103.023</c:v>
                </c:pt>
                <c:pt idx="202">
                  <c:v>103.357</c:v>
                </c:pt>
                <c:pt idx="203">
                  <c:v>103.36199999999999</c:v>
                </c:pt>
                <c:pt idx="204">
                  <c:v>103.37599999999999</c:v>
                </c:pt>
                <c:pt idx="205">
                  <c:v>103.40700000000001</c:v>
                </c:pt>
                <c:pt idx="206">
                  <c:v>103.62299999999999</c:v>
                </c:pt>
                <c:pt idx="207">
                  <c:v>103.462</c:v>
                </c:pt>
                <c:pt idx="208">
                  <c:v>102.98399999999999</c:v>
                </c:pt>
                <c:pt idx="209">
                  <c:v>102.586</c:v>
                </c:pt>
                <c:pt idx="210">
                  <c:v>102.32899999999998</c:v>
                </c:pt>
                <c:pt idx="211">
                  <c:v>101.956</c:v>
                </c:pt>
                <c:pt idx="212">
                  <c:v>102.006</c:v>
                </c:pt>
                <c:pt idx="213">
                  <c:v>101.816</c:v>
                </c:pt>
                <c:pt idx="214">
                  <c:v>101.616</c:v>
                </c:pt>
                <c:pt idx="215">
                  <c:v>100.881</c:v>
                </c:pt>
                <c:pt idx="216">
                  <c:v>100.798</c:v>
                </c:pt>
                <c:pt idx="217">
                  <c:v>100.85799999999999</c:v>
                </c:pt>
                <c:pt idx="218">
                  <c:v>100.837</c:v>
                </c:pt>
                <c:pt idx="219">
                  <c:v>100.84</c:v>
                </c:pt>
                <c:pt idx="220">
                  <c:v>100.93899999999999</c:v>
                </c:pt>
                <c:pt idx="221">
                  <c:v>100.94400000000002</c:v>
                </c:pt>
                <c:pt idx="222">
                  <c:v>100.94400000000002</c:v>
                </c:pt>
                <c:pt idx="223">
                  <c:v>100.88200000000001</c:v>
                </c:pt>
                <c:pt idx="224">
                  <c:v>100.959</c:v>
                </c:pt>
                <c:pt idx="225">
                  <c:v>100.87299999999999</c:v>
                </c:pt>
                <c:pt idx="226">
                  <c:v>100.883</c:v>
                </c:pt>
                <c:pt idx="227">
                  <c:v>100.82599999999998</c:v>
                </c:pt>
                <c:pt idx="228">
                  <c:v>100.78700000000002</c:v>
                </c:pt>
                <c:pt idx="229">
                  <c:v>100.694</c:v>
                </c:pt>
                <c:pt idx="230">
                  <c:v>100.624</c:v>
                </c:pt>
                <c:pt idx="231">
                  <c:v>100.65900000000001</c:v>
                </c:pt>
                <c:pt idx="232">
                  <c:v>100.495</c:v>
                </c:pt>
                <c:pt idx="233">
                  <c:v>100.48099999999999</c:v>
                </c:pt>
                <c:pt idx="234">
                  <c:v>100.35599999999998</c:v>
                </c:pt>
                <c:pt idx="235">
                  <c:v>100.166</c:v>
                </c:pt>
                <c:pt idx="236">
                  <c:v>100.13500000000001</c:v>
                </c:pt>
                <c:pt idx="237">
                  <c:v>100.04700000000001</c:v>
                </c:pt>
                <c:pt idx="238">
                  <c:v>100.059</c:v>
                </c:pt>
                <c:pt idx="239">
                  <c:v>100.08199999999999</c:v>
                </c:pt>
                <c:pt idx="240">
                  <c:v>100.14700000000002</c:v>
                </c:pt>
                <c:pt idx="241">
                  <c:v>100.14</c:v>
                </c:pt>
                <c:pt idx="242">
                  <c:v>100.092</c:v>
                </c:pt>
                <c:pt idx="243">
                  <c:v>100.11</c:v>
                </c:pt>
                <c:pt idx="244">
                  <c:v>100.18600000000001</c:v>
                </c:pt>
                <c:pt idx="245">
                  <c:v>99.638999999999982</c:v>
                </c:pt>
                <c:pt idx="246">
                  <c:v>99.172999999999988</c:v>
                </c:pt>
                <c:pt idx="247">
                  <c:v>99.570999999999998</c:v>
                </c:pt>
                <c:pt idx="248">
                  <c:v>99.802999999999983</c:v>
                </c:pt>
                <c:pt idx="249">
                  <c:v>100.039</c:v>
                </c:pt>
                <c:pt idx="250">
                  <c:v>99.777999999999992</c:v>
                </c:pt>
                <c:pt idx="251">
                  <c:v>99.697999999999993</c:v>
                </c:pt>
                <c:pt idx="252">
                  <c:v>99.540999999999997</c:v>
                </c:pt>
                <c:pt idx="253">
                  <c:v>99.632999999999981</c:v>
                </c:pt>
                <c:pt idx="254">
                  <c:v>99.823999999999998</c:v>
                </c:pt>
                <c:pt idx="255">
                  <c:v>99.843999999999994</c:v>
                </c:pt>
                <c:pt idx="256">
                  <c:v>100.133</c:v>
                </c:pt>
                <c:pt idx="257">
                  <c:v>99.965000000000003</c:v>
                </c:pt>
                <c:pt idx="258">
                  <c:v>99.495999999999995</c:v>
                </c:pt>
                <c:pt idx="259">
                  <c:v>100.036</c:v>
                </c:pt>
                <c:pt idx="260">
                  <c:v>100.071</c:v>
                </c:pt>
                <c:pt idx="261">
                  <c:v>100.117</c:v>
                </c:pt>
                <c:pt idx="262">
                  <c:v>100.697</c:v>
                </c:pt>
                <c:pt idx="263">
                  <c:v>100.956</c:v>
                </c:pt>
                <c:pt idx="264">
                  <c:v>101.49100000000001</c:v>
                </c:pt>
                <c:pt idx="265">
                  <c:v>101.548</c:v>
                </c:pt>
                <c:pt idx="266">
                  <c:v>101.87899999999999</c:v>
                </c:pt>
                <c:pt idx="267">
                  <c:v>102.233</c:v>
                </c:pt>
                <c:pt idx="268">
                  <c:v>101.62899999999999</c:v>
                </c:pt>
                <c:pt idx="269">
                  <c:v>101.65199999999999</c:v>
                </c:pt>
                <c:pt idx="270">
                  <c:v>101.72</c:v>
                </c:pt>
                <c:pt idx="271">
                  <c:v>101.577</c:v>
                </c:pt>
                <c:pt idx="272">
                  <c:v>100.883</c:v>
                </c:pt>
                <c:pt idx="273">
                  <c:v>100.705</c:v>
                </c:pt>
                <c:pt idx="274">
                  <c:v>100.288</c:v>
                </c:pt>
                <c:pt idx="275">
                  <c:v>100.392</c:v>
                </c:pt>
                <c:pt idx="276">
                  <c:v>100.45699999999999</c:v>
                </c:pt>
                <c:pt idx="277">
                  <c:v>100.232</c:v>
                </c:pt>
                <c:pt idx="278">
                  <c:v>99.745999999999995</c:v>
                </c:pt>
                <c:pt idx="279">
                  <c:v>98.869</c:v>
                </c:pt>
                <c:pt idx="280">
                  <c:v>99.815000000000012</c:v>
                </c:pt>
                <c:pt idx="281">
                  <c:v>99.941000000000017</c:v>
                </c:pt>
                <c:pt idx="282">
                  <c:v>100.09699999999999</c:v>
                </c:pt>
                <c:pt idx="283">
                  <c:v>100.161</c:v>
                </c:pt>
                <c:pt idx="284">
                  <c:v>100.15900000000001</c:v>
                </c:pt>
                <c:pt idx="285">
                  <c:v>100.468</c:v>
                </c:pt>
                <c:pt idx="286">
                  <c:v>100.524</c:v>
                </c:pt>
                <c:pt idx="287">
                  <c:v>100.61799999999999</c:v>
                </c:pt>
                <c:pt idx="288">
                  <c:v>100.71899999999999</c:v>
                </c:pt>
                <c:pt idx="289">
                  <c:v>100.343</c:v>
                </c:pt>
                <c:pt idx="290">
                  <c:v>99.956000000000003</c:v>
                </c:pt>
                <c:pt idx="291">
                  <c:v>99.563000000000002</c:v>
                </c:pt>
                <c:pt idx="292">
                  <c:v>98.212999999999994</c:v>
                </c:pt>
                <c:pt idx="293">
                  <c:v>98.173999999999992</c:v>
                </c:pt>
                <c:pt idx="294">
                  <c:v>98.111000000000004</c:v>
                </c:pt>
                <c:pt idx="295">
                  <c:v>97.540999999999997</c:v>
                </c:pt>
                <c:pt idx="296">
                  <c:v>97.453000000000003</c:v>
                </c:pt>
                <c:pt idx="297">
                  <c:v>97.212999999999994</c:v>
                </c:pt>
                <c:pt idx="298">
                  <c:v>97.048000000000002</c:v>
                </c:pt>
                <c:pt idx="299">
                  <c:v>97.169999999999987</c:v>
                </c:pt>
                <c:pt idx="300">
                  <c:v>97.087999999999994</c:v>
                </c:pt>
                <c:pt idx="301">
                  <c:v>97.034000000000006</c:v>
                </c:pt>
                <c:pt idx="302">
                  <c:v>97.8</c:v>
                </c:pt>
                <c:pt idx="303">
                  <c:v>97.964000000000013</c:v>
                </c:pt>
                <c:pt idx="304">
                  <c:v>98.077999999999989</c:v>
                </c:pt>
                <c:pt idx="305">
                  <c:v>98.134</c:v>
                </c:pt>
                <c:pt idx="306">
                  <c:v>98.206000000000003</c:v>
                </c:pt>
                <c:pt idx="307">
                  <c:v>98.27</c:v>
                </c:pt>
                <c:pt idx="308">
                  <c:v>98.477000000000004</c:v>
                </c:pt>
                <c:pt idx="309">
                  <c:v>98.211000000000013</c:v>
                </c:pt>
                <c:pt idx="310">
                  <c:v>98.277000000000001</c:v>
                </c:pt>
                <c:pt idx="311">
                  <c:v>98.116</c:v>
                </c:pt>
                <c:pt idx="312">
                  <c:v>97.983000000000004</c:v>
                </c:pt>
                <c:pt idx="313">
                  <c:v>97.798000000000002</c:v>
                </c:pt>
                <c:pt idx="314">
                  <c:v>97.738</c:v>
                </c:pt>
                <c:pt idx="315">
                  <c:v>98.155999999999992</c:v>
                </c:pt>
                <c:pt idx="316">
                  <c:v>98.238</c:v>
                </c:pt>
                <c:pt idx="317">
                  <c:v>98.568000000000012</c:v>
                </c:pt>
                <c:pt idx="318">
                  <c:v>98.657999999999987</c:v>
                </c:pt>
                <c:pt idx="319">
                  <c:v>98.617999999999995</c:v>
                </c:pt>
                <c:pt idx="320">
                  <c:v>98.417000000000016</c:v>
                </c:pt>
                <c:pt idx="321">
                  <c:v>98.033000000000001</c:v>
                </c:pt>
                <c:pt idx="322">
                  <c:v>97.771000000000001</c:v>
                </c:pt>
                <c:pt idx="323">
                  <c:v>97.643000000000001</c:v>
                </c:pt>
                <c:pt idx="324">
                  <c:v>97.664000000000001</c:v>
                </c:pt>
                <c:pt idx="325">
                  <c:v>97.374999999999986</c:v>
                </c:pt>
                <c:pt idx="326">
                  <c:v>97.718000000000004</c:v>
                </c:pt>
                <c:pt idx="327">
                  <c:v>98.318000000000012</c:v>
                </c:pt>
                <c:pt idx="328">
                  <c:v>99.527000000000001</c:v>
                </c:pt>
                <c:pt idx="329">
                  <c:v>99.835999999999999</c:v>
                </c:pt>
                <c:pt idx="330">
                  <c:v>99.76</c:v>
                </c:pt>
                <c:pt idx="331">
                  <c:v>99.714000000000013</c:v>
                </c:pt>
                <c:pt idx="332">
                  <c:v>99.9</c:v>
                </c:pt>
                <c:pt idx="333">
                  <c:v>100.221</c:v>
                </c:pt>
                <c:pt idx="334">
                  <c:v>100.526</c:v>
                </c:pt>
                <c:pt idx="335">
                  <c:v>100.41500000000002</c:v>
                </c:pt>
                <c:pt idx="336">
                  <c:v>100.45</c:v>
                </c:pt>
                <c:pt idx="337">
                  <c:v>100.288</c:v>
                </c:pt>
                <c:pt idx="338">
                  <c:v>100.07299999999998</c:v>
                </c:pt>
                <c:pt idx="339">
                  <c:v>99.985000000000014</c:v>
                </c:pt>
                <c:pt idx="340">
                  <c:v>99.652999999999992</c:v>
                </c:pt>
                <c:pt idx="341">
                  <c:v>99.56</c:v>
                </c:pt>
                <c:pt idx="342">
                  <c:v>99.205000000000013</c:v>
                </c:pt>
                <c:pt idx="343">
                  <c:v>99.183999999999983</c:v>
                </c:pt>
                <c:pt idx="344">
                  <c:v>99.111000000000004</c:v>
                </c:pt>
                <c:pt idx="345">
                  <c:v>99.271000000000001</c:v>
                </c:pt>
                <c:pt idx="346">
                  <c:v>99.51</c:v>
                </c:pt>
                <c:pt idx="347">
                  <c:v>99.381999999999991</c:v>
                </c:pt>
                <c:pt idx="348">
                  <c:v>99.563999999999993</c:v>
                </c:pt>
                <c:pt idx="349">
                  <c:v>99.03</c:v>
                </c:pt>
                <c:pt idx="350">
                  <c:v>98.442000000000007</c:v>
                </c:pt>
                <c:pt idx="351">
                  <c:v>98.203999999999994</c:v>
                </c:pt>
                <c:pt idx="352">
                  <c:v>96.369</c:v>
                </c:pt>
                <c:pt idx="353">
                  <c:v>95.81</c:v>
                </c:pt>
                <c:pt idx="354">
                  <c:v>96.271999999999991</c:v>
                </c:pt>
                <c:pt idx="355">
                  <c:v>97.940000000000012</c:v>
                </c:pt>
                <c:pt idx="356">
                  <c:v>98.506</c:v>
                </c:pt>
                <c:pt idx="357">
                  <c:v>100.331</c:v>
                </c:pt>
                <c:pt idx="358">
                  <c:v>100.265</c:v>
                </c:pt>
                <c:pt idx="359">
                  <c:v>100.7</c:v>
                </c:pt>
                <c:pt idx="360">
                  <c:v>100.488</c:v>
                </c:pt>
                <c:pt idx="361">
                  <c:v>99.759</c:v>
                </c:pt>
                <c:pt idx="362">
                  <c:v>99.59</c:v>
                </c:pt>
                <c:pt idx="363">
                  <c:v>98.995999999999995</c:v>
                </c:pt>
                <c:pt idx="364">
                  <c:v>99.95</c:v>
                </c:pt>
                <c:pt idx="365">
                  <c:v>100.616</c:v>
                </c:pt>
                <c:pt idx="366">
                  <c:v>101.96700000000001</c:v>
                </c:pt>
                <c:pt idx="367">
                  <c:v>102.301</c:v>
                </c:pt>
                <c:pt idx="368">
                  <c:v>102.559</c:v>
                </c:pt>
                <c:pt idx="369">
                  <c:v>102.529</c:v>
                </c:pt>
                <c:pt idx="370">
                  <c:v>102.557</c:v>
                </c:pt>
                <c:pt idx="371">
                  <c:v>102.63200000000001</c:v>
                </c:pt>
                <c:pt idx="372">
                  <c:v>102.71400000000001</c:v>
                </c:pt>
                <c:pt idx="373">
                  <c:v>103.955</c:v>
                </c:pt>
                <c:pt idx="374">
                  <c:v>104.551</c:v>
                </c:pt>
                <c:pt idx="375">
                  <c:v>104.492</c:v>
                </c:pt>
                <c:pt idx="376">
                  <c:v>105.889</c:v>
                </c:pt>
                <c:pt idx="377">
                  <c:v>106.35499999999999</c:v>
                </c:pt>
                <c:pt idx="378">
                  <c:v>106.383</c:v>
                </c:pt>
                <c:pt idx="379">
                  <c:v>106.435</c:v>
                </c:pt>
                <c:pt idx="380">
                  <c:v>106.428</c:v>
                </c:pt>
                <c:pt idx="381">
                  <c:v>106.43300000000002</c:v>
                </c:pt>
                <c:pt idx="382">
                  <c:v>106.432</c:v>
                </c:pt>
                <c:pt idx="383">
                  <c:v>106.48699999999999</c:v>
                </c:pt>
                <c:pt idx="384">
                  <c:v>106.51900000000002</c:v>
                </c:pt>
                <c:pt idx="385">
                  <c:v>106.91900000000001</c:v>
                </c:pt>
                <c:pt idx="386">
                  <c:v>106.756</c:v>
                </c:pt>
                <c:pt idx="387">
                  <c:v>106.611</c:v>
                </c:pt>
                <c:pt idx="388">
                  <c:v>106.65499999999999</c:v>
                </c:pt>
                <c:pt idx="389">
                  <c:v>106.479</c:v>
                </c:pt>
                <c:pt idx="390">
                  <c:v>106.571</c:v>
                </c:pt>
                <c:pt idx="391">
                  <c:v>106.422</c:v>
                </c:pt>
                <c:pt idx="392">
                  <c:v>105.78700000000002</c:v>
                </c:pt>
                <c:pt idx="393">
                  <c:v>105.67299999999999</c:v>
                </c:pt>
                <c:pt idx="394">
                  <c:v>105.49400000000001</c:v>
                </c:pt>
                <c:pt idx="395">
                  <c:v>105.43100000000001</c:v>
                </c:pt>
                <c:pt idx="396">
                  <c:v>105.361</c:v>
                </c:pt>
                <c:pt idx="397">
                  <c:v>105.01400000000001</c:v>
                </c:pt>
                <c:pt idx="398">
                  <c:v>104.8</c:v>
                </c:pt>
                <c:pt idx="399">
                  <c:v>104.53100000000002</c:v>
                </c:pt>
                <c:pt idx="400">
                  <c:v>103.727</c:v>
                </c:pt>
                <c:pt idx="401">
                  <c:v>103.17700000000001</c:v>
                </c:pt>
                <c:pt idx="402">
                  <c:v>103.815</c:v>
                </c:pt>
                <c:pt idx="403">
                  <c:v>104.048</c:v>
                </c:pt>
                <c:pt idx="404">
                  <c:v>104.395</c:v>
                </c:pt>
                <c:pt idx="405">
                  <c:v>104.41500000000002</c:v>
                </c:pt>
                <c:pt idx="406">
                  <c:v>104.40100000000001</c:v>
                </c:pt>
                <c:pt idx="407">
                  <c:v>104.342</c:v>
                </c:pt>
                <c:pt idx="408">
                  <c:v>104.423</c:v>
                </c:pt>
                <c:pt idx="409">
                  <c:v>104.43899999999999</c:v>
                </c:pt>
                <c:pt idx="410">
                  <c:v>103.91200000000002</c:v>
                </c:pt>
                <c:pt idx="411">
                  <c:v>103.649</c:v>
                </c:pt>
                <c:pt idx="412">
                  <c:v>103.55500000000001</c:v>
                </c:pt>
                <c:pt idx="413">
                  <c:v>103.39100000000002</c:v>
                </c:pt>
                <c:pt idx="414">
                  <c:v>103.20699999999999</c:v>
                </c:pt>
                <c:pt idx="415">
                  <c:v>103.218</c:v>
                </c:pt>
                <c:pt idx="416">
                  <c:v>103.262</c:v>
                </c:pt>
                <c:pt idx="417">
                  <c:v>103.306</c:v>
                </c:pt>
                <c:pt idx="418">
                  <c:v>103.58499999999999</c:v>
                </c:pt>
                <c:pt idx="419">
                  <c:v>103.56699999999999</c:v>
                </c:pt>
                <c:pt idx="420">
                  <c:v>103.283</c:v>
                </c:pt>
                <c:pt idx="421">
                  <c:v>103.256</c:v>
                </c:pt>
                <c:pt idx="422">
                  <c:v>103.157</c:v>
                </c:pt>
                <c:pt idx="423">
                  <c:v>102.99700000000001</c:v>
                </c:pt>
                <c:pt idx="424">
                  <c:v>103.081</c:v>
                </c:pt>
                <c:pt idx="425">
                  <c:v>103.371</c:v>
                </c:pt>
                <c:pt idx="426">
                  <c:v>103.377</c:v>
                </c:pt>
                <c:pt idx="427">
                  <c:v>103.742</c:v>
                </c:pt>
                <c:pt idx="428">
                  <c:v>104.203</c:v>
                </c:pt>
                <c:pt idx="429">
                  <c:v>104.265</c:v>
                </c:pt>
                <c:pt idx="430">
                  <c:v>104.218</c:v>
                </c:pt>
                <c:pt idx="431">
                  <c:v>104.15900000000001</c:v>
                </c:pt>
                <c:pt idx="432">
                  <c:v>103.23</c:v>
                </c:pt>
                <c:pt idx="433">
                  <c:v>102.91800000000002</c:v>
                </c:pt>
                <c:pt idx="434">
                  <c:v>102.79100000000001</c:v>
                </c:pt>
                <c:pt idx="435">
                  <c:v>102.87499999999999</c:v>
                </c:pt>
                <c:pt idx="436">
                  <c:v>102.90400000000001</c:v>
                </c:pt>
                <c:pt idx="437">
                  <c:v>102.7</c:v>
                </c:pt>
                <c:pt idx="438">
                  <c:v>102.83799999999999</c:v>
                </c:pt>
                <c:pt idx="439">
                  <c:v>103.03100000000002</c:v>
                </c:pt>
                <c:pt idx="440">
                  <c:v>103.13</c:v>
                </c:pt>
                <c:pt idx="441">
                  <c:v>103.19199999999999</c:v>
                </c:pt>
                <c:pt idx="442">
                  <c:v>103.374</c:v>
                </c:pt>
                <c:pt idx="443">
                  <c:v>103.57499999999999</c:v>
                </c:pt>
                <c:pt idx="444">
                  <c:v>103.651</c:v>
                </c:pt>
                <c:pt idx="445">
                  <c:v>103.68499999999999</c:v>
                </c:pt>
                <c:pt idx="446">
                  <c:v>103.798</c:v>
                </c:pt>
                <c:pt idx="447">
                  <c:v>104.02500000000001</c:v>
                </c:pt>
                <c:pt idx="448">
                  <c:v>104.101</c:v>
                </c:pt>
                <c:pt idx="449">
                  <c:v>104.14100000000002</c:v>
                </c:pt>
                <c:pt idx="450">
                  <c:v>104.258</c:v>
                </c:pt>
                <c:pt idx="451">
                  <c:v>104.307</c:v>
                </c:pt>
                <c:pt idx="452">
                  <c:v>104.239</c:v>
                </c:pt>
                <c:pt idx="453">
                  <c:v>104.24700000000001</c:v>
                </c:pt>
                <c:pt idx="454">
                  <c:v>104.76700000000001</c:v>
                </c:pt>
                <c:pt idx="455">
                  <c:v>104.94400000000002</c:v>
                </c:pt>
                <c:pt idx="456">
                  <c:v>105.32799999999999</c:v>
                </c:pt>
                <c:pt idx="457">
                  <c:v>105.527</c:v>
                </c:pt>
                <c:pt idx="458">
                  <c:v>105.60599999999998</c:v>
                </c:pt>
                <c:pt idx="459">
                  <c:v>105.51600000000002</c:v>
                </c:pt>
                <c:pt idx="460">
                  <c:v>105.486</c:v>
                </c:pt>
                <c:pt idx="461">
                  <c:v>105.363</c:v>
                </c:pt>
                <c:pt idx="462">
                  <c:v>105.224</c:v>
                </c:pt>
                <c:pt idx="463">
                  <c:v>105.453</c:v>
                </c:pt>
                <c:pt idx="464">
                  <c:v>105.60199999999999</c:v>
                </c:pt>
                <c:pt idx="465">
                  <c:v>105.666</c:v>
                </c:pt>
                <c:pt idx="466">
                  <c:v>105.67499999999998</c:v>
                </c:pt>
                <c:pt idx="467">
                  <c:v>105.80800000000001</c:v>
                </c:pt>
                <c:pt idx="468">
                  <c:v>105.84399999999999</c:v>
                </c:pt>
                <c:pt idx="469">
                  <c:v>105.684</c:v>
                </c:pt>
                <c:pt idx="470">
                  <c:v>105.57199999999999</c:v>
                </c:pt>
                <c:pt idx="471">
                  <c:v>105.37899999999999</c:v>
                </c:pt>
                <c:pt idx="472">
                  <c:v>105.229</c:v>
                </c:pt>
                <c:pt idx="473">
                  <c:v>105.024</c:v>
                </c:pt>
                <c:pt idx="474">
                  <c:v>105.09699999999999</c:v>
                </c:pt>
                <c:pt idx="475">
                  <c:v>104.889</c:v>
                </c:pt>
                <c:pt idx="476">
                  <c:v>104.824</c:v>
                </c:pt>
                <c:pt idx="477">
                  <c:v>104.553</c:v>
                </c:pt>
                <c:pt idx="478">
                  <c:v>104.10499999999999</c:v>
                </c:pt>
                <c:pt idx="479">
                  <c:v>104.09099999999999</c:v>
                </c:pt>
                <c:pt idx="480">
                  <c:v>104.07499999999999</c:v>
                </c:pt>
                <c:pt idx="481">
                  <c:v>103.989</c:v>
                </c:pt>
                <c:pt idx="482">
                  <c:v>103.989</c:v>
                </c:pt>
                <c:pt idx="483">
                  <c:v>103.988</c:v>
                </c:pt>
                <c:pt idx="484">
                  <c:v>104.10799999999999</c:v>
                </c:pt>
                <c:pt idx="485">
                  <c:v>104.024</c:v>
                </c:pt>
                <c:pt idx="486">
                  <c:v>103.953</c:v>
                </c:pt>
                <c:pt idx="487">
                  <c:v>103.94500000000001</c:v>
                </c:pt>
                <c:pt idx="488">
                  <c:v>103.61799999999999</c:v>
                </c:pt>
                <c:pt idx="489">
                  <c:v>103.08199999999999</c:v>
                </c:pt>
                <c:pt idx="490">
                  <c:v>102.902</c:v>
                </c:pt>
                <c:pt idx="491">
                  <c:v>102.634</c:v>
                </c:pt>
                <c:pt idx="492">
                  <c:v>102.65900000000001</c:v>
                </c:pt>
                <c:pt idx="493">
                  <c:v>102.681</c:v>
                </c:pt>
                <c:pt idx="494">
                  <c:v>102.738</c:v>
                </c:pt>
                <c:pt idx="495">
                  <c:v>102.78700000000002</c:v>
                </c:pt>
                <c:pt idx="496">
                  <c:v>102.773</c:v>
                </c:pt>
                <c:pt idx="497">
                  <c:v>102.774</c:v>
                </c:pt>
                <c:pt idx="498">
                  <c:v>102.65600000000001</c:v>
                </c:pt>
                <c:pt idx="499">
                  <c:v>102.68899999999998</c:v>
                </c:pt>
                <c:pt idx="500">
                  <c:v>102.627</c:v>
                </c:pt>
                <c:pt idx="501">
                  <c:v>102.49900000000001</c:v>
                </c:pt>
                <c:pt idx="502">
                  <c:v>102.05500000000001</c:v>
                </c:pt>
                <c:pt idx="503">
                  <c:v>102.015</c:v>
                </c:pt>
              </c:numCache>
            </c:numRef>
          </c:val>
        </c:ser>
        <c:dLbls>
          <c:showLegendKey val="0"/>
          <c:showVal val="0"/>
          <c:showCatName val="0"/>
          <c:showSerName val="0"/>
          <c:showPercent val="0"/>
          <c:showBubbleSize val="0"/>
        </c:dLbls>
        <c:axId val="296814816"/>
        <c:axId val="296815208"/>
      </c:areaChart>
      <c:lineChart>
        <c:grouping val="standard"/>
        <c:varyColors val="0"/>
        <c:ser>
          <c:idx val="1"/>
          <c:order val="1"/>
          <c:tx>
            <c:strRef>
              <c:f>Eurobond!$H$3</c:f>
              <c:strCache>
                <c:ptCount val="1"/>
                <c:pt idx="0">
                  <c:v>Средњи принос до доспећа</c:v>
                </c:pt>
              </c:strCache>
            </c:strRef>
          </c:tx>
          <c:spPr>
            <a:ln w="22225" cap="rnd">
              <a:solidFill>
                <a:srgbClr val="9BBB59">
                  <a:lumMod val="50000"/>
                </a:srgbClr>
              </a:solidFill>
              <a:round/>
            </a:ln>
            <a:effectLst/>
          </c:spPr>
          <c:marker>
            <c:symbol val="none"/>
          </c:marker>
          <c:cat>
            <c:numRef>
              <c:f>Eurobond!$F$5:$F$509</c:f>
              <c:numCache>
                <c:formatCode>d/m/yyyy</c:formatCode>
                <c:ptCount val="505"/>
                <c:pt idx="0" formatCode="d\.m\.yyyy">
                  <c:v>0</c:v>
                </c:pt>
                <c:pt idx="1">
                  <c:v>41943</c:v>
                </c:pt>
                <c:pt idx="2">
                  <c:v>41942</c:v>
                </c:pt>
                <c:pt idx="3">
                  <c:v>41941</c:v>
                </c:pt>
                <c:pt idx="4">
                  <c:v>41940</c:v>
                </c:pt>
                <c:pt idx="5">
                  <c:v>41939</c:v>
                </c:pt>
                <c:pt idx="6">
                  <c:v>41936</c:v>
                </c:pt>
                <c:pt idx="7">
                  <c:v>41935</c:v>
                </c:pt>
                <c:pt idx="8">
                  <c:v>41934</c:v>
                </c:pt>
                <c:pt idx="9">
                  <c:v>41933</c:v>
                </c:pt>
                <c:pt idx="10">
                  <c:v>41932</c:v>
                </c:pt>
                <c:pt idx="11">
                  <c:v>41929</c:v>
                </c:pt>
                <c:pt idx="12">
                  <c:v>41928</c:v>
                </c:pt>
                <c:pt idx="13">
                  <c:v>41927</c:v>
                </c:pt>
                <c:pt idx="14">
                  <c:v>41926</c:v>
                </c:pt>
                <c:pt idx="15">
                  <c:v>41925</c:v>
                </c:pt>
                <c:pt idx="16">
                  <c:v>41922</c:v>
                </c:pt>
                <c:pt idx="17">
                  <c:v>41921</c:v>
                </c:pt>
                <c:pt idx="18">
                  <c:v>41920</c:v>
                </c:pt>
                <c:pt idx="19">
                  <c:v>41919</c:v>
                </c:pt>
                <c:pt idx="20">
                  <c:v>41918</c:v>
                </c:pt>
                <c:pt idx="21">
                  <c:v>41915</c:v>
                </c:pt>
                <c:pt idx="22">
                  <c:v>41914</c:v>
                </c:pt>
                <c:pt idx="23">
                  <c:v>41913</c:v>
                </c:pt>
                <c:pt idx="24">
                  <c:v>41912</c:v>
                </c:pt>
                <c:pt idx="25">
                  <c:v>41911</c:v>
                </c:pt>
                <c:pt idx="26">
                  <c:v>41908</c:v>
                </c:pt>
                <c:pt idx="27">
                  <c:v>41907</c:v>
                </c:pt>
                <c:pt idx="28">
                  <c:v>41906</c:v>
                </c:pt>
                <c:pt idx="29">
                  <c:v>41905</c:v>
                </c:pt>
                <c:pt idx="30">
                  <c:v>41904</c:v>
                </c:pt>
                <c:pt idx="31">
                  <c:v>41901</c:v>
                </c:pt>
                <c:pt idx="32">
                  <c:v>41900</c:v>
                </c:pt>
                <c:pt idx="33">
                  <c:v>41899</c:v>
                </c:pt>
                <c:pt idx="34">
                  <c:v>41898</c:v>
                </c:pt>
                <c:pt idx="35">
                  <c:v>41897</c:v>
                </c:pt>
                <c:pt idx="36">
                  <c:v>41894</c:v>
                </c:pt>
                <c:pt idx="37">
                  <c:v>41893</c:v>
                </c:pt>
                <c:pt idx="38">
                  <c:v>41892</c:v>
                </c:pt>
                <c:pt idx="39">
                  <c:v>41891</c:v>
                </c:pt>
                <c:pt idx="40">
                  <c:v>41890</c:v>
                </c:pt>
                <c:pt idx="41">
                  <c:v>41887</c:v>
                </c:pt>
                <c:pt idx="42">
                  <c:v>41886</c:v>
                </c:pt>
                <c:pt idx="43">
                  <c:v>41885</c:v>
                </c:pt>
                <c:pt idx="44">
                  <c:v>41884</c:v>
                </c:pt>
                <c:pt idx="45">
                  <c:v>41883</c:v>
                </c:pt>
                <c:pt idx="46">
                  <c:v>41880</c:v>
                </c:pt>
                <c:pt idx="47">
                  <c:v>41879</c:v>
                </c:pt>
                <c:pt idx="48">
                  <c:v>41878</c:v>
                </c:pt>
                <c:pt idx="49">
                  <c:v>41877</c:v>
                </c:pt>
                <c:pt idx="50">
                  <c:v>41876</c:v>
                </c:pt>
                <c:pt idx="51">
                  <c:v>41873</c:v>
                </c:pt>
                <c:pt idx="52">
                  <c:v>41872</c:v>
                </c:pt>
                <c:pt idx="53">
                  <c:v>41871</c:v>
                </c:pt>
                <c:pt idx="54">
                  <c:v>41870</c:v>
                </c:pt>
                <c:pt idx="55">
                  <c:v>41869</c:v>
                </c:pt>
                <c:pt idx="56">
                  <c:v>41866</c:v>
                </c:pt>
                <c:pt idx="57">
                  <c:v>41865</c:v>
                </c:pt>
                <c:pt idx="58">
                  <c:v>41864</c:v>
                </c:pt>
                <c:pt idx="59">
                  <c:v>41863</c:v>
                </c:pt>
                <c:pt idx="60">
                  <c:v>41862</c:v>
                </c:pt>
                <c:pt idx="61">
                  <c:v>41859</c:v>
                </c:pt>
                <c:pt idx="62">
                  <c:v>41858</c:v>
                </c:pt>
                <c:pt idx="63">
                  <c:v>41857</c:v>
                </c:pt>
                <c:pt idx="64">
                  <c:v>41856</c:v>
                </c:pt>
                <c:pt idx="65">
                  <c:v>41855</c:v>
                </c:pt>
                <c:pt idx="66">
                  <c:v>41852</c:v>
                </c:pt>
                <c:pt idx="67">
                  <c:v>41851</c:v>
                </c:pt>
                <c:pt idx="68">
                  <c:v>41850</c:v>
                </c:pt>
                <c:pt idx="69">
                  <c:v>41849</c:v>
                </c:pt>
                <c:pt idx="70">
                  <c:v>41848</c:v>
                </c:pt>
                <c:pt idx="71">
                  <c:v>41845</c:v>
                </c:pt>
                <c:pt idx="72">
                  <c:v>41844</c:v>
                </c:pt>
                <c:pt idx="73">
                  <c:v>41843</c:v>
                </c:pt>
                <c:pt idx="74">
                  <c:v>41842</c:v>
                </c:pt>
                <c:pt idx="75">
                  <c:v>41841</c:v>
                </c:pt>
                <c:pt idx="76">
                  <c:v>41838</c:v>
                </c:pt>
                <c:pt idx="77">
                  <c:v>41837</c:v>
                </c:pt>
                <c:pt idx="78">
                  <c:v>41836</c:v>
                </c:pt>
                <c:pt idx="79">
                  <c:v>41835</c:v>
                </c:pt>
                <c:pt idx="80">
                  <c:v>41834</c:v>
                </c:pt>
                <c:pt idx="81">
                  <c:v>41831</c:v>
                </c:pt>
                <c:pt idx="82">
                  <c:v>41830</c:v>
                </c:pt>
                <c:pt idx="83">
                  <c:v>41829</c:v>
                </c:pt>
                <c:pt idx="84">
                  <c:v>41828</c:v>
                </c:pt>
                <c:pt idx="85">
                  <c:v>41827</c:v>
                </c:pt>
                <c:pt idx="86">
                  <c:v>41824</c:v>
                </c:pt>
                <c:pt idx="87">
                  <c:v>41823</c:v>
                </c:pt>
                <c:pt idx="88">
                  <c:v>41822</c:v>
                </c:pt>
                <c:pt idx="89">
                  <c:v>41821</c:v>
                </c:pt>
                <c:pt idx="90">
                  <c:v>41820</c:v>
                </c:pt>
                <c:pt idx="91">
                  <c:v>41817</c:v>
                </c:pt>
                <c:pt idx="92">
                  <c:v>41816</c:v>
                </c:pt>
                <c:pt idx="93">
                  <c:v>41815</c:v>
                </c:pt>
                <c:pt idx="94">
                  <c:v>41814</c:v>
                </c:pt>
                <c:pt idx="95">
                  <c:v>41813</c:v>
                </c:pt>
                <c:pt idx="96">
                  <c:v>41810</c:v>
                </c:pt>
                <c:pt idx="97">
                  <c:v>41809</c:v>
                </c:pt>
                <c:pt idx="98">
                  <c:v>41808</c:v>
                </c:pt>
                <c:pt idx="99">
                  <c:v>41807</c:v>
                </c:pt>
                <c:pt idx="100">
                  <c:v>41806</c:v>
                </c:pt>
                <c:pt idx="101">
                  <c:v>41803</c:v>
                </c:pt>
                <c:pt idx="102">
                  <c:v>41802</c:v>
                </c:pt>
                <c:pt idx="103">
                  <c:v>41801</c:v>
                </c:pt>
                <c:pt idx="104">
                  <c:v>41800</c:v>
                </c:pt>
                <c:pt idx="105">
                  <c:v>41799</c:v>
                </c:pt>
                <c:pt idx="106">
                  <c:v>41796</c:v>
                </c:pt>
                <c:pt idx="107">
                  <c:v>41795</c:v>
                </c:pt>
                <c:pt idx="108">
                  <c:v>41794</c:v>
                </c:pt>
                <c:pt idx="109">
                  <c:v>41793</c:v>
                </c:pt>
                <c:pt idx="110">
                  <c:v>41792</c:v>
                </c:pt>
                <c:pt idx="111">
                  <c:v>41789</c:v>
                </c:pt>
                <c:pt idx="112">
                  <c:v>41788</c:v>
                </c:pt>
                <c:pt idx="113">
                  <c:v>41787</c:v>
                </c:pt>
                <c:pt idx="114">
                  <c:v>41786</c:v>
                </c:pt>
                <c:pt idx="115">
                  <c:v>41785</c:v>
                </c:pt>
                <c:pt idx="116">
                  <c:v>41782</c:v>
                </c:pt>
                <c:pt idx="117">
                  <c:v>41781</c:v>
                </c:pt>
                <c:pt idx="118">
                  <c:v>41780</c:v>
                </c:pt>
                <c:pt idx="119">
                  <c:v>41779</c:v>
                </c:pt>
                <c:pt idx="120">
                  <c:v>41778</c:v>
                </c:pt>
                <c:pt idx="121">
                  <c:v>41775</c:v>
                </c:pt>
                <c:pt idx="122">
                  <c:v>41774</c:v>
                </c:pt>
                <c:pt idx="123">
                  <c:v>41773</c:v>
                </c:pt>
                <c:pt idx="124">
                  <c:v>41772</c:v>
                </c:pt>
                <c:pt idx="125">
                  <c:v>41771</c:v>
                </c:pt>
                <c:pt idx="126">
                  <c:v>41768</c:v>
                </c:pt>
                <c:pt idx="127">
                  <c:v>41767</c:v>
                </c:pt>
                <c:pt idx="128">
                  <c:v>41766</c:v>
                </c:pt>
                <c:pt idx="129">
                  <c:v>41765</c:v>
                </c:pt>
                <c:pt idx="130">
                  <c:v>41764</c:v>
                </c:pt>
                <c:pt idx="131">
                  <c:v>41761</c:v>
                </c:pt>
                <c:pt idx="132">
                  <c:v>41760</c:v>
                </c:pt>
                <c:pt idx="133">
                  <c:v>41759</c:v>
                </c:pt>
                <c:pt idx="134">
                  <c:v>41758</c:v>
                </c:pt>
                <c:pt idx="135">
                  <c:v>41757</c:v>
                </c:pt>
                <c:pt idx="136">
                  <c:v>41754</c:v>
                </c:pt>
                <c:pt idx="137">
                  <c:v>41753</c:v>
                </c:pt>
                <c:pt idx="138">
                  <c:v>41752</c:v>
                </c:pt>
                <c:pt idx="139">
                  <c:v>41751</c:v>
                </c:pt>
                <c:pt idx="140">
                  <c:v>41750</c:v>
                </c:pt>
                <c:pt idx="141">
                  <c:v>41747</c:v>
                </c:pt>
                <c:pt idx="142">
                  <c:v>41746</c:v>
                </c:pt>
                <c:pt idx="143">
                  <c:v>41745</c:v>
                </c:pt>
                <c:pt idx="144">
                  <c:v>41744</c:v>
                </c:pt>
                <c:pt idx="145">
                  <c:v>41743</c:v>
                </c:pt>
                <c:pt idx="146">
                  <c:v>41740</c:v>
                </c:pt>
                <c:pt idx="147">
                  <c:v>41739</c:v>
                </c:pt>
                <c:pt idx="148">
                  <c:v>41738</c:v>
                </c:pt>
                <c:pt idx="149">
                  <c:v>41737</c:v>
                </c:pt>
                <c:pt idx="150">
                  <c:v>41736</c:v>
                </c:pt>
                <c:pt idx="151">
                  <c:v>41733</c:v>
                </c:pt>
                <c:pt idx="152">
                  <c:v>41732</c:v>
                </c:pt>
                <c:pt idx="153">
                  <c:v>41731</c:v>
                </c:pt>
                <c:pt idx="154">
                  <c:v>41730</c:v>
                </c:pt>
                <c:pt idx="155">
                  <c:v>41729</c:v>
                </c:pt>
                <c:pt idx="156">
                  <c:v>41726</c:v>
                </c:pt>
                <c:pt idx="157">
                  <c:v>41725</c:v>
                </c:pt>
                <c:pt idx="158">
                  <c:v>41724</c:v>
                </c:pt>
                <c:pt idx="159">
                  <c:v>41723</c:v>
                </c:pt>
                <c:pt idx="160">
                  <c:v>41722</c:v>
                </c:pt>
                <c:pt idx="161">
                  <c:v>41719</c:v>
                </c:pt>
                <c:pt idx="162">
                  <c:v>41718</c:v>
                </c:pt>
                <c:pt idx="163">
                  <c:v>41717</c:v>
                </c:pt>
                <c:pt idx="164">
                  <c:v>41716</c:v>
                </c:pt>
                <c:pt idx="165">
                  <c:v>41715</c:v>
                </c:pt>
                <c:pt idx="166">
                  <c:v>41712</c:v>
                </c:pt>
                <c:pt idx="167">
                  <c:v>41711</c:v>
                </c:pt>
                <c:pt idx="168">
                  <c:v>41710</c:v>
                </c:pt>
                <c:pt idx="169">
                  <c:v>41709</c:v>
                </c:pt>
                <c:pt idx="170">
                  <c:v>41708</c:v>
                </c:pt>
                <c:pt idx="171">
                  <c:v>41705</c:v>
                </c:pt>
                <c:pt idx="172">
                  <c:v>41704</c:v>
                </c:pt>
                <c:pt idx="173">
                  <c:v>41703</c:v>
                </c:pt>
                <c:pt idx="174">
                  <c:v>41702</c:v>
                </c:pt>
                <c:pt idx="175">
                  <c:v>41701</c:v>
                </c:pt>
                <c:pt idx="176">
                  <c:v>41698</c:v>
                </c:pt>
                <c:pt idx="177">
                  <c:v>41697</c:v>
                </c:pt>
                <c:pt idx="178">
                  <c:v>41696</c:v>
                </c:pt>
                <c:pt idx="179">
                  <c:v>41695</c:v>
                </c:pt>
                <c:pt idx="180">
                  <c:v>41694</c:v>
                </c:pt>
                <c:pt idx="181">
                  <c:v>41691</c:v>
                </c:pt>
                <c:pt idx="182">
                  <c:v>41690</c:v>
                </c:pt>
                <c:pt idx="183">
                  <c:v>41689</c:v>
                </c:pt>
                <c:pt idx="184">
                  <c:v>41688</c:v>
                </c:pt>
                <c:pt idx="185">
                  <c:v>41687</c:v>
                </c:pt>
                <c:pt idx="186">
                  <c:v>41684</c:v>
                </c:pt>
                <c:pt idx="187">
                  <c:v>41683</c:v>
                </c:pt>
                <c:pt idx="188">
                  <c:v>41682</c:v>
                </c:pt>
                <c:pt idx="189">
                  <c:v>41681</c:v>
                </c:pt>
                <c:pt idx="190">
                  <c:v>41680</c:v>
                </c:pt>
                <c:pt idx="191">
                  <c:v>41677</c:v>
                </c:pt>
                <c:pt idx="192">
                  <c:v>41676</c:v>
                </c:pt>
                <c:pt idx="193">
                  <c:v>41675</c:v>
                </c:pt>
                <c:pt idx="194">
                  <c:v>41674</c:v>
                </c:pt>
                <c:pt idx="195">
                  <c:v>41673</c:v>
                </c:pt>
                <c:pt idx="196">
                  <c:v>41670</c:v>
                </c:pt>
                <c:pt idx="197">
                  <c:v>41669</c:v>
                </c:pt>
                <c:pt idx="198">
                  <c:v>41668</c:v>
                </c:pt>
                <c:pt idx="199">
                  <c:v>41667</c:v>
                </c:pt>
                <c:pt idx="200">
                  <c:v>41666</c:v>
                </c:pt>
                <c:pt idx="201">
                  <c:v>41663</c:v>
                </c:pt>
                <c:pt idx="202">
                  <c:v>41662</c:v>
                </c:pt>
                <c:pt idx="203">
                  <c:v>41661</c:v>
                </c:pt>
                <c:pt idx="204">
                  <c:v>41660</c:v>
                </c:pt>
                <c:pt idx="205">
                  <c:v>41659</c:v>
                </c:pt>
                <c:pt idx="206">
                  <c:v>41656</c:v>
                </c:pt>
                <c:pt idx="207">
                  <c:v>41655</c:v>
                </c:pt>
                <c:pt idx="208">
                  <c:v>41654</c:v>
                </c:pt>
                <c:pt idx="209">
                  <c:v>41653</c:v>
                </c:pt>
                <c:pt idx="210">
                  <c:v>41652</c:v>
                </c:pt>
                <c:pt idx="211">
                  <c:v>41649</c:v>
                </c:pt>
                <c:pt idx="212">
                  <c:v>41648</c:v>
                </c:pt>
                <c:pt idx="213">
                  <c:v>41647</c:v>
                </c:pt>
                <c:pt idx="214">
                  <c:v>41646</c:v>
                </c:pt>
                <c:pt idx="215">
                  <c:v>41645</c:v>
                </c:pt>
                <c:pt idx="216">
                  <c:v>41642</c:v>
                </c:pt>
                <c:pt idx="217">
                  <c:v>41641</c:v>
                </c:pt>
                <c:pt idx="218">
                  <c:v>41640</c:v>
                </c:pt>
                <c:pt idx="219">
                  <c:v>41639</c:v>
                </c:pt>
                <c:pt idx="220">
                  <c:v>41638</c:v>
                </c:pt>
                <c:pt idx="221">
                  <c:v>41635</c:v>
                </c:pt>
                <c:pt idx="222">
                  <c:v>41634</c:v>
                </c:pt>
                <c:pt idx="223">
                  <c:v>41633</c:v>
                </c:pt>
                <c:pt idx="224">
                  <c:v>41632</c:v>
                </c:pt>
                <c:pt idx="225">
                  <c:v>41631</c:v>
                </c:pt>
                <c:pt idx="226">
                  <c:v>41628</c:v>
                </c:pt>
                <c:pt idx="227">
                  <c:v>41627</c:v>
                </c:pt>
                <c:pt idx="228">
                  <c:v>41626</c:v>
                </c:pt>
                <c:pt idx="229">
                  <c:v>41625</c:v>
                </c:pt>
                <c:pt idx="230">
                  <c:v>41624</c:v>
                </c:pt>
                <c:pt idx="231">
                  <c:v>41621</c:v>
                </c:pt>
                <c:pt idx="232">
                  <c:v>41620</c:v>
                </c:pt>
                <c:pt idx="233">
                  <c:v>41619</c:v>
                </c:pt>
                <c:pt idx="234">
                  <c:v>41618</c:v>
                </c:pt>
                <c:pt idx="235">
                  <c:v>41617</c:v>
                </c:pt>
                <c:pt idx="236">
                  <c:v>41614</c:v>
                </c:pt>
                <c:pt idx="237">
                  <c:v>41613</c:v>
                </c:pt>
                <c:pt idx="238">
                  <c:v>41612</c:v>
                </c:pt>
                <c:pt idx="239">
                  <c:v>41611</c:v>
                </c:pt>
                <c:pt idx="240">
                  <c:v>41610</c:v>
                </c:pt>
                <c:pt idx="241">
                  <c:v>41607</c:v>
                </c:pt>
                <c:pt idx="242">
                  <c:v>41606</c:v>
                </c:pt>
                <c:pt idx="243">
                  <c:v>41605</c:v>
                </c:pt>
                <c:pt idx="244">
                  <c:v>41604</c:v>
                </c:pt>
                <c:pt idx="245">
                  <c:v>41603</c:v>
                </c:pt>
                <c:pt idx="246">
                  <c:v>41600</c:v>
                </c:pt>
                <c:pt idx="247">
                  <c:v>41599</c:v>
                </c:pt>
                <c:pt idx="248">
                  <c:v>41598</c:v>
                </c:pt>
                <c:pt idx="249">
                  <c:v>41597</c:v>
                </c:pt>
                <c:pt idx="250">
                  <c:v>41596</c:v>
                </c:pt>
                <c:pt idx="251">
                  <c:v>41593</c:v>
                </c:pt>
                <c:pt idx="252">
                  <c:v>41592</c:v>
                </c:pt>
                <c:pt idx="253">
                  <c:v>41591</c:v>
                </c:pt>
                <c:pt idx="254">
                  <c:v>41590</c:v>
                </c:pt>
                <c:pt idx="255">
                  <c:v>41589</c:v>
                </c:pt>
                <c:pt idx="256">
                  <c:v>41586</c:v>
                </c:pt>
                <c:pt idx="257">
                  <c:v>41585</c:v>
                </c:pt>
                <c:pt idx="258">
                  <c:v>41584</c:v>
                </c:pt>
                <c:pt idx="259">
                  <c:v>41583</c:v>
                </c:pt>
                <c:pt idx="260">
                  <c:v>41582</c:v>
                </c:pt>
                <c:pt idx="261">
                  <c:v>41579</c:v>
                </c:pt>
                <c:pt idx="262">
                  <c:v>41578</c:v>
                </c:pt>
                <c:pt idx="263">
                  <c:v>41577</c:v>
                </c:pt>
                <c:pt idx="264">
                  <c:v>41576</c:v>
                </c:pt>
                <c:pt idx="265">
                  <c:v>41575</c:v>
                </c:pt>
                <c:pt idx="266">
                  <c:v>41572</c:v>
                </c:pt>
                <c:pt idx="267">
                  <c:v>41571</c:v>
                </c:pt>
                <c:pt idx="268">
                  <c:v>41570</c:v>
                </c:pt>
                <c:pt idx="269">
                  <c:v>41569</c:v>
                </c:pt>
                <c:pt idx="270">
                  <c:v>41568</c:v>
                </c:pt>
                <c:pt idx="271">
                  <c:v>41565</c:v>
                </c:pt>
                <c:pt idx="272">
                  <c:v>41564</c:v>
                </c:pt>
                <c:pt idx="273">
                  <c:v>41563</c:v>
                </c:pt>
                <c:pt idx="274">
                  <c:v>41562</c:v>
                </c:pt>
                <c:pt idx="275">
                  <c:v>41561</c:v>
                </c:pt>
                <c:pt idx="276">
                  <c:v>41558</c:v>
                </c:pt>
                <c:pt idx="277">
                  <c:v>41557</c:v>
                </c:pt>
                <c:pt idx="278">
                  <c:v>41556</c:v>
                </c:pt>
                <c:pt idx="279">
                  <c:v>41555</c:v>
                </c:pt>
                <c:pt idx="280">
                  <c:v>41554</c:v>
                </c:pt>
                <c:pt idx="281">
                  <c:v>41551</c:v>
                </c:pt>
                <c:pt idx="282">
                  <c:v>41550</c:v>
                </c:pt>
                <c:pt idx="283">
                  <c:v>41549</c:v>
                </c:pt>
                <c:pt idx="284">
                  <c:v>41548</c:v>
                </c:pt>
                <c:pt idx="285">
                  <c:v>41547</c:v>
                </c:pt>
                <c:pt idx="286">
                  <c:v>41544</c:v>
                </c:pt>
                <c:pt idx="287">
                  <c:v>41543</c:v>
                </c:pt>
                <c:pt idx="288">
                  <c:v>41542</c:v>
                </c:pt>
                <c:pt idx="289">
                  <c:v>41541</c:v>
                </c:pt>
                <c:pt idx="290">
                  <c:v>41540</c:v>
                </c:pt>
                <c:pt idx="291">
                  <c:v>41537</c:v>
                </c:pt>
                <c:pt idx="292">
                  <c:v>41536</c:v>
                </c:pt>
                <c:pt idx="293">
                  <c:v>41535</c:v>
                </c:pt>
                <c:pt idx="294">
                  <c:v>41534</c:v>
                </c:pt>
                <c:pt idx="295">
                  <c:v>41533</c:v>
                </c:pt>
                <c:pt idx="296">
                  <c:v>41530</c:v>
                </c:pt>
                <c:pt idx="297">
                  <c:v>41529</c:v>
                </c:pt>
                <c:pt idx="298">
                  <c:v>41528</c:v>
                </c:pt>
                <c:pt idx="299">
                  <c:v>41527</c:v>
                </c:pt>
                <c:pt idx="300">
                  <c:v>41526</c:v>
                </c:pt>
                <c:pt idx="301">
                  <c:v>41523</c:v>
                </c:pt>
                <c:pt idx="302">
                  <c:v>41522</c:v>
                </c:pt>
                <c:pt idx="303">
                  <c:v>41521</c:v>
                </c:pt>
                <c:pt idx="304">
                  <c:v>41520</c:v>
                </c:pt>
                <c:pt idx="305">
                  <c:v>41519</c:v>
                </c:pt>
                <c:pt idx="306">
                  <c:v>41516</c:v>
                </c:pt>
                <c:pt idx="307">
                  <c:v>41515</c:v>
                </c:pt>
                <c:pt idx="308">
                  <c:v>41514</c:v>
                </c:pt>
                <c:pt idx="309">
                  <c:v>41513</c:v>
                </c:pt>
                <c:pt idx="310">
                  <c:v>41512</c:v>
                </c:pt>
                <c:pt idx="311">
                  <c:v>41509</c:v>
                </c:pt>
                <c:pt idx="312">
                  <c:v>41508</c:v>
                </c:pt>
                <c:pt idx="313">
                  <c:v>41507</c:v>
                </c:pt>
                <c:pt idx="314">
                  <c:v>41506</c:v>
                </c:pt>
                <c:pt idx="315">
                  <c:v>41505</c:v>
                </c:pt>
                <c:pt idx="316">
                  <c:v>41502</c:v>
                </c:pt>
                <c:pt idx="317">
                  <c:v>41501</c:v>
                </c:pt>
                <c:pt idx="318">
                  <c:v>41500</c:v>
                </c:pt>
                <c:pt idx="319">
                  <c:v>41499</c:v>
                </c:pt>
                <c:pt idx="320">
                  <c:v>41498</c:v>
                </c:pt>
                <c:pt idx="321">
                  <c:v>41495</c:v>
                </c:pt>
                <c:pt idx="322">
                  <c:v>41494</c:v>
                </c:pt>
                <c:pt idx="323">
                  <c:v>41493</c:v>
                </c:pt>
                <c:pt idx="324">
                  <c:v>41492</c:v>
                </c:pt>
                <c:pt idx="325">
                  <c:v>41491</c:v>
                </c:pt>
                <c:pt idx="326">
                  <c:v>41488</c:v>
                </c:pt>
                <c:pt idx="327">
                  <c:v>41487</c:v>
                </c:pt>
                <c:pt idx="328">
                  <c:v>41486</c:v>
                </c:pt>
                <c:pt idx="329">
                  <c:v>41485</c:v>
                </c:pt>
                <c:pt idx="330">
                  <c:v>41484</c:v>
                </c:pt>
                <c:pt idx="331">
                  <c:v>41481</c:v>
                </c:pt>
                <c:pt idx="332">
                  <c:v>41480</c:v>
                </c:pt>
                <c:pt idx="333">
                  <c:v>41479</c:v>
                </c:pt>
                <c:pt idx="334">
                  <c:v>41478</c:v>
                </c:pt>
                <c:pt idx="335">
                  <c:v>41477</c:v>
                </c:pt>
                <c:pt idx="336">
                  <c:v>41474</c:v>
                </c:pt>
                <c:pt idx="337">
                  <c:v>41473</c:v>
                </c:pt>
                <c:pt idx="338">
                  <c:v>41472</c:v>
                </c:pt>
                <c:pt idx="339">
                  <c:v>41471</c:v>
                </c:pt>
                <c:pt idx="340">
                  <c:v>41470</c:v>
                </c:pt>
                <c:pt idx="341">
                  <c:v>41467</c:v>
                </c:pt>
                <c:pt idx="342">
                  <c:v>41466</c:v>
                </c:pt>
                <c:pt idx="343">
                  <c:v>41465</c:v>
                </c:pt>
                <c:pt idx="344">
                  <c:v>41464</c:v>
                </c:pt>
                <c:pt idx="345">
                  <c:v>41463</c:v>
                </c:pt>
                <c:pt idx="346">
                  <c:v>41460</c:v>
                </c:pt>
                <c:pt idx="347">
                  <c:v>41459</c:v>
                </c:pt>
                <c:pt idx="348">
                  <c:v>41458</c:v>
                </c:pt>
                <c:pt idx="349">
                  <c:v>41457</c:v>
                </c:pt>
                <c:pt idx="350">
                  <c:v>41456</c:v>
                </c:pt>
                <c:pt idx="351">
                  <c:v>41453</c:v>
                </c:pt>
                <c:pt idx="352">
                  <c:v>41452</c:v>
                </c:pt>
                <c:pt idx="353">
                  <c:v>41451</c:v>
                </c:pt>
                <c:pt idx="354">
                  <c:v>41450</c:v>
                </c:pt>
                <c:pt idx="355">
                  <c:v>41449</c:v>
                </c:pt>
                <c:pt idx="356">
                  <c:v>41446</c:v>
                </c:pt>
                <c:pt idx="357">
                  <c:v>41445</c:v>
                </c:pt>
                <c:pt idx="358">
                  <c:v>41444</c:v>
                </c:pt>
                <c:pt idx="359">
                  <c:v>41443</c:v>
                </c:pt>
                <c:pt idx="360">
                  <c:v>41442</c:v>
                </c:pt>
                <c:pt idx="361">
                  <c:v>41439</c:v>
                </c:pt>
                <c:pt idx="362">
                  <c:v>41438</c:v>
                </c:pt>
                <c:pt idx="363">
                  <c:v>41437</c:v>
                </c:pt>
                <c:pt idx="364">
                  <c:v>41436</c:v>
                </c:pt>
                <c:pt idx="365">
                  <c:v>41435</c:v>
                </c:pt>
                <c:pt idx="366">
                  <c:v>41432</c:v>
                </c:pt>
                <c:pt idx="367">
                  <c:v>41431</c:v>
                </c:pt>
                <c:pt idx="368">
                  <c:v>41430</c:v>
                </c:pt>
                <c:pt idx="369">
                  <c:v>41429</c:v>
                </c:pt>
                <c:pt idx="370">
                  <c:v>41428</c:v>
                </c:pt>
                <c:pt idx="371">
                  <c:v>41425</c:v>
                </c:pt>
                <c:pt idx="372">
                  <c:v>41424</c:v>
                </c:pt>
                <c:pt idx="373">
                  <c:v>41423</c:v>
                </c:pt>
                <c:pt idx="374">
                  <c:v>41422</c:v>
                </c:pt>
                <c:pt idx="375">
                  <c:v>41421</c:v>
                </c:pt>
                <c:pt idx="376">
                  <c:v>41418</c:v>
                </c:pt>
                <c:pt idx="377">
                  <c:v>41417</c:v>
                </c:pt>
                <c:pt idx="378">
                  <c:v>41416</c:v>
                </c:pt>
                <c:pt idx="379">
                  <c:v>41415</c:v>
                </c:pt>
                <c:pt idx="380">
                  <c:v>41414</c:v>
                </c:pt>
                <c:pt idx="381">
                  <c:v>41411</c:v>
                </c:pt>
                <c:pt idx="382">
                  <c:v>41410</c:v>
                </c:pt>
                <c:pt idx="383">
                  <c:v>41409</c:v>
                </c:pt>
                <c:pt idx="384">
                  <c:v>41408</c:v>
                </c:pt>
                <c:pt idx="385">
                  <c:v>41407</c:v>
                </c:pt>
                <c:pt idx="386">
                  <c:v>41404</c:v>
                </c:pt>
                <c:pt idx="387">
                  <c:v>41403</c:v>
                </c:pt>
                <c:pt idx="388">
                  <c:v>41402</c:v>
                </c:pt>
                <c:pt idx="389">
                  <c:v>41401</c:v>
                </c:pt>
                <c:pt idx="390">
                  <c:v>41400</c:v>
                </c:pt>
                <c:pt idx="391">
                  <c:v>41397</c:v>
                </c:pt>
                <c:pt idx="392">
                  <c:v>41396</c:v>
                </c:pt>
                <c:pt idx="393">
                  <c:v>41395</c:v>
                </c:pt>
                <c:pt idx="394">
                  <c:v>41394</c:v>
                </c:pt>
                <c:pt idx="395">
                  <c:v>41393</c:v>
                </c:pt>
                <c:pt idx="396">
                  <c:v>41390</c:v>
                </c:pt>
                <c:pt idx="397">
                  <c:v>41389</c:v>
                </c:pt>
                <c:pt idx="398">
                  <c:v>41388</c:v>
                </c:pt>
                <c:pt idx="399">
                  <c:v>41387</c:v>
                </c:pt>
                <c:pt idx="400">
                  <c:v>41386</c:v>
                </c:pt>
                <c:pt idx="401">
                  <c:v>41383</c:v>
                </c:pt>
                <c:pt idx="402">
                  <c:v>41382</c:v>
                </c:pt>
                <c:pt idx="403">
                  <c:v>41381</c:v>
                </c:pt>
                <c:pt idx="404">
                  <c:v>41380</c:v>
                </c:pt>
                <c:pt idx="405">
                  <c:v>41379</c:v>
                </c:pt>
                <c:pt idx="406">
                  <c:v>41376</c:v>
                </c:pt>
                <c:pt idx="407">
                  <c:v>41375</c:v>
                </c:pt>
                <c:pt idx="408">
                  <c:v>41374</c:v>
                </c:pt>
                <c:pt idx="409">
                  <c:v>41373</c:v>
                </c:pt>
                <c:pt idx="410">
                  <c:v>41372</c:v>
                </c:pt>
                <c:pt idx="411">
                  <c:v>41369</c:v>
                </c:pt>
                <c:pt idx="412">
                  <c:v>41368</c:v>
                </c:pt>
                <c:pt idx="413">
                  <c:v>41367</c:v>
                </c:pt>
                <c:pt idx="414">
                  <c:v>41366</c:v>
                </c:pt>
                <c:pt idx="415">
                  <c:v>41365</c:v>
                </c:pt>
                <c:pt idx="416">
                  <c:v>41362</c:v>
                </c:pt>
                <c:pt idx="417">
                  <c:v>41361</c:v>
                </c:pt>
                <c:pt idx="418">
                  <c:v>41360</c:v>
                </c:pt>
                <c:pt idx="419">
                  <c:v>41359</c:v>
                </c:pt>
                <c:pt idx="420">
                  <c:v>41358</c:v>
                </c:pt>
                <c:pt idx="421">
                  <c:v>41355</c:v>
                </c:pt>
                <c:pt idx="422">
                  <c:v>41354</c:v>
                </c:pt>
                <c:pt idx="423">
                  <c:v>41353</c:v>
                </c:pt>
                <c:pt idx="424">
                  <c:v>41352</c:v>
                </c:pt>
                <c:pt idx="425">
                  <c:v>41351</c:v>
                </c:pt>
                <c:pt idx="426">
                  <c:v>41348</c:v>
                </c:pt>
                <c:pt idx="427">
                  <c:v>41347</c:v>
                </c:pt>
                <c:pt idx="428">
                  <c:v>41346</c:v>
                </c:pt>
                <c:pt idx="429">
                  <c:v>41345</c:v>
                </c:pt>
                <c:pt idx="430">
                  <c:v>41344</c:v>
                </c:pt>
                <c:pt idx="431">
                  <c:v>41341</c:v>
                </c:pt>
                <c:pt idx="432">
                  <c:v>41340</c:v>
                </c:pt>
                <c:pt idx="433">
                  <c:v>41339</c:v>
                </c:pt>
                <c:pt idx="434">
                  <c:v>41338</c:v>
                </c:pt>
                <c:pt idx="435">
                  <c:v>41337</c:v>
                </c:pt>
                <c:pt idx="436">
                  <c:v>41334</c:v>
                </c:pt>
                <c:pt idx="437">
                  <c:v>41333</c:v>
                </c:pt>
                <c:pt idx="438">
                  <c:v>41332</c:v>
                </c:pt>
                <c:pt idx="439">
                  <c:v>41331</c:v>
                </c:pt>
                <c:pt idx="440">
                  <c:v>41330</c:v>
                </c:pt>
                <c:pt idx="441">
                  <c:v>41327</c:v>
                </c:pt>
                <c:pt idx="442">
                  <c:v>41326</c:v>
                </c:pt>
                <c:pt idx="443">
                  <c:v>41325</c:v>
                </c:pt>
                <c:pt idx="444">
                  <c:v>41324</c:v>
                </c:pt>
                <c:pt idx="445">
                  <c:v>41323</c:v>
                </c:pt>
                <c:pt idx="446">
                  <c:v>41320</c:v>
                </c:pt>
                <c:pt idx="447">
                  <c:v>41319</c:v>
                </c:pt>
                <c:pt idx="448">
                  <c:v>41318</c:v>
                </c:pt>
                <c:pt idx="449">
                  <c:v>41317</c:v>
                </c:pt>
                <c:pt idx="450">
                  <c:v>41316</c:v>
                </c:pt>
                <c:pt idx="451">
                  <c:v>41313</c:v>
                </c:pt>
                <c:pt idx="452">
                  <c:v>41312</c:v>
                </c:pt>
                <c:pt idx="453">
                  <c:v>41311</c:v>
                </c:pt>
                <c:pt idx="454">
                  <c:v>41310</c:v>
                </c:pt>
                <c:pt idx="455">
                  <c:v>41309</c:v>
                </c:pt>
                <c:pt idx="456">
                  <c:v>41306</c:v>
                </c:pt>
                <c:pt idx="457">
                  <c:v>41305</c:v>
                </c:pt>
                <c:pt idx="458">
                  <c:v>41304</c:v>
                </c:pt>
                <c:pt idx="459">
                  <c:v>41303</c:v>
                </c:pt>
                <c:pt idx="460">
                  <c:v>41302</c:v>
                </c:pt>
                <c:pt idx="461">
                  <c:v>41299</c:v>
                </c:pt>
                <c:pt idx="462">
                  <c:v>41298</c:v>
                </c:pt>
                <c:pt idx="463">
                  <c:v>41297</c:v>
                </c:pt>
                <c:pt idx="464">
                  <c:v>41296</c:v>
                </c:pt>
                <c:pt idx="465">
                  <c:v>41295</c:v>
                </c:pt>
                <c:pt idx="466">
                  <c:v>41292</c:v>
                </c:pt>
                <c:pt idx="467">
                  <c:v>41291</c:v>
                </c:pt>
                <c:pt idx="468">
                  <c:v>41290</c:v>
                </c:pt>
                <c:pt idx="469">
                  <c:v>41289</c:v>
                </c:pt>
                <c:pt idx="470">
                  <c:v>41288</c:v>
                </c:pt>
                <c:pt idx="471">
                  <c:v>41285</c:v>
                </c:pt>
                <c:pt idx="472">
                  <c:v>41284</c:v>
                </c:pt>
                <c:pt idx="473">
                  <c:v>41283</c:v>
                </c:pt>
                <c:pt idx="474">
                  <c:v>41282</c:v>
                </c:pt>
                <c:pt idx="475">
                  <c:v>41281</c:v>
                </c:pt>
                <c:pt idx="476">
                  <c:v>41278</c:v>
                </c:pt>
                <c:pt idx="477">
                  <c:v>41277</c:v>
                </c:pt>
                <c:pt idx="478">
                  <c:v>41276</c:v>
                </c:pt>
                <c:pt idx="479">
                  <c:v>41275</c:v>
                </c:pt>
                <c:pt idx="480">
                  <c:v>41274</c:v>
                </c:pt>
                <c:pt idx="481">
                  <c:v>41271</c:v>
                </c:pt>
                <c:pt idx="482">
                  <c:v>41270</c:v>
                </c:pt>
                <c:pt idx="483">
                  <c:v>41269</c:v>
                </c:pt>
                <c:pt idx="484">
                  <c:v>41268</c:v>
                </c:pt>
                <c:pt idx="485">
                  <c:v>41267</c:v>
                </c:pt>
                <c:pt idx="486">
                  <c:v>41264</c:v>
                </c:pt>
                <c:pt idx="487">
                  <c:v>41263</c:v>
                </c:pt>
                <c:pt idx="488">
                  <c:v>41262</c:v>
                </c:pt>
                <c:pt idx="489">
                  <c:v>41261</c:v>
                </c:pt>
                <c:pt idx="490">
                  <c:v>41260</c:v>
                </c:pt>
                <c:pt idx="491">
                  <c:v>41257</c:v>
                </c:pt>
                <c:pt idx="492">
                  <c:v>41256</c:v>
                </c:pt>
                <c:pt idx="493">
                  <c:v>41255</c:v>
                </c:pt>
                <c:pt idx="494">
                  <c:v>41254</c:v>
                </c:pt>
                <c:pt idx="495">
                  <c:v>41253</c:v>
                </c:pt>
                <c:pt idx="496">
                  <c:v>41250</c:v>
                </c:pt>
                <c:pt idx="497">
                  <c:v>41249</c:v>
                </c:pt>
                <c:pt idx="498">
                  <c:v>41248</c:v>
                </c:pt>
                <c:pt idx="499">
                  <c:v>41247</c:v>
                </c:pt>
                <c:pt idx="500">
                  <c:v>41246</c:v>
                </c:pt>
                <c:pt idx="501">
                  <c:v>41243</c:v>
                </c:pt>
                <c:pt idx="502">
                  <c:v>41242</c:v>
                </c:pt>
                <c:pt idx="503">
                  <c:v>41241</c:v>
                </c:pt>
                <c:pt idx="504">
                  <c:v>41240</c:v>
                </c:pt>
              </c:numCache>
            </c:numRef>
          </c:cat>
          <c:val>
            <c:numRef>
              <c:f>Eurobond!$H$6:$H$509</c:f>
              <c:numCache>
                <c:formatCode>#,##0.000</c:formatCode>
                <c:ptCount val="504"/>
                <c:pt idx="0">
                  <c:v>3.9059999999999997</c:v>
                </c:pt>
                <c:pt idx="1">
                  <c:v>3.9389999999999996</c:v>
                </c:pt>
                <c:pt idx="2">
                  <c:v>3.9079999999999999</c:v>
                </c:pt>
                <c:pt idx="3">
                  <c:v>3.927</c:v>
                </c:pt>
                <c:pt idx="4">
                  <c:v>3.9389999999999996</c:v>
                </c:pt>
                <c:pt idx="5">
                  <c:v>3.9569999999999994</c:v>
                </c:pt>
                <c:pt idx="6">
                  <c:v>3.9290000000000003</c:v>
                </c:pt>
                <c:pt idx="7">
                  <c:v>3.9419999999999997</c:v>
                </c:pt>
                <c:pt idx="8">
                  <c:v>3.9670000000000001</c:v>
                </c:pt>
                <c:pt idx="9">
                  <c:v>4.0339999999999998</c:v>
                </c:pt>
                <c:pt idx="10">
                  <c:v>4.0880000000000001</c:v>
                </c:pt>
                <c:pt idx="11">
                  <c:v>4.2720000000000002</c:v>
                </c:pt>
                <c:pt idx="12">
                  <c:v>4.24</c:v>
                </c:pt>
                <c:pt idx="13">
                  <c:v>4.274</c:v>
                </c:pt>
                <c:pt idx="14">
                  <c:v>4.3090000000000002</c:v>
                </c:pt>
                <c:pt idx="15">
                  <c:v>4.294999999999999</c:v>
                </c:pt>
                <c:pt idx="16">
                  <c:v>4.2639999999999993</c:v>
                </c:pt>
                <c:pt idx="17">
                  <c:v>4.3390000000000004</c:v>
                </c:pt>
                <c:pt idx="18">
                  <c:v>4.3539999999999992</c:v>
                </c:pt>
                <c:pt idx="19">
                  <c:v>4.3259999999999987</c:v>
                </c:pt>
                <c:pt idx="20">
                  <c:v>4.3490000000000002</c:v>
                </c:pt>
                <c:pt idx="21">
                  <c:v>4.3119999999999994</c:v>
                </c:pt>
                <c:pt idx="22">
                  <c:v>4.2539999999999996</c:v>
                </c:pt>
                <c:pt idx="23">
                  <c:v>4.2350000000000003</c:v>
                </c:pt>
                <c:pt idx="24">
                  <c:v>4.2350000000000003</c:v>
                </c:pt>
                <c:pt idx="25">
                  <c:v>4.0969999999999995</c:v>
                </c:pt>
                <c:pt idx="26">
                  <c:v>3.9179999999999997</c:v>
                </c:pt>
                <c:pt idx="27">
                  <c:v>3.8239999999999998</c:v>
                </c:pt>
                <c:pt idx="28">
                  <c:v>3.823</c:v>
                </c:pt>
                <c:pt idx="29">
                  <c:v>3.8219999999999996</c:v>
                </c:pt>
                <c:pt idx="30">
                  <c:v>3.8569999999999998</c:v>
                </c:pt>
                <c:pt idx="31">
                  <c:v>3.9119999999999995</c:v>
                </c:pt>
                <c:pt idx="32">
                  <c:v>3.8959999999999995</c:v>
                </c:pt>
                <c:pt idx="33">
                  <c:v>3.9059999999999997</c:v>
                </c:pt>
                <c:pt idx="34">
                  <c:v>3.8899999999999997</c:v>
                </c:pt>
                <c:pt idx="35">
                  <c:v>3.8729999999999998</c:v>
                </c:pt>
                <c:pt idx="36">
                  <c:v>3.8079999999999998</c:v>
                </c:pt>
                <c:pt idx="37">
                  <c:v>3.827</c:v>
                </c:pt>
                <c:pt idx="38">
                  <c:v>3.742</c:v>
                </c:pt>
                <c:pt idx="39">
                  <c:v>3.7440000000000002</c:v>
                </c:pt>
                <c:pt idx="40">
                  <c:v>3.8089999999999997</c:v>
                </c:pt>
                <c:pt idx="41">
                  <c:v>3.8129999999999993</c:v>
                </c:pt>
                <c:pt idx="42">
                  <c:v>3.8659999999999997</c:v>
                </c:pt>
                <c:pt idx="43">
                  <c:v>3.8449999999999998</c:v>
                </c:pt>
                <c:pt idx="44">
                  <c:v>3.823</c:v>
                </c:pt>
                <c:pt idx="45">
                  <c:v>3.8179999999999996</c:v>
                </c:pt>
                <c:pt idx="46">
                  <c:v>3.827</c:v>
                </c:pt>
                <c:pt idx="47">
                  <c:v>3.7840000000000003</c:v>
                </c:pt>
                <c:pt idx="48">
                  <c:v>3.8729999999999998</c:v>
                </c:pt>
                <c:pt idx="49">
                  <c:v>3.8899999999999997</c:v>
                </c:pt>
                <c:pt idx="50">
                  <c:v>3.8699999999999997</c:v>
                </c:pt>
                <c:pt idx="51">
                  <c:v>3.8019999999999996</c:v>
                </c:pt>
                <c:pt idx="52">
                  <c:v>3.7389999999999999</c:v>
                </c:pt>
                <c:pt idx="53">
                  <c:v>3.7240000000000002</c:v>
                </c:pt>
                <c:pt idx="54">
                  <c:v>3.7280000000000002</c:v>
                </c:pt>
                <c:pt idx="55">
                  <c:v>3.7159999999999997</c:v>
                </c:pt>
                <c:pt idx="56">
                  <c:v>3.8859999999999997</c:v>
                </c:pt>
                <c:pt idx="57">
                  <c:v>3.988</c:v>
                </c:pt>
                <c:pt idx="58">
                  <c:v>4.0639999999999992</c:v>
                </c:pt>
                <c:pt idx="59">
                  <c:v>4.1939999999999991</c:v>
                </c:pt>
                <c:pt idx="60">
                  <c:v>4.2969999999999997</c:v>
                </c:pt>
                <c:pt idx="61">
                  <c:v>4.2309999999999999</c:v>
                </c:pt>
                <c:pt idx="62">
                  <c:v>4.214999999999999</c:v>
                </c:pt>
                <c:pt idx="63">
                  <c:v>4.0490000000000004</c:v>
                </c:pt>
                <c:pt idx="64">
                  <c:v>3.9819999999999998</c:v>
                </c:pt>
                <c:pt idx="65">
                  <c:v>3.9559999999999995</c:v>
                </c:pt>
                <c:pt idx="66">
                  <c:v>3.79</c:v>
                </c:pt>
                <c:pt idx="67">
                  <c:v>3.702</c:v>
                </c:pt>
                <c:pt idx="68">
                  <c:v>3.698</c:v>
                </c:pt>
                <c:pt idx="69">
                  <c:v>3.7530000000000001</c:v>
                </c:pt>
                <c:pt idx="70">
                  <c:v>3.7919999999999998</c:v>
                </c:pt>
                <c:pt idx="71">
                  <c:v>3.7930000000000001</c:v>
                </c:pt>
                <c:pt idx="72">
                  <c:v>3.8739999999999997</c:v>
                </c:pt>
                <c:pt idx="73">
                  <c:v>3.9849999999999999</c:v>
                </c:pt>
                <c:pt idx="74">
                  <c:v>4.016</c:v>
                </c:pt>
                <c:pt idx="75">
                  <c:v>4.0190000000000001</c:v>
                </c:pt>
                <c:pt idx="76">
                  <c:v>4.0269999999999992</c:v>
                </c:pt>
                <c:pt idx="77">
                  <c:v>3.9609999999999999</c:v>
                </c:pt>
                <c:pt idx="78">
                  <c:v>3.9699999999999998</c:v>
                </c:pt>
                <c:pt idx="79">
                  <c:v>3.9430000000000001</c:v>
                </c:pt>
                <c:pt idx="80">
                  <c:v>3.8439999999999999</c:v>
                </c:pt>
                <c:pt idx="81">
                  <c:v>3.8939999999999997</c:v>
                </c:pt>
                <c:pt idx="82">
                  <c:v>3.8369999999999993</c:v>
                </c:pt>
                <c:pt idx="83">
                  <c:v>3.77</c:v>
                </c:pt>
                <c:pt idx="84">
                  <c:v>3.746</c:v>
                </c:pt>
                <c:pt idx="85">
                  <c:v>3.746</c:v>
                </c:pt>
                <c:pt idx="86">
                  <c:v>3.738</c:v>
                </c:pt>
                <c:pt idx="87">
                  <c:v>3.7349999999999999</c:v>
                </c:pt>
                <c:pt idx="88">
                  <c:v>3.742</c:v>
                </c:pt>
                <c:pt idx="89">
                  <c:v>3.7719999999999998</c:v>
                </c:pt>
                <c:pt idx="90">
                  <c:v>3.8369999999999993</c:v>
                </c:pt>
                <c:pt idx="91">
                  <c:v>3.8539999999999996</c:v>
                </c:pt>
                <c:pt idx="92">
                  <c:v>3.63</c:v>
                </c:pt>
                <c:pt idx="93">
                  <c:v>3.62</c:v>
                </c:pt>
                <c:pt idx="94">
                  <c:v>3.6359999999999997</c:v>
                </c:pt>
                <c:pt idx="95">
                  <c:v>3.6080000000000001</c:v>
                </c:pt>
                <c:pt idx="96">
                  <c:v>3.5509999999999997</c:v>
                </c:pt>
                <c:pt idx="97">
                  <c:v>3.52</c:v>
                </c:pt>
                <c:pt idx="98">
                  <c:v>3.5209999999999999</c:v>
                </c:pt>
                <c:pt idx="99">
                  <c:v>3.4919999999999995</c:v>
                </c:pt>
                <c:pt idx="100">
                  <c:v>3.4489999999999998</c:v>
                </c:pt>
                <c:pt idx="101">
                  <c:v>3.4109999999999996</c:v>
                </c:pt>
                <c:pt idx="102">
                  <c:v>3.4139999999999997</c:v>
                </c:pt>
                <c:pt idx="103">
                  <c:v>3.4209999999999998</c:v>
                </c:pt>
                <c:pt idx="104">
                  <c:v>3.407</c:v>
                </c:pt>
                <c:pt idx="105">
                  <c:v>3.4549999999999996</c:v>
                </c:pt>
                <c:pt idx="106">
                  <c:v>3.6040000000000001</c:v>
                </c:pt>
                <c:pt idx="107">
                  <c:v>3.625</c:v>
                </c:pt>
                <c:pt idx="108">
                  <c:v>3.577</c:v>
                </c:pt>
                <c:pt idx="109">
                  <c:v>3.5189999999999997</c:v>
                </c:pt>
                <c:pt idx="110">
                  <c:v>3.569</c:v>
                </c:pt>
                <c:pt idx="111">
                  <c:v>3.5840000000000001</c:v>
                </c:pt>
                <c:pt idx="112">
                  <c:v>3.6559999999999997</c:v>
                </c:pt>
                <c:pt idx="113">
                  <c:v>3.774</c:v>
                </c:pt>
                <c:pt idx="114">
                  <c:v>3.8179999999999996</c:v>
                </c:pt>
                <c:pt idx="115">
                  <c:v>3.8209999999999997</c:v>
                </c:pt>
                <c:pt idx="116">
                  <c:v>3.8249999999999997</c:v>
                </c:pt>
                <c:pt idx="117">
                  <c:v>3.8129999999999993</c:v>
                </c:pt>
                <c:pt idx="118">
                  <c:v>3.7629999999999999</c:v>
                </c:pt>
                <c:pt idx="119">
                  <c:v>3.7210000000000001</c:v>
                </c:pt>
                <c:pt idx="120">
                  <c:v>3.6759999999999997</c:v>
                </c:pt>
                <c:pt idx="121">
                  <c:v>3.62</c:v>
                </c:pt>
                <c:pt idx="122">
                  <c:v>3.6080000000000001</c:v>
                </c:pt>
                <c:pt idx="123">
                  <c:v>3.661</c:v>
                </c:pt>
                <c:pt idx="124">
                  <c:v>3.73</c:v>
                </c:pt>
                <c:pt idx="125">
                  <c:v>3.7559999999999998</c:v>
                </c:pt>
                <c:pt idx="126">
                  <c:v>3.7989999999999999</c:v>
                </c:pt>
                <c:pt idx="127">
                  <c:v>3.8419999999999996</c:v>
                </c:pt>
                <c:pt idx="128">
                  <c:v>3.9809999999999999</c:v>
                </c:pt>
                <c:pt idx="129">
                  <c:v>4.0869999999999997</c:v>
                </c:pt>
                <c:pt idx="130">
                  <c:v>4.0810000000000004</c:v>
                </c:pt>
                <c:pt idx="131">
                  <c:v>4.1589999999999989</c:v>
                </c:pt>
                <c:pt idx="132">
                  <c:v>4.1790000000000003</c:v>
                </c:pt>
                <c:pt idx="133">
                  <c:v>4.2489999999999997</c:v>
                </c:pt>
                <c:pt idx="134">
                  <c:v>4.3099999999999996</c:v>
                </c:pt>
                <c:pt idx="135">
                  <c:v>4.2960000000000003</c:v>
                </c:pt>
                <c:pt idx="136">
                  <c:v>4.262999999999999</c:v>
                </c:pt>
                <c:pt idx="137">
                  <c:v>4.2569999999999997</c:v>
                </c:pt>
                <c:pt idx="138">
                  <c:v>4.1919999999999993</c:v>
                </c:pt>
                <c:pt idx="139">
                  <c:v>4.1609999999999987</c:v>
                </c:pt>
                <c:pt idx="140">
                  <c:v>4.18</c:v>
                </c:pt>
                <c:pt idx="141">
                  <c:v>4.1890000000000001</c:v>
                </c:pt>
                <c:pt idx="142">
                  <c:v>4.1829999999999989</c:v>
                </c:pt>
                <c:pt idx="143">
                  <c:v>4.1339999999999995</c:v>
                </c:pt>
                <c:pt idx="144">
                  <c:v>4.1169999999999991</c:v>
                </c:pt>
                <c:pt idx="145">
                  <c:v>4.093</c:v>
                </c:pt>
                <c:pt idx="146">
                  <c:v>4.077</c:v>
                </c:pt>
                <c:pt idx="147">
                  <c:v>4.1259999999999994</c:v>
                </c:pt>
                <c:pt idx="148">
                  <c:v>4.121999999999999</c:v>
                </c:pt>
                <c:pt idx="149">
                  <c:v>4.145999999999999</c:v>
                </c:pt>
                <c:pt idx="150">
                  <c:v>4.1439999999999992</c:v>
                </c:pt>
                <c:pt idx="151">
                  <c:v>4.1819999999999995</c:v>
                </c:pt>
                <c:pt idx="152">
                  <c:v>4.1360000000000001</c:v>
                </c:pt>
                <c:pt idx="153">
                  <c:v>4.1229999999999993</c:v>
                </c:pt>
                <c:pt idx="154">
                  <c:v>4.0830000000000002</c:v>
                </c:pt>
                <c:pt idx="155">
                  <c:v>4.0780000000000003</c:v>
                </c:pt>
                <c:pt idx="156">
                  <c:v>4.0639999999999992</c:v>
                </c:pt>
                <c:pt idx="157">
                  <c:v>4.0609999999999991</c:v>
                </c:pt>
                <c:pt idx="158">
                  <c:v>4.052999999999999</c:v>
                </c:pt>
                <c:pt idx="159">
                  <c:v>4.0659999999999989</c:v>
                </c:pt>
                <c:pt idx="160">
                  <c:v>4.08</c:v>
                </c:pt>
                <c:pt idx="161">
                  <c:v>4.0569999999999995</c:v>
                </c:pt>
                <c:pt idx="162">
                  <c:v>4.0219999999999994</c:v>
                </c:pt>
                <c:pt idx="163">
                  <c:v>4.0389999999999997</c:v>
                </c:pt>
                <c:pt idx="164">
                  <c:v>4.0490000000000004</c:v>
                </c:pt>
                <c:pt idx="165">
                  <c:v>4.1710000000000003</c:v>
                </c:pt>
                <c:pt idx="166">
                  <c:v>4.1249999999999991</c:v>
                </c:pt>
                <c:pt idx="167">
                  <c:v>4.1499999999999995</c:v>
                </c:pt>
                <c:pt idx="168">
                  <c:v>4.069</c:v>
                </c:pt>
                <c:pt idx="169">
                  <c:v>4.105999999999999</c:v>
                </c:pt>
                <c:pt idx="170">
                  <c:v>4.0439999999999996</c:v>
                </c:pt>
                <c:pt idx="171">
                  <c:v>3.9830000000000001</c:v>
                </c:pt>
                <c:pt idx="172">
                  <c:v>4.0709999999999997</c:v>
                </c:pt>
                <c:pt idx="173">
                  <c:v>4.1029999999999989</c:v>
                </c:pt>
                <c:pt idx="174">
                  <c:v>4.08</c:v>
                </c:pt>
                <c:pt idx="175">
                  <c:v>3.923</c:v>
                </c:pt>
                <c:pt idx="176">
                  <c:v>3.96</c:v>
                </c:pt>
                <c:pt idx="177">
                  <c:v>3.968</c:v>
                </c:pt>
                <c:pt idx="178">
                  <c:v>3.9819999999999998</c:v>
                </c:pt>
                <c:pt idx="179">
                  <c:v>4.0279999999999987</c:v>
                </c:pt>
                <c:pt idx="180">
                  <c:v>4.0780000000000003</c:v>
                </c:pt>
                <c:pt idx="181">
                  <c:v>4.1609999999999987</c:v>
                </c:pt>
                <c:pt idx="182">
                  <c:v>4.1629999999999994</c:v>
                </c:pt>
                <c:pt idx="183">
                  <c:v>4.1599999999999993</c:v>
                </c:pt>
                <c:pt idx="184">
                  <c:v>4.1659999999999995</c:v>
                </c:pt>
                <c:pt idx="185">
                  <c:v>4.1939999999999991</c:v>
                </c:pt>
                <c:pt idx="186">
                  <c:v>4.2409999999999997</c:v>
                </c:pt>
                <c:pt idx="187">
                  <c:v>4.2009999999999996</c:v>
                </c:pt>
                <c:pt idx="188">
                  <c:v>4.1229999999999993</c:v>
                </c:pt>
                <c:pt idx="189">
                  <c:v>4.09</c:v>
                </c:pt>
                <c:pt idx="190">
                  <c:v>4.0860000000000003</c:v>
                </c:pt>
                <c:pt idx="191">
                  <c:v>4.2379999999999995</c:v>
                </c:pt>
                <c:pt idx="192">
                  <c:v>4.3469999999999995</c:v>
                </c:pt>
                <c:pt idx="193">
                  <c:v>4.5339999999999998</c:v>
                </c:pt>
                <c:pt idx="194">
                  <c:v>4.7699999999999996</c:v>
                </c:pt>
                <c:pt idx="195">
                  <c:v>4.8079999999999989</c:v>
                </c:pt>
                <c:pt idx="196">
                  <c:v>4.7969999999999997</c:v>
                </c:pt>
                <c:pt idx="197">
                  <c:v>4.6890000000000001</c:v>
                </c:pt>
                <c:pt idx="198">
                  <c:v>4.5549999999999988</c:v>
                </c:pt>
                <c:pt idx="199">
                  <c:v>4.585</c:v>
                </c:pt>
                <c:pt idx="200">
                  <c:v>4.5199999999999996</c:v>
                </c:pt>
                <c:pt idx="201">
                  <c:v>4.3789999999999996</c:v>
                </c:pt>
                <c:pt idx="202">
                  <c:v>4.2850000000000001</c:v>
                </c:pt>
                <c:pt idx="203">
                  <c:v>4.2859999999999996</c:v>
                </c:pt>
                <c:pt idx="204">
                  <c:v>4.2830000000000004</c:v>
                </c:pt>
                <c:pt idx="205">
                  <c:v>4.274</c:v>
                </c:pt>
                <c:pt idx="206">
                  <c:v>4.2139999999999995</c:v>
                </c:pt>
                <c:pt idx="207">
                  <c:v>4.26</c:v>
                </c:pt>
                <c:pt idx="208">
                  <c:v>4.395999999999999</c:v>
                </c:pt>
                <c:pt idx="209">
                  <c:v>4.5090000000000003</c:v>
                </c:pt>
                <c:pt idx="210">
                  <c:v>4.5809999999999995</c:v>
                </c:pt>
                <c:pt idx="211">
                  <c:v>4.6869999999999994</c:v>
                </c:pt>
                <c:pt idx="212">
                  <c:v>4.6739999999999995</c:v>
                </c:pt>
                <c:pt idx="213">
                  <c:v>4.7290000000000001</c:v>
                </c:pt>
                <c:pt idx="214">
                  <c:v>4.7859999999999996</c:v>
                </c:pt>
                <c:pt idx="215">
                  <c:v>4.9950000000000001</c:v>
                </c:pt>
                <c:pt idx="216">
                  <c:v>5.0190000000000001</c:v>
                </c:pt>
                <c:pt idx="217">
                  <c:v>5.0019999999999998</c:v>
                </c:pt>
                <c:pt idx="218">
                  <c:v>5.008</c:v>
                </c:pt>
                <c:pt idx="219">
                  <c:v>5.008</c:v>
                </c:pt>
                <c:pt idx="220">
                  <c:v>4.9800000000000004</c:v>
                </c:pt>
                <c:pt idx="221">
                  <c:v>4.979000000000001</c:v>
                </c:pt>
                <c:pt idx="222">
                  <c:v>4.979000000000001</c:v>
                </c:pt>
                <c:pt idx="223">
                  <c:v>4.9960000000000004</c:v>
                </c:pt>
                <c:pt idx="224">
                  <c:v>4.9749999999999996</c:v>
                </c:pt>
                <c:pt idx="225">
                  <c:v>5</c:v>
                </c:pt>
                <c:pt idx="226">
                  <c:v>4.9969999999999999</c:v>
                </c:pt>
                <c:pt idx="227">
                  <c:v>5.012999999999999</c:v>
                </c:pt>
                <c:pt idx="228">
                  <c:v>5.0249999999999995</c:v>
                </c:pt>
                <c:pt idx="229">
                  <c:v>5.0519999999999996</c:v>
                </c:pt>
                <c:pt idx="230">
                  <c:v>5.0709999999999997</c:v>
                </c:pt>
                <c:pt idx="231">
                  <c:v>5.0619999999999994</c:v>
                </c:pt>
                <c:pt idx="232">
                  <c:v>5.1079999999999988</c:v>
                </c:pt>
                <c:pt idx="233">
                  <c:v>5.1129999999999995</c:v>
                </c:pt>
                <c:pt idx="234">
                  <c:v>5.1479999999999988</c:v>
                </c:pt>
                <c:pt idx="235">
                  <c:v>5.202</c:v>
                </c:pt>
                <c:pt idx="236">
                  <c:v>5.2110000000000003</c:v>
                </c:pt>
                <c:pt idx="237">
                  <c:v>5.2359999999999998</c:v>
                </c:pt>
                <c:pt idx="238">
                  <c:v>5.2329999999999997</c:v>
                </c:pt>
                <c:pt idx="239">
                  <c:v>5.226</c:v>
                </c:pt>
                <c:pt idx="240">
                  <c:v>5.2080000000000002</c:v>
                </c:pt>
                <c:pt idx="241">
                  <c:v>5.21</c:v>
                </c:pt>
                <c:pt idx="242">
                  <c:v>5.222999999999999</c:v>
                </c:pt>
                <c:pt idx="243">
                  <c:v>5.218</c:v>
                </c:pt>
                <c:pt idx="244">
                  <c:v>5.1969999999999992</c:v>
                </c:pt>
                <c:pt idx="245">
                  <c:v>5.3519999999999994</c:v>
                </c:pt>
                <c:pt idx="246">
                  <c:v>5.484</c:v>
                </c:pt>
                <c:pt idx="247">
                  <c:v>5.3710000000000004</c:v>
                </c:pt>
                <c:pt idx="248">
                  <c:v>5.3049999999999988</c:v>
                </c:pt>
                <c:pt idx="249">
                  <c:v>5.2389999999999999</c:v>
                </c:pt>
                <c:pt idx="250">
                  <c:v>5.3119999999999994</c:v>
                </c:pt>
                <c:pt idx="251">
                  <c:v>5.335</c:v>
                </c:pt>
                <c:pt idx="252">
                  <c:v>5.3789999999999996</c:v>
                </c:pt>
                <c:pt idx="253">
                  <c:v>5.3519999999999994</c:v>
                </c:pt>
                <c:pt idx="254">
                  <c:v>5.2990000000000004</c:v>
                </c:pt>
                <c:pt idx="255">
                  <c:v>5.2930000000000001</c:v>
                </c:pt>
                <c:pt idx="256">
                  <c:v>5.2130000000000001</c:v>
                </c:pt>
                <c:pt idx="257">
                  <c:v>5.2590000000000003</c:v>
                </c:pt>
                <c:pt idx="258">
                  <c:v>5.39</c:v>
                </c:pt>
                <c:pt idx="259">
                  <c:v>5.2389999999999999</c:v>
                </c:pt>
                <c:pt idx="260">
                  <c:v>5.23</c:v>
                </c:pt>
                <c:pt idx="261">
                  <c:v>5.2169999999999996</c:v>
                </c:pt>
                <c:pt idx="262">
                  <c:v>5.0569999999999995</c:v>
                </c:pt>
                <c:pt idx="263">
                  <c:v>4.9859999999999998</c:v>
                </c:pt>
                <c:pt idx="264">
                  <c:v>4.84</c:v>
                </c:pt>
                <c:pt idx="265">
                  <c:v>4.8249999999999993</c:v>
                </c:pt>
                <c:pt idx="266">
                  <c:v>4.7350000000000003</c:v>
                </c:pt>
                <c:pt idx="267">
                  <c:v>4.6399999999999997</c:v>
                </c:pt>
                <c:pt idx="268">
                  <c:v>4.8039999999999994</c:v>
                </c:pt>
                <c:pt idx="269">
                  <c:v>4.798</c:v>
                </c:pt>
                <c:pt idx="270">
                  <c:v>4.78</c:v>
                </c:pt>
                <c:pt idx="271">
                  <c:v>4.819</c:v>
                </c:pt>
                <c:pt idx="272">
                  <c:v>5.0069999999999997</c:v>
                </c:pt>
                <c:pt idx="273">
                  <c:v>5.056</c:v>
                </c:pt>
                <c:pt idx="274">
                  <c:v>5.17</c:v>
                </c:pt>
                <c:pt idx="275">
                  <c:v>5.141</c:v>
                </c:pt>
                <c:pt idx="276">
                  <c:v>5.1229999999999993</c:v>
                </c:pt>
                <c:pt idx="277">
                  <c:v>5.1849999999999987</c:v>
                </c:pt>
                <c:pt idx="278">
                  <c:v>5.3179999999999987</c:v>
                </c:pt>
                <c:pt idx="279">
                  <c:v>5.5600000000000005</c:v>
                </c:pt>
                <c:pt idx="280">
                  <c:v>5.2990000000000004</c:v>
                </c:pt>
                <c:pt idx="281">
                  <c:v>5.2639999999999993</c:v>
                </c:pt>
                <c:pt idx="282">
                  <c:v>5.2219999999999995</c:v>
                </c:pt>
                <c:pt idx="283">
                  <c:v>5.2039999999999997</c:v>
                </c:pt>
                <c:pt idx="284">
                  <c:v>5.2050000000000001</c:v>
                </c:pt>
                <c:pt idx="285">
                  <c:v>5.1209999999999996</c:v>
                </c:pt>
                <c:pt idx="286">
                  <c:v>5.105999999999999</c:v>
                </c:pt>
                <c:pt idx="287">
                  <c:v>5.0810000000000004</c:v>
                </c:pt>
                <c:pt idx="288">
                  <c:v>5.0539999999999994</c:v>
                </c:pt>
                <c:pt idx="289">
                  <c:v>5.1549999999999994</c:v>
                </c:pt>
                <c:pt idx="290">
                  <c:v>5.26</c:v>
                </c:pt>
                <c:pt idx="291">
                  <c:v>5.3669999999999991</c:v>
                </c:pt>
                <c:pt idx="292">
                  <c:v>5.7370000000000001</c:v>
                </c:pt>
                <c:pt idx="293">
                  <c:v>5.7460000000000004</c:v>
                </c:pt>
                <c:pt idx="294">
                  <c:v>5.7639999999999993</c:v>
                </c:pt>
                <c:pt idx="295">
                  <c:v>5.9210000000000003</c:v>
                </c:pt>
                <c:pt idx="296">
                  <c:v>5.9450000000000003</c:v>
                </c:pt>
                <c:pt idx="297">
                  <c:v>6.0110000000000001</c:v>
                </c:pt>
                <c:pt idx="298">
                  <c:v>6.056</c:v>
                </c:pt>
                <c:pt idx="299">
                  <c:v>6.020999999999999</c:v>
                </c:pt>
                <c:pt idx="300">
                  <c:v>6.0439999999999996</c:v>
                </c:pt>
                <c:pt idx="301">
                  <c:v>6.0579999999999989</c:v>
                </c:pt>
                <c:pt idx="302">
                  <c:v>5.8460000000000001</c:v>
                </c:pt>
                <c:pt idx="303">
                  <c:v>5.8</c:v>
                </c:pt>
                <c:pt idx="304">
                  <c:v>5.7679999999999989</c:v>
                </c:pt>
                <c:pt idx="305">
                  <c:v>5.7530000000000001</c:v>
                </c:pt>
                <c:pt idx="306">
                  <c:v>5.7329999999999997</c:v>
                </c:pt>
                <c:pt idx="307">
                  <c:v>5.714999999999999</c:v>
                </c:pt>
                <c:pt idx="308">
                  <c:v>5.6579999999999995</c:v>
                </c:pt>
                <c:pt idx="309">
                  <c:v>5.73</c:v>
                </c:pt>
                <c:pt idx="310">
                  <c:v>5.7119999999999997</c:v>
                </c:pt>
                <c:pt idx="311">
                  <c:v>5.754999999999999</c:v>
                </c:pt>
                <c:pt idx="312">
                  <c:v>5.7910000000000004</c:v>
                </c:pt>
                <c:pt idx="313">
                  <c:v>5.8410000000000002</c:v>
                </c:pt>
                <c:pt idx="314">
                  <c:v>5.8569999999999993</c:v>
                </c:pt>
                <c:pt idx="315">
                  <c:v>5.7430000000000003</c:v>
                </c:pt>
                <c:pt idx="316">
                  <c:v>5.72</c:v>
                </c:pt>
                <c:pt idx="317">
                  <c:v>5.6310000000000002</c:v>
                </c:pt>
                <c:pt idx="318">
                  <c:v>5.605999999999999</c:v>
                </c:pt>
                <c:pt idx="319">
                  <c:v>5.6159999999999988</c:v>
                </c:pt>
                <c:pt idx="320">
                  <c:v>5.67</c:v>
                </c:pt>
                <c:pt idx="321">
                  <c:v>5.774</c:v>
                </c:pt>
                <c:pt idx="322">
                  <c:v>5.8439999999999994</c:v>
                </c:pt>
                <c:pt idx="323">
                  <c:v>5.8780000000000001</c:v>
                </c:pt>
                <c:pt idx="324">
                  <c:v>5.8719999999999999</c:v>
                </c:pt>
                <c:pt idx="325">
                  <c:v>5.95</c:v>
                </c:pt>
                <c:pt idx="326">
                  <c:v>5.8569999999999993</c:v>
                </c:pt>
                <c:pt idx="327">
                  <c:v>5.6949999999999994</c:v>
                </c:pt>
                <c:pt idx="328">
                  <c:v>5.3719999999999999</c:v>
                </c:pt>
                <c:pt idx="329">
                  <c:v>5.2910000000000004</c:v>
                </c:pt>
                <c:pt idx="330">
                  <c:v>5.3109999999999991</c:v>
                </c:pt>
                <c:pt idx="331">
                  <c:v>5.3229999999999995</c:v>
                </c:pt>
                <c:pt idx="332">
                  <c:v>5.274</c:v>
                </c:pt>
                <c:pt idx="333">
                  <c:v>5.1899999999999995</c:v>
                </c:pt>
                <c:pt idx="334">
                  <c:v>5.1109999999999989</c:v>
                </c:pt>
                <c:pt idx="335">
                  <c:v>5.14</c:v>
                </c:pt>
                <c:pt idx="336">
                  <c:v>5.1310000000000002</c:v>
                </c:pt>
                <c:pt idx="337">
                  <c:v>5.173</c:v>
                </c:pt>
                <c:pt idx="338">
                  <c:v>5.2290000000000001</c:v>
                </c:pt>
                <c:pt idx="339">
                  <c:v>5.2519999999999998</c:v>
                </c:pt>
                <c:pt idx="340">
                  <c:v>5.3390000000000004</c:v>
                </c:pt>
                <c:pt idx="341">
                  <c:v>5.3629999999999987</c:v>
                </c:pt>
                <c:pt idx="342">
                  <c:v>5.4560000000000004</c:v>
                </c:pt>
                <c:pt idx="343">
                  <c:v>5.4610000000000003</c:v>
                </c:pt>
                <c:pt idx="344">
                  <c:v>5.48</c:v>
                </c:pt>
                <c:pt idx="345">
                  <c:v>5.4379999999999997</c:v>
                </c:pt>
                <c:pt idx="346">
                  <c:v>5.3760000000000003</c:v>
                </c:pt>
                <c:pt idx="347">
                  <c:v>5.4089999999999998</c:v>
                </c:pt>
                <c:pt idx="348">
                  <c:v>5.3619999999999992</c:v>
                </c:pt>
                <c:pt idx="349">
                  <c:v>5.5010000000000003</c:v>
                </c:pt>
                <c:pt idx="350">
                  <c:v>5.6549999999999994</c:v>
                </c:pt>
                <c:pt idx="351">
                  <c:v>5.7169999999999996</c:v>
                </c:pt>
                <c:pt idx="352">
                  <c:v>6.2060000000000004</c:v>
                </c:pt>
                <c:pt idx="353">
                  <c:v>6.3549999999999995</c:v>
                </c:pt>
                <c:pt idx="354">
                  <c:v>6.23</c:v>
                </c:pt>
                <c:pt idx="355">
                  <c:v>5.7850000000000001</c:v>
                </c:pt>
                <c:pt idx="356">
                  <c:v>5.6360000000000001</c:v>
                </c:pt>
                <c:pt idx="357">
                  <c:v>5.1639999999999988</c:v>
                </c:pt>
                <c:pt idx="358">
                  <c:v>5.181</c:v>
                </c:pt>
                <c:pt idx="359">
                  <c:v>5.07</c:v>
                </c:pt>
                <c:pt idx="360">
                  <c:v>5.1239999999999988</c:v>
                </c:pt>
                <c:pt idx="361">
                  <c:v>5.3109999999999991</c:v>
                </c:pt>
                <c:pt idx="362">
                  <c:v>5.3539999999999992</c:v>
                </c:pt>
                <c:pt idx="363">
                  <c:v>5.5069999999999997</c:v>
                </c:pt>
                <c:pt idx="364">
                  <c:v>5.2620000000000005</c:v>
                </c:pt>
                <c:pt idx="365">
                  <c:v>5.0919999999999996</c:v>
                </c:pt>
                <c:pt idx="366">
                  <c:v>4.7530000000000001</c:v>
                </c:pt>
                <c:pt idx="367">
                  <c:v>4.67</c:v>
                </c:pt>
                <c:pt idx="368">
                  <c:v>4.6079999999999988</c:v>
                </c:pt>
                <c:pt idx="369">
                  <c:v>4.6149999999999993</c:v>
                </c:pt>
                <c:pt idx="370">
                  <c:v>4.609</c:v>
                </c:pt>
                <c:pt idx="371">
                  <c:v>4.5910000000000002</c:v>
                </c:pt>
                <c:pt idx="372">
                  <c:v>4.5709999999999997</c:v>
                </c:pt>
                <c:pt idx="373">
                  <c:v>4.2690000000000001</c:v>
                </c:pt>
                <c:pt idx="374">
                  <c:v>4.1259999999999994</c:v>
                </c:pt>
                <c:pt idx="375">
                  <c:v>4.1399999999999997</c:v>
                </c:pt>
                <c:pt idx="376">
                  <c:v>3.8069999999999995</c:v>
                </c:pt>
                <c:pt idx="377">
                  <c:v>3.698</c:v>
                </c:pt>
                <c:pt idx="378">
                  <c:v>3.6949999999999998</c:v>
                </c:pt>
                <c:pt idx="379">
                  <c:v>3.6829999999999998</c:v>
                </c:pt>
                <c:pt idx="380">
                  <c:v>3.6859999999999999</c:v>
                </c:pt>
                <c:pt idx="381">
                  <c:v>3.6859999999999999</c:v>
                </c:pt>
                <c:pt idx="382">
                  <c:v>3.6870000000000007</c:v>
                </c:pt>
                <c:pt idx="383">
                  <c:v>3.6759999999999997</c:v>
                </c:pt>
                <c:pt idx="384">
                  <c:v>3.67</c:v>
                </c:pt>
                <c:pt idx="385">
                  <c:v>3.577</c:v>
                </c:pt>
                <c:pt idx="386">
                  <c:v>3.6159999999999997</c:v>
                </c:pt>
                <c:pt idx="387">
                  <c:v>3.6509999999999998</c:v>
                </c:pt>
                <c:pt idx="388">
                  <c:v>3.6429999999999998</c:v>
                </c:pt>
                <c:pt idx="389">
                  <c:v>3.6850000000000001</c:v>
                </c:pt>
                <c:pt idx="390">
                  <c:v>3.6640000000000001</c:v>
                </c:pt>
                <c:pt idx="391">
                  <c:v>3.7</c:v>
                </c:pt>
                <c:pt idx="392">
                  <c:v>3.8489999999999998</c:v>
                </c:pt>
                <c:pt idx="393">
                  <c:v>3.8769999999999993</c:v>
                </c:pt>
                <c:pt idx="394">
                  <c:v>3.92</c:v>
                </c:pt>
                <c:pt idx="395">
                  <c:v>3.9349999999999996</c:v>
                </c:pt>
                <c:pt idx="396">
                  <c:v>3.9529999999999994</c:v>
                </c:pt>
                <c:pt idx="397">
                  <c:v>4.0350000000000001</c:v>
                </c:pt>
                <c:pt idx="398">
                  <c:v>4.0869999999999997</c:v>
                </c:pt>
                <c:pt idx="399">
                  <c:v>4.1509999999999989</c:v>
                </c:pt>
                <c:pt idx="400">
                  <c:v>4.3419999999999996</c:v>
                </c:pt>
                <c:pt idx="401">
                  <c:v>4.4740000000000002</c:v>
                </c:pt>
                <c:pt idx="402">
                  <c:v>4.3219999999999992</c:v>
                </c:pt>
                <c:pt idx="403">
                  <c:v>4.2679999999999989</c:v>
                </c:pt>
                <c:pt idx="404">
                  <c:v>4.1869999999999994</c:v>
                </c:pt>
                <c:pt idx="405">
                  <c:v>4.1829999999999989</c:v>
                </c:pt>
                <c:pt idx="406">
                  <c:v>4.1869999999999994</c:v>
                </c:pt>
                <c:pt idx="407">
                  <c:v>4.2009999999999996</c:v>
                </c:pt>
                <c:pt idx="408">
                  <c:v>4.1839999999999993</c:v>
                </c:pt>
                <c:pt idx="409">
                  <c:v>4.18</c:v>
                </c:pt>
                <c:pt idx="410">
                  <c:v>4.3049999999999988</c:v>
                </c:pt>
                <c:pt idx="411">
                  <c:v>4.3669999999999991</c:v>
                </c:pt>
                <c:pt idx="412">
                  <c:v>4.3899999999999997</c:v>
                </c:pt>
                <c:pt idx="413">
                  <c:v>4.4300000000000006</c:v>
                </c:pt>
                <c:pt idx="414">
                  <c:v>4.4740000000000002</c:v>
                </c:pt>
                <c:pt idx="415">
                  <c:v>4.4720000000000004</c:v>
                </c:pt>
                <c:pt idx="416">
                  <c:v>4.4619999999999997</c:v>
                </c:pt>
                <c:pt idx="417">
                  <c:v>4.452</c:v>
                </c:pt>
                <c:pt idx="418">
                  <c:v>4.3860000000000001</c:v>
                </c:pt>
                <c:pt idx="419">
                  <c:v>4.3919999999999995</c:v>
                </c:pt>
                <c:pt idx="420">
                  <c:v>4.4589999999999996</c:v>
                </c:pt>
                <c:pt idx="421">
                  <c:v>4.4660000000000002</c:v>
                </c:pt>
                <c:pt idx="422">
                  <c:v>4.4889999999999999</c:v>
                </c:pt>
                <c:pt idx="423">
                  <c:v>4.5280000000000005</c:v>
                </c:pt>
                <c:pt idx="424">
                  <c:v>4.5090000000000003</c:v>
                </c:pt>
                <c:pt idx="425">
                  <c:v>4.4409999999999998</c:v>
                </c:pt>
                <c:pt idx="426">
                  <c:v>4.4400000000000004</c:v>
                </c:pt>
                <c:pt idx="427">
                  <c:v>4.3549999999999995</c:v>
                </c:pt>
                <c:pt idx="428">
                  <c:v>4.2489999999999997</c:v>
                </c:pt>
                <c:pt idx="429">
                  <c:v>4.2350000000000003</c:v>
                </c:pt>
                <c:pt idx="430">
                  <c:v>4.2469999999999999</c:v>
                </c:pt>
                <c:pt idx="431">
                  <c:v>4.2610000000000001</c:v>
                </c:pt>
                <c:pt idx="432">
                  <c:v>4.4779999999999998</c:v>
                </c:pt>
                <c:pt idx="433">
                  <c:v>4.5519999999999996</c:v>
                </c:pt>
                <c:pt idx="434">
                  <c:v>4.5819999999999999</c:v>
                </c:pt>
                <c:pt idx="435">
                  <c:v>4.5629999999999988</c:v>
                </c:pt>
                <c:pt idx="436">
                  <c:v>4.556</c:v>
                </c:pt>
                <c:pt idx="437">
                  <c:v>4.6049999999999995</c:v>
                </c:pt>
                <c:pt idx="438">
                  <c:v>4.5730000000000004</c:v>
                </c:pt>
                <c:pt idx="439">
                  <c:v>4.528999999999999</c:v>
                </c:pt>
                <c:pt idx="440">
                  <c:v>4.5069999999999997</c:v>
                </c:pt>
                <c:pt idx="441">
                  <c:v>4.4930000000000003</c:v>
                </c:pt>
                <c:pt idx="442">
                  <c:v>4.4509999999999996</c:v>
                </c:pt>
                <c:pt idx="443">
                  <c:v>4.4059999999999997</c:v>
                </c:pt>
                <c:pt idx="444">
                  <c:v>4.387999999999999</c:v>
                </c:pt>
                <c:pt idx="445">
                  <c:v>4.3810000000000002</c:v>
                </c:pt>
                <c:pt idx="446">
                  <c:v>4.3549999999999995</c:v>
                </c:pt>
                <c:pt idx="447">
                  <c:v>4.302999999999999</c:v>
                </c:pt>
                <c:pt idx="448">
                  <c:v>4.2880000000000003</c:v>
                </c:pt>
                <c:pt idx="449">
                  <c:v>4.2789999999999999</c:v>
                </c:pt>
                <c:pt idx="450">
                  <c:v>4.2530000000000001</c:v>
                </c:pt>
                <c:pt idx="451">
                  <c:v>4.242</c:v>
                </c:pt>
                <c:pt idx="452">
                  <c:v>4.258</c:v>
                </c:pt>
                <c:pt idx="453">
                  <c:v>4.258</c:v>
                </c:pt>
                <c:pt idx="454">
                  <c:v>4.141</c:v>
                </c:pt>
                <c:pt idx="455">
                  <c:v>4.101</c:v>
                </c:pt>
                <c:pt idx="456">
                  <c:v>4.016</c:v>
                </c:pt>
                <c:pt idx="457">
                  <c:v>3.9719999999999995</c:v>
                </c:pt>
                <c:pt idx="458">
                  <c:v>3.9559999999999995</c:v>
                </c:pt>
                <c:pt idx="459">
                  <c:v>3.9769999999999994</c:v>
                </c:pt>
                <c:pt idx="460">
                  <c:v>3.984</c:v>
                </c:pt>
                <c:pt idx="461">
                  <c:v>4.0119999999999996</c:v>
                </c:pt>
                <c:pt idx="462">
                  <c:v>4.0430000000000001</c:v>
                </c:pt>
                <c:pt idx="463">
                  <c:v>3.9939999999999998</c:v>
                </c:pt>
                <c:pt idx="464">
                  <c:v>3.9619999999999997</c:v>
                </c:pt>
                <c:pt idx="465">
                  <c:v>3.9470000000000001</c:v>
                </c:pt>
                <c:pt idx="466">
                  <c:v>3.9459999999999997</c:v>
                </c:pt>
                <c:pt idx="467">
                  <c:v>3.9169999999999994</c:v>
                </c:pt>
                <c:pt idx="468">
                  <c:v>3.9119999999999995</c:v>
                </c:pt>
                <c:pt idx="469">
                  <c:v>3.948</c:v>
                </c:pt>
                <c:pt idx="470">
                  <c:v>3.9739999999999998</c:v>
                </c:pt>
                <c:pt idx="471">
                  <c:v>4.0169999999999995</c:v>
                </c:pt>
                <c:pt idx="472">
                  <c:v>4.0510000000000002</c:v>
                </c:pt>
                <c:pt idx="473">
                  <c:v>4.097999999999999</c:v>
                </c:pt>
                <c:pt idx="474">
                  <c:v>4.0830000000000002</c:v>
                </c:pt>
                <c:pt idx="475">
                  <c:v>4.13</c:v>
                </c:pt>
                <c:pt idx="476">
                  <c:v>4.1449999999999987</c:v>
                </c:pt>
                <c:pt idx="477">
                  <c:v>4.2060000000000004</c:v>
                </c:pt>
                <c:pt idx="478">
                  <c:v>4.3069999999999995</c:v>
                </c:pt>
                <c:pt idx="479">
                  <c:v>4.3099999999999996</c:v>
                </c:pt>
                <c:pt idx="480">
                  <c:v>4.3139999999999992</c:v>
                </c:pt>
                <c:pt idx="481">
                  <c:v>4.3339999999999996</c:v>
                </c:pt>
                <c:pt idx="482">
                  <c:v>4.335</c:v>
                </c:pt>
                <c:pt idx="483">
                  <c:v>4.3360000000000003</c:v>
                </c:pt>
                <c:pt idx="484">
                  <c:v>4.3099999999999996</c:v>
                </c:pt>
                <c:pt idx="485">
                  <c:v>4.3289999999999988</c:v>
                </c:pt>
                <c:pt idx="486">
                  <c:v>4.3449999999999989</c:v>
                </c:pt>
                <c:pt idx="487">
                  <c:v>4.347999999999999</c:v>
                </c:pt>
                <c:pt idx="488">
                  <c:v>4.4219999999999997</c:v>
                </c:pt>
                <c:pt idx="489">
                  <c:v>4.5430000000000001</c:v>
                </c:pt>
                <c:pt idx="490">
                  <c:v>4.5839999999999996</c:v>
                </c:pt>
                <c:pt idx="491">
                  <c:v>4.6449999999999987</c:v>
                </c:pt>
                <c:pt idx="492">
                  <c:v>4.6390000000000002</c:v>
                </c:pt>
                <c:pt idx="493">
                  <c:v>4.6349999999999989</c:v>
                </c:pt>
                <c:pt idx="494">
                  <c:v>4.6229999999999993</c:v>
                </c:pt>
                <c:pt idx="495">
                  <c:v>4.6119999999999992</c:v>
                </c:pt>
                <c:pt idx="496">
                  <c:v>4.6159999999999988</c:v>
                </c:pt>
                <c:pt idx="497">
                  <c:v>4.6159999999999988</c:v>
                </c:pt>
                <c:pt idx="498">
                  <c:v>4.6429999999999989</c:v>
                </c:pt>
                <c:pt idx="499">
                  <c:v>4.6360000000000001</c:v>
                </c:pt>
                <c:pt idx="500">
                  <c:v>4.6499999999999995</c:v>
                </c:pt>
                <c:pt idx="501">
                  <c:v>4.68</c:v>
                </c:pt>
                <c:pt idx="502">
                  <c:v>4.78</c:v>
                </c:pt>
                <c:pt idx="503">
                  <c:v>4.79</c:v>
                </c:pt>
              </c:numCache>
            </c:numRef>
          </c:val>
          <c:smooth val="0"/>
        </c:ser>
        <c:dLbls>
          <c:showLegendKey val="0"/>
          <c:showVal val="0"/>
          <c:showCatName val="0"/>
          <c:showSerName val="0"/>
          <c:showPercent val="0"/>
          <c:showBubbleSize val="0"/>
        </c:dLbls>
        <c:marker val="1"/>
        <c:smooth val="0"/>
        <c:axId val="296815992"/>
        <c:axId val="296815600"/>
      </c:lineChart>
      <c:dateAx>
        <c:axId val="296814816"/>
        <c:scaling>
          <c:orientation val="minMax"/>
          <c:max val="41943"/>
          <c:min val="41243"/>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lang="sr-Latn-RS" sz="900" b="0" i="0" u="none" strike="noStrike" kern="1200" cap="none" spc="0" normalizeH="0" baseline="0">
                <a:solidFill>
                  <a:schemeClr val="tx1">
                    <a:lumMod val="65000"/>
                    <a:lumOff val="35000"/>
                  </a:schemeClr>
                </a:solidFill>
                <a:latin typeface="+mj-lt"/>
                <a:ea typeface="+mn-ea"/>
                <a:cs typeface="+mn-cs"/>
              </a:defRPr>
            </a:pPr>
            <a:endParaRPr lang="en-US"/>
          </a:p>
        </c:txPr>
        <c:crossAx val="296815208"/>
        <c:crosses val="autoZero"/>
        <c:auto val="0"/>
        <c:lblOffset val="100"/>
        <c:baseTimeUnit val="days"/>
        <c:majorUnit val="35"/>
        <c:majorTimeUnit val="days"/>
      </c:dateAx>
      <c:valAx>
        <c:axId val="296815208"/>
        <c:scaling>
          <c:orientation val="minMax"/>
          <c:max val="108"/>
          <c:min val="9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540A]" sourceLinked="0"/>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crossAx val="296814816"/>
        <c:crosses val="autoZero"/>
        <c:crossBetween val="between"/>
        <c:majorUnit val="1"/>
      </c:valAx>
      <c:valAx>
        <c:axId val="296815600"/>
        <c:scaling>
          <c:orientation val="minMax"/>
          <c:min val="3"/>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RS" sz="900" b="0" i="0" u="none" strike="noStrike" kern="1200" cap="all" baseline="0">
                    <a:solidFill>
                      <a:schemeClr val="tx1">
                        <a:lumMod val="65000"/>
                        <a:lumOff val="35000"/>
                      </a:schemeClr>
                    </a:solidFill>
                    <a:latin typeface="+mj-lt"/>
                    <a:ea typeface="+mn-ea"/>
                    <a:cs typeface="+mn-cs"/>
                  </a:defRPr>
                </a:pPr>
                <a:r>
                  <a:rPr lang="x-none"/>
                  <a:t>У процентима</a:t>
                </a: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crossAx val="296815992"/>
        <c:crosses val="max"/>
        <c:crossBetween val="between"/>
        <c:majorUnit val="0.5"/>
      </c:valAx>
      <c:dateAx>
        <c:axId val="296815992"/>
        <c:scaling>
          <c:orientation val="minMax"/>
        </c:scaling>
        <c:delete val="1"/>
        <c:axPos val="b"/>
        <c:numFmt formatCode="d\.m\.yyyy" sourceLinked="1"/>
        <c:majorTickMark val="out"/>
        <c:minorTickMark val="none"/>
        <c:tickLblPos val="none"/>
        <c:crossAx val="296815600"/>
        <c:crosses val="autoZero"/>
        <c:auto val="1"/>
        <c:lblOffset val="100"/>
        <c:baseTimeUnit val="days"/>
      </c:dateAx>
      <c:spPr>
        <a:solidFill>
          <a:srgbClr val="9BBB59">
            <a:lumMod val="20000"/>
            <a:lumOff val="80000"/>
          </a:srgbClr>
        </a:solidFill>
        <a:ln>
          <a:noFill/>
        </a:ln>
        <a:effectLst/>
      </c:spPr>
    </c:plotArea>
    <c:legend>
      <c:legendPos val="t"/>
      <c:layout>
        <c:manualLayout>
          <c:xMode val="edge"/>
          <c:yMode val="edge"/>
          <c:x val="0.50688449161246152"/>
          <c:y val="3.6059150326797386E-2"/>
          <c:w val="0.38970909505876988"/>
          <c:h val="0.12639352109316063"/>
        </c:manualLayout>
      </c:layout>
      <c:overlay val="0"/>
      <c:spPr>
        <a:noFill/>
        <a:ln>
          <a:noFill/>
        </a:ln>
        <a:effectLst/>
      </c:spPr>
      <c:txPr>
        <a:bodyPr rot="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900">
          <a:latin typeface="+mj-lt"/>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4748455428067"/>
          <c:y val="2.8934444444444447E-2"/>
          <c:w val="0.80282375540960593"/>
          <c:h val="0.72561732026143788"/>
        </c:manualLayout>
      </c:layout>
      <c:areaChart>
        <c:grouping val="stacked"/>
        <c:varyColors val="0"/>
        <c:ser>
          <c:idx val="0"/>
          <c:order val="0"/>
          <c:tx>
            <c:strRef>
              <c:f>Eurobond!$K$3</c:f>
              <c:strCache>
                <c:ptCount val="1"/>
                <c:pt idx="0">
                  <c:v>Цена на затварању</c:v>
                </c:pt>
              </c:strCache>
            </c:strRef>
          </c:tx>
          <c:spPr>
            <a:solidFill>
              <a:srgbClr val="9BBB59">
                <a:lumMod val="75000"/>
              </a:srgbClr>
            </a:solidFill>
            <a:ln>
              <a:noFill/>
            </a:ln>
            <a:effectLst/>
          </c:spPr>
          <c:cat>
            <c:numRef>
              <c:f>Eurobond!$J$6:$J$448</c:f>
              <c:numCache>
                <c:formatCode>d/m/yyyy</c:formatCode>
                <c:ptCount val="443"/>
                <c:pt idx="0">
                  <c:v>41943</c:v>
                </c:pt>
                <c:pt idx="1">
                  <c:v>41942</c:v>
                </c:pt>
                <c:pt idx="2">
                  <c:v>41941</c:v>
                </c:pt>
                <c:pt idx="3">
                  <c:v>41940</c:v>
                </c:pt>
                <c:pt idx="4">
                  <c:v>41939</c:v>
                </c:pt>
                <c:pt idx="5">
                  <c:v>41936</c:v>
                </c:pt>
                <c:pt idx="6">
                  <c:v>41935</c:v>
                </c:pt>
                <c:pt idx="7">
                  <c:v>41934</c:v>
                </c:pt>
                <c:pt idx="8">
                  <c:v>41933</c:v>
                </c:pt>
                <c:pt idx="9">
                  <c:v>41932</c:v>
                </c:pt>
                <c:pt idx="10">
                  <c:v>41929</c:v>
                </c:pt>
                <c:pt idx="11">
                  <c:v>41928</c:v>
                </c:pt>
                <c:pt idx="12">
                  <c:v>41927</c:v>
                </c:pt>
                <c:pt idx="13">
                  <c:v>41926</c:v>
                </c:pt>
                <c:pt idx="14">
                  <c:v>41925</c:v>
                </c:pt>
                <c:pt idx="15">
                  <c:v>41922</c:v>
                </c:pt>
                <c:pt idx="16">
                  <c:v>41921</c:v>
                </c:pt>
                <c:pt idx="17">
                  <c:v>41920</c:v>
                </c:pt>
                <c:pt idx="18">
                  <c:v>41919</c:v>
                </c:pt>
                <c:pt idx="19">
                  <c:v>41918</c:v>
                </c:pt>
                <c:pt idx="20">
                  <c:v>41915</c:v>
                </c:pt>
                <c:pt idx="21">
                  <c:v>41914</c:v>
                </c:pt>
                <c:pt idx="22">
                  <c:v>41913</c:v>
                </c:pt>
                <c:pt idx="23">
                  <c:v>41912</c:v>
                </c:pt>
                <c:pt idx="24">
                  <c:v>41911</c:v>
                </c:pt>
                <c:pt idx="25">
                  <c:v>41908</c:v>
                </c:pt>
                <c:pt idx="26">
                  <c:v>41907</c:v>
                </c:pt>
                <c:pt idx="27">
                  <c:v>41906</c:v>
                </c:pt>
                <c:pt idx="28">
                  <c:v>41905</c:v>
                </c:pt>
                <c:pt idx="29">
                  <c:v>41904</c:v>
                </c:pt>
                <c:pt idx="30">
                  <c:v>41901</c:v>
                </c:pt>
                <c:pt idx="31">
                  <c:v>41900</c:v>
                </c:pt>
                <c:pt idx="32">
                  <c:v>41899</c:v>
                </c:pt>
                <c:pt idx="33">
                  <c:v>41898</c:v>
                </c:pt>
                <c:pt idx="34">
                  <c:v>41897</c:v>
                </c:pt>
                <c:pt idx="35">
                  <c:v>41894</c:v>
                </c:pt>
                <c:pt idx="36">
                  <c:v>41893</c:v>
                </c:pt>
                <c:pt idx="37">
                  <c:v>41892</c:v>
                </c:pt>
                <c:pt idx="38">
                  <c:v>41891</c:v>
                </c:pt>
                <c:pt idx="39">
                  <c:v>41890</c:v>
                </c:pt>
                <c:pt idx="40">
                  <c:v>41887</c:v>
                </c:pt>
                <c:pt idx="41">
                  <c:v>41886</c:v>
                </c:pt>
                <c:pt idx="42">
                  <c:v>41885</c:v>
                </c:pt>
                <c:pt idx="43">
                  <c:v>41884</c:v>
                </c:pt>
                <c:pt idx="44">
                  <c:v>41883</c:v>
                </c:pt>
                <c:pt idx="45">
                  <c:v>41880</c:v>
                </c:pt>
                <c:pt idx="46">
                  <c:v>41879</c:v>
                </c:pt>
                <c:pt idx="47">
                  <c:v>41878</c:v>
                </c:pt>
                <c:pt idx="48">
                  <c:v>41877</c:v>
                </c:pt>
                <c:pt idx="49">
                  <c:v>41876</c:v>
                </c:pt>
                <c:pt idx="50">
                  <c:v>41873</c:v>
                </c:pt>
                <c:pt idx="51">
                  <c:v>41872</c:v>
                </c:pt>
                <c:pt idx="52">
                  <c:v>41871</c:v>
                </c:pt>
                <c:pt idx="53">
                  <c:v>41870</c:v>
                </c:pt>
                <c:pt idx="54">
                  <c:v>41869</c:v>
                </c:pt>
                <c:pt idx="55">
                  <c:v>41866</c:v>
                </c:pt>
                <c:pt idx="56">
                  <c:v>41865</c:v>
                </c:pt>
                <c:pt idx="57">
                  <c:v>41864</c:v>
                </c:pt>
                <c:pt idx="58">
                  <c:v>41863</c:v>
                </c:pt>
                <c:pt idx="59">
                  <c:v>41862</c:v>
                </c:pt>
                <c:pt idx="60">
                  <c:v>41859</c:v>
                </c:pt>
                <c:pt idx="61">
                  <c:v>41858</c:v>
                </c:pt>
                <c:pt idx="62">
                  <c:v>41857</c:v>
                </c:pt>
                <c:pt idx="63">
                  <c:v>41856</c:v>
                </c:pt>
                <c:pt idx="64">
                  <c:v>41855</c:v>
                </c:pt>
                <c:pt idx="65">
                  <c:v>41852</c:v>
                </c:pt>
                <c:pt idx="66">
                  <c:v>41851</c:v>
                </c:pt>
                <c:pt idx="67">
                  <c:v>41850</c:v>
                </c:pt>
                <c:pt idx="68">
                  <c:v>41849</c:v>
                </c:pt>
                <c:pt idx="69">
                  <c:v>41848</c:v>
                </c:pt>
                <c:pt idx="70">
                  <c:v>41845</c:v>
                </c:pt>
                <c:pt idx="71">
                  <c:v>41844</c:v>
                </c:pt>
                <c:pt idx="72">
                  <c:v>41843</c:v>
                </c:pt>
                <c:pt idx="73">
                  <c:v>41842</c:v>
                </c:pt>
                <c:pt idx="74">
                  <c:v>41841</c:v>
                </c:pt>
                <c:pt idx="75">
                  <c:v>41838</c:v>
                </c:pt>
                <c:pt idx="76">
                  <c:v>41837</c:v>
                </c:pt>
                <c:pt idx="77">
                  <c:v>41836</c:v>
                </c:pt>
                <c:pt idx="78">
                  <c:v>41835</c:v>
                </c:pt>
                <c:pt idx="79">
                  <c:v>41834</c:v>
                </c:pt>
                <c:pt idx="80">
                  <c:v>41831</c:v>
                </c:pt>
                <c:pt idx="81">
                  <c:v>41830</c:v>
                </c:pt>
                <c:pt idx="82">
                  <c:v>41829</c:v>
                </c:pt>
                <c:pt idx="83">
                  <c:v>41828</c:v>
                </c:pt>
                <c:pt idx="84">
                  <c:v>41827</c:v>
                </c:pt>
                <c:pt idx="85">
                  <c:v>41824</c:v>
                </c:pt>
                <c:pt idx="86">
                  <c:v>41823</c:v>
                </c:pt>
                <c:pt idx="87">
                  <c:v>41822</c:v>
                </c:pt>
                <c:pt idx="88">
                  <c:v>41821</c:v>
                </c:pt>
                <c:pt idx="89">
                  <c:v>41820</c:v>
                </c:pt>
                <c:pt idx="90">
                  <c:v>41817</c:v>
                </c:pt>
                <c:pt idx="91">
                  <c:v>41816</c:v>
                </c:pt>
                <c:pt idx="92">
                  <c:v>41815</c:v>
                </c:pt>
                <c:pt idx="93">
                  <c:v>41814</c:v>
                </c:pt>
                <c:pt idx="94">
                  <c:v>41813</c:v>
                </c:pt>
                <c:pt idx="95">
                  <c:v>41810</c:v>
                </c:pt>
                <c:pt idx="96">
                  <c:v>41809</c:v>
                </c:pt>
                <c:pt idx="97">
                  <c:v>41808</c:v>
                </c:pt>
                <c:pt idx="98">
                  <c:v>41807</c:v>
                </c:pt>
                <c:pt idx="99">
                  <c:v>41806</c:v>
                </c:pt>
                <c:pt idx="100">
                  <c:v>41803</c:v>
                </c:pt>
                <c:pt idx="101">
                  <c:v>41802</c:v>
                </c:pt>
                <c:pt idx="102">
                  <c:v>41801</c:v>
                </c:pt>
                <c:pt idx="103">
                  <c:v>41800</c:v>
                </c:pt>
                <c:pt idx="104">
                  <c:v>41799</c:v>
                </c:pt>
                <c:pt idx="105">
                  <c:v>41796</c:v>
                </c:pt>
                <c:pt idx="106">
                  <c:v>41795</c:v>
                </c:pt>
                <c:pt idx="107">
                  <c:v>41794</c:v>
                </c:pt>
                <c:pt idx="108">
                  <c:v>41793</c:v>
                </c:pt>
                <c:pt idx="109">
                  <c:v>41792</c:v>
                </c:pt>
                <c:pt idx="110">
                  <c:v>41789</c:v>
                </c:pt>
                <c:pt idx="111">
                  <c:v>41788</c:v>
                </c:pt>
                <c:pt idx="112">
                  <c:v>41787</c:v>
                </c:pt>
                <c:pt idx="113">
                  <c:v>41786</c:v>
                </c:pt>
                <c:pt idx="114">
                  <c:v>41785</c:v>
                </c:pt>
                <c:pt idx="115">
                  <c:v>41782</c:v>
                </c:pt>
                <c:pt idx="116">
                  <c:v>41781</c:v>
                </c:pt>
                <c:pt idx="117">
                  <c:v>41780</c:v>
                </c:pt>
                <c:pt idx="118">
                  <c:v>41779</c:v>
                </c:pt>
                <c:pt idx="119">
                  <c:v>41778</c:v>
                </c:pt>
                <c:pt idx="120">
                  <c:v>41775</c:v>
                </c:pt>
                <c:pt idx="121">
                  <c:v>41774</c:v>
                </c:pt>
                <c:pt idx="122">
                  <c:v>41773</c:v>
                </c:pt>
                <c:pt idx="123">
                  <c:v>41772</c:v>
                </c:pt>
                <c:pt idx="124">
                  <c:v>41771</c:v>
                </c:pt>
                <c:pt idx="125">
                  <c:v>41768</c:v>
                </c:pt>
                <c:pt idx="126">
                  <c:v>41767</c:v>
                </c:pt>
                <c:pt idx="127">
                  <c:v>41766</c:v>
                </c:pt>
                <c:pt idx="128">
                  <c:v>41765</c:v>
                </c:pt>
                <c:pt idx="129">
                  <c:v>41764</c:v>
                </c:pt>
                <c:pt idx="130">
                  <c:v>41761</c:v>
                </c:pt>
                <c:pt idx="131">
                  <c:v>41760</c:v>
                </c:pt>
                <c:pt idx="132">
                  <c:v>41759</c:v>
                </c:pt>
                <c:pt idx="133">
                  <c:v>41758</c:v>
                </c:pt>
                <c:pt idx="134">
                  <c:v>41757</c:v>
                </c:pt>
                <c:pt idx="135">
                  <c:v>41754</c:v>
                </c:pt>
                <c:pt idx="136">
                  <c:v>41753</c:v>
                </c:pt>
                <c:pt idx="137">
                  <c:v>41752</c:v>
                </c:pt>
                <c:pt idx="138">
                  <c:v>41751</c:v>
                </c:pt>
                <c:pt idx="139">
                  <c:v>41750</c:v>
                </c:pt>
                <c:pt idx="140">
                  <c:v>41747</c:v>
                </c:pt>
                <c:pt idx="141">
                  <c:v>41746</c:v>
                </c:pt>
                <c:pt idx="142">
                  <c:v>41745</c:v>
                </c:pt>
                <c:pt idx="143">
                  <c:v>41744</c:v>
                </c:pt>
                <c:pt idx="144">
                  <c:v>41743</c:v>
                </c:pt>
                <c:pt idx="145">
                  <c:v>41740</c:v>
                </c:pt>
                <c:pt idx="146">
                  <c:v>41739</c:v>
                </c:pt>
                <c:pt idx="147">
                  <c:v>41738</c:v>
                </c:pt>
                <c:pt idx="148">
                  <c:v>41737</c:v>
                </c:pt>
                <c:pt idx="149">
                  <c:v>41736</c:v>
                </c:pt>
                <c:pt idx="150">
                  <c:v>41733</c:v>
                </c:pt>
                <c:pt idx="151">
                  <c:v>41732</c:v>
                </c:pt>
                <c:pt idx="152">
                  <c:v>41731</c:v>
                </c:pt>
                <c:pt idx="153">
                  <c:v>41730</c:v>
                </c:pt>
                <c:pt idx="154">
                  <c:v>41729</c:v>
                </c:pt>
                <c:pt idx="155">
                  <c:v>41726</c:v>
                </c:pt>
                <c:pt idx="156">
                  <c:v>41725</c:v>
                </c:pt>
                <c:pt idx="157">
                  <c:v>41724</c:v>
                </c:pt>
                <c:pt idx="158">
                  <c:v>41723</c:v>
                </c:pt>
                <c:pt idx="159">
                  <c:v>41722</c:v>
                </c:pt>
                <c:pt idx="160">
                  <c:v>41719</c:v>
                </c:pt>
                <c:pt idx="161">
                  <c:v>41718</c:v>
                </c:pt>
                <c:pt idx="162">
                  <c:v>41717</c:v>
                </c:pt>
                <c:pt idx="163">
                  <c:v>41716</c:v>
                </c:pt>
                <c:pt idx="164">
                  <c:v>41715</c:v>
                </c:pt>
                <c:pt idx="165">
                  <c:v>41712</c:v>
                </c:pt>
                <c:pt idx="166">
                  <c:v>41711</c:v>
                </c:pt>
                <c:pt idx="167">
                  <c:v>41710</c:v>
                </c:pt>
                <c:pt idx="168">
                  <c:v>41709</c:v>
                </c:pt>
                <c:pt idx="169">
                  <c:v>41708</c:v>
                </c:pt>
                <c:pt idx="170">
                  <c:v>41705</c:v>
                </c:pt>
                <c:pt idx="171">
                  <c:v>41704</c:v>
                </c:pt>
                <c:pt idx="172">
                  <c:v>41703</c:v>
                </c:pt>
                <c:pt idx="173">
                  <c:v>41702</c:v>
                </c:pt>
                <c:pt idx="174">
                  <c:v>41701</c:v>
                </c:pt>
                <c:pt idx="175">
                  <c:v>41698</c:v>
                </c:pt>
                <c:pt idx="176">
                  <c:v>41697</c:v>
                </c:pt>
                <c:pt idx="177">
                  <c:v>41696</c:v>
                </c:pt>
                <c:pt idx="178">
                  <c:v>41695</c:v>
                </c:pt>
                <c:pt idx="179">
                  <c:v>41694</c:v>
                </c:pt>
                <c:pt idx="180">
                  <c:v>41691</c:v>
                </c:pt>
                <c:pt idx="181">
                  <c:v>41690</c:v>
                </c:pt>
                <c:pt idx="182">
                  <c:v>41689</c:v>
                </c:pt>
                <c:pt idx="183">
                  <c:v>41688</c:v>
                </c:pt>
                <c:pt idx="184">
                  <c:v>41687</c:v>
                </c:pt>
                <c:pt idx="185">
                  <c:v>41684</c:v>
                </c:pt>
                <c:pt idx="186">
                  <c:v>41683</c:v>
                </c:pt>
                <c:pt idx="187">
                  <c:v>41682</c:v>
                </c:pt>
                <c:pt idx="188">
                  <c:v>41681</c:v>
                </c:pt>
                <c:pt idx="189">
                  <c:v>41680</c:v>
                </c:pt>
                <c:pt idx="190">
                  <c:v>41677</c:v>
                </c:pt>
                <c:pt idx="191">
                  <c:v>41676</c:v>
                </c:pt>
                <c:pt idx="192">
                  <c:v>41675</c:v>
                </c:pt>
                <c:pt idx="193">
                  <c:v>41674</c:v>
                </c:pt>
                <c:pt idx="194">
                  <c:v>41673</c:v>
                </c:pt>
                <c:pt idx="195">
                  <c:v>41670</c:v>
                </c:pt>
                <c:pt idx="196">
                  <c:v>41669</c:v>
                </c:pt>
                <c:pt idx="197">
                  <c:v>41668</c:v>
                </c:pt>
                <c:pt idx="198">
                  <c:v>41667</c:v>
                </c:pt>
                <c:pt idx="199">
                  <c:v>41666</c:v>
                </c:pt>
                <c:pt idx="200">
                  <c:v>41663</c:v>
                </c:pt>
                <c:pt idx="201">
                  <c:v>41662</c:v>
                </c:pt>
                <c:pt idx="202">
                  <c:v>41661</c:v>
                </c:pt>
                <c:pt idx="203">
                  <c:v>41660</c:v>
                </c:pt>
                <c:pt idx="204">
                  <c:v>41659</c:v>
                </c:pt>
                <c:pt idx="205">
                  <c:v>41656</c:v>
                </c:pt>
                <c:pt idx="206">
                  <c:v>41655</c:v>
                </c:pt>
                <c:pt idx="207">
                  <c:v>41654</c:v>
                </c:pt>
                <c:pt idx="208">
                  <c:v>41653</c:v>
                </c:pt>
                <c:pt idx="209">
                  <c:v>41652</c:v>
                </c:pt>
                <c:pt idx="210">
                  <c:v>41649</c:v>
                </c:pt>
                <c:pt idx="211">
                  <c:v>41648</c:v>
                </c:pt>
                <c:pt idx="212">
                  <c:v>41647</c:v>
                </c:pt>
                <c:pt idx="213">
                  <c:v>41646</c:v>
                </c:pt>
                <c:pt idx="214">
                  <c:v>41645</c:v>
                </c:pt>
                <c:pt idx="215">
                  <c:v>41642</c:v>
                </c:pt>
                <c:pt idx="216">
                  <c:v>41641</c:v>
                </c:pt>
                <c:pt idx="217">
                  <c:v>41640</c:v>
                </c:pt>
                <c:pt idx="218">
                  <c:v>41639</c:v>
                </c:pt>
                <c:pt idx="219">
                  <c:v>41638</c:v>
                </c:pt>
                <c:pt idx="220">
                  <c:v>41635</c:v>
                </c:pt>
                <c:pt idx="221">
                  <c:v>41634</c:v>
                </c:pt>
                <c:pt idx="222">
                  <c:v>41633</c:v>
                </c:pt>
                <c:pt idx="223">
                  <c:v>41632</c:v>
                </c:pt>
                <c:pt idx="224">
                  <c:v>41631</c:v>
                </c:pt>
                <c:pt idx="225">
                  <c:v>41628</c:v>
                </c:pt>
                <c:pt idx="226">
                  <c:v>41627</c:v>
                </c:pt>
                <c:pt idx="227">
                  <c:v>41626</c:v>
                </c:pt>
                <c:pt idx="228">
                  <c:v>41625</c:v>
                </c:pt>
                <c:pt idx="229">
                  <c:v>41624</c:v>
                </c:pt>
                <c:pt idx="230">
                  <c:v>41621</c:v>
                </c:pt>
                <c:pt idx="231">
                  <c:v>41620</c:v>
                </c:pt>
                <c:pt idx="232">
                  <c:v>41619</c:v>
                </c:pt>
                <c:pt idx="233">
                  <c:v>41618</c:v>
                </c:pt>
                <c:pt idx="234">
                  <c:v>41617</c:v>
                </c:pt>
                <c:pt idx="235">
                  <c:v>41614</c:v>
                </c:pt>
                <c:pt idx="236">
                  <c:v>41613</c:v>
                </c:pt>
                <c:pt idx="237">
                  <c:v>41612</c:v>
                </c:pt>
                <c:pt idx="238">
                  <c:v>41611</c:v>
                </c:pt>
                <c:pt idx="239">
                  <c:v>41610</c:v>
                </c:pt>
                <c:pt idx="240">
                  <c:v>41607</c:v>
                </c:pt>
                <c:pt idx="241">
                  <c:v>41606</c:v>
                </c:pt>
                <c:pt idx="242">
                  <c:v>41605</c:v>
                </c:pt>
                <c:pt idx="243">
                  <c:v>41604</c:v>
                </c:pt>
                <c:pt idx="244">
                  <c:v>41603</c:v>
                </c:pt>
                <c:pt idx="245">
                  <c:v>41600</c:v>
                </c:pt>
                <c:pt idx="246">
                  <c:v>41599</c:v>
                </c:pt>
                <c:pt idx="247">
                  <c:v>41598</c:v>
                </c:pt>
                <c:pt idx="248">
                  <c:v>41597</c:v>
                </c:pt>
                <c:pt idx="249">
                  <c:v>41596</c:v>
                </c:pt>
                <c:pt idx="250">
                  <c:v>41593</c:v>
                </c:pt>
                <c:pt idx="251">
                  <c:v>41592</c:v>
                </c:pt>
                <c:pt idx="252">
                  <c:v>41591</c:v>
                </c:pt>
                <c:pt idx="253">
                  <c:v>41590</c:v>
                </c:pt>
                <c:pt idx="254">
                  <c:v>41589</c:v>
                </c:pt>
                <c:pt idx="255">
                  <c:v>41586</c:v>
                </c:pt>
                <c:pt idx="256">
                  <c:v>41585</c:v>
                </c:pt>
                <c:pt idx="257">
                  <c:v>41584</c:v>
                </c:pt>
                <c:pt idx="258">
                  <c:v>41583</c:v>
                </c:pt>
                <c:pt idx="259">
                  <c:v>41582</c:v>
                </c:pt>
                <c:pt idx="260">
                  <c:v>41579</c:v>
                </c:pt>
                <c:pt idx="261">
                  <c:v>41578</c:v>
                </c:pt>
                <c:pt idx="262">
                  <c:v>41577</c:v>
                </c:pt>
                <c:pt idx="263">
                  <c:v>41576</c:v>
                </c:pt>
                <c:pt idx="264">
                  <c:v>41575</c:v>
                </c:pt>
                <c:pt idx="265">
                  <c:v>41572</c:v>
                </c:pt>
                <c:pt idx="266">
                  <c:v>41571</c:v>
                </c:pt>
                <c:pt idx="267">
                  <c:v>41570</c:v>
                </c:pt>
                <c:pt idx="268">
                  <c:v>41569</c:v>
                </c:pt>
                <c:pt idx="269">
                  <c:v>41568</c:v>
                </c:pt>
                <c:pt idx="270">
                  <c:v>41565</c:v>
                </c:pt>
                <c:pt idx="271">
                  <c:v>41564</c:v>
                </c:pt>
                <c:pt idx="272">
                  <c:v>41563</c:v>
                </c:pt>
                <c:pt idx="273">
                  <c:v>41562</c:v>
                </c:pt>
                <c:pt idx="274">
                  <c:v>41561</c:v>
                </c:pt>
                <c:pt idx="275">
                  <c:v>41558</c:v>
                </c:pt>
                <c:pt idx="276">
                  <c:v>41557</c:v>
                </c:pt>
                <c:pt idx="277">
                  <c:v>41556</c:v>
                </c:pt>
                <c:pt idx="278">
                  <c:v>41555</c:v>
                </c:pt>
                <c:pt idx="279">
                  <c:v>41554</c:v>
                </c:pt>
                <c:pt idx="280">
                  <c:v>41551</c:v>
                </c:pt>
                <c:pt idx="281">
                  <c:v>41550</c:v>
                </c:pt>
                <c:pt idx="282">
                  <c:v>41549</c:v>
                </c:pt>
                <c:pt idx="283">
                  <c:v>41548</c:v>
                </c:pt>
                <c:pt idx="284">
                  <c:v>41547</c:v>
                </c:pt>
                <c:pt idx="285">
                  <c:v>41544</c:v>
                </c:pt>
                <c:pt idx="286">
                  <c:v>41543</c:v>
                </c:pt>
                <c:pt idx="287">
                  <c:v>41542</c:v>
                </c:pt>
                <c:pt idx="288">
                  <c:v>41541</c:v>
                </c:pt>
                <c:pt idx="289">
                  <c:v>41540</c:v>
                </c:pt>
                <c:pt idx="290">
                  <c:v>41537</c:v>
                </c:pt>
                <c:pt idx="291">
                  <c:v>41536</c:v>
                </c:pt>
                <c:pt idx="292">
                  <c:v>41535</c:v>
                </c:pt>
                <c:pt idx="293">
                  <c:v>41534</c:v>
                </c:pt>
                <c:pt idx="294">
                  <c:v>41533</c:v>
                </c:pt>
                <c:pt idx="295">
                  <c:v>41530</c:v>
                </c:pt>
                <c:pt idx="296">
                  <c:v>41529</c:v>
                </c:pt>
                <c:pt idx="297">
                  <c:v>41528</c:v>
                </c:pt>
                <c:pt idx="298">
                  <c:v>41527</c:v>
                </c:pt>
                <c:pt idx="299">
                  <c:v>41526</c:v>
                </c:pt>
                <c:pt idx="300">
                  <c:v>41523</c:v>
                </c:pt>
                <c:pt idx="301">
                  <c:v>41522</c:v>
                </c:pt>
                <c:pt idx="302">
                  <c:v>41521</c:v>
                </c:pt>
                <c:pt idx="303">
                  <c:v>41520</c:v>
                </c:pt>
                <c:pt idx="304">
                  <c:v>41519</c:v>
                </c:pt>
                <c:pt idx="305">
                  <c:v>41516</c:v>
                </c:pt>
                <c:pt idx="306">
                  <c:v>41515</c:v>
                </c:pt>
                <c:pt idx="307">
                  <c:v>41514</c:v>
                </c:pt>
                <c:pt idx="308">
                  <c:v>41513</c:v>
                </c:pt>
                <c:pt idx="309">
                  <c:v>41512</c:v>
                </c:pt>
                <c:pt idx="310">
                  <c:v>41509</c:v>
                </c:pt>
                <c:pt idx="311">
                  <c:v>41508</c:v>
                </c:pt>
                <c:pt idx="312">
                  <c:v>41507</c:v>
                </c:pt>
                <c:pt idx="313">
                  <c:v>41506</c:v>
                </c:pt>
                <c:pt idx="314">
                  <c:v>41505</c:v>
                </c:pt>
                <c:pt idx="315">
                  <c:v>41502</c:v>
                </c:pt>
                <c:pt idx="316">
                  <c:v>41501</c:v>
                </c:pt>
                <c:pt idx="317">
                  <c:v>41500</c:v>
                </c:pt>
                <c:pt idx="318">
                  <c:v>41499</c:v>
                </c:pt>
                <c:pt idx="319">
                  <c:v>41498</c:v>
                </c:pt>
                <c:pt idx="320">
                  <c:v>41495</c:v>
                </c:pt>
                <c:pt idx="321">
                  <c:v>41494</c:v>
                </c:pt>
                <c:pt idx="322">
                  <c:v>41493</c:v>
                </c:pt>
                <c:pt idx="323">
                  <c:v>41492</c:v>
                </c:pt>
                <c:pt idx="324">
                  <c:v>41491</c:v>
                </c:pt>
                <c:pt idx="325">
                  <c:v>41488</c:v>
                </c:pt>
                <c:pt idx="326">
                  <c:v>41487</c:v>
                </c:pt>
                <c:pt idx="327">
                  <c:v>41486</c:v>
                </c:pt>
                <c:pt idx="328">
                  <c:v>41485</c:v>
                </c:pt>
                <c:pt idx="329">
                  <c:v>41484</c:v>
                </c:pt>
                <c:pt idx="330">
                  <c:v>41481</c:v>
                </c:pt>
                <c:pt idx="331">
                  <c:v>41480</c:v>
                </c:pt>
                <c:pt idx="332">
                  <c:v>41479</c:v>
                </c:pt>
                <c:pt idx="333">
                  <c:v>41478</c:v>
                </c:pt>
                <c:pt idx="334">
                  <c:v>41477</c:v>
                </c:pt>
                <c:pt idx="335">
                  <c:v>41474</c:v>
                </c:pt>
                <c:pt idx="336">
                  <c:v>41473</c:v>
                </c:pt>
                <c:pt idx="337">
                  <c:v>41472</c:v>
                </c:pt>
                <c:pt idx="338">
                  <c:v>41471</c:v>
                </c:pt>
                <c:pt idx="339">
                  <c:v>41470</c:v>
                </c:pt>
                <c:pt idx="340">
                  <c:v>41467</c:v>
                </c:pt>
                <c:pt idx="341">
                  <c:v>41466</c:v>
                </c:pt>
                <c:pt idx="342">
                  <c:v>41465</c:v>
                </c:pt>
                <c:pt idx="343">
                  <c:v>41464</c:v>
                </c:pt>
                <c:pt idx="344">
                  <c:v>41463</c:v>
                </c:pt>
                <c:pt idx="345">
                  <c:v>41460</c:v>
                </c:pt>
                <c:pt idx="346">
                  <c:v>41459</c:v>
                </c:pt>
                <c:pt idx="347">
                  <c:v>41458</c:v>
                </c:pt>
                <c:pt idx="348">
                  <c:v>41457</c:v>
                </c:pt>
                <c:pt idx="349">
                  <c:v>41456</c:v>
                </c:pt>
                <c:pt idx="350">
                  <c:v>41453</c:v>
                </c:pt>
                <c:pt idx="351">
                  <c:v>41452</c:v>
                </c:pt>
                <c:pt idx="352">
                  <c:v>41451</c:v>
                </c:pt>
                <c:pt idx="353">
                  <c:v>41450</c:v>
                </c:pt>
                <c:pt idx="354">
                  <c:v>41449</c:v>
                </c:pt>
                <c:pt idx="355">
                  <c:v>41446</c:v>
                </c:pt>
                <c:pt idx="356">
                  <c:v>41445</c:v>
                </c:pt>
                <c:pt idx="357">
                  <c:v>41444</c:v>
                </c:pt>
                <c:pt idx="358">
                  <c:v>41443</c:v>
                </c:pt>
                <c:pt idx="359">
                  <c:v>41442</c:v>
                </c:pt>
                <c:pt idx="360">
                  <c:v>41439</c:v>
                </c:pt>
                <c:pt idx="361">
                  <c:v>41438</c:v>
                </c:pt>
                <c:pt idx="362">
                  <c:v>41437</c:v>
                </c:pt>
                <c:pt idx="363">
                  <c:v>41436</c:v>
                </c:pt>
                <c:pt idx="364">
                  <c:v>41435</c:v>
                </c:pt>
                <c:pt idx="365">
                  <c:v>41432</c:v>
                </c:pt>
                <c:pt idx="366">
                  <c:v>41431</c:v>
                </c:pt>
                <c:pt idx="367">
                  <c:v>41430</c:v>
                </c:pt>
                <c:pt idx="368">
                  <c:v>41429</c:v>
                </c:pt>
                <c:pt idx="369">
                  <c:v>41428</c:v>
                </c:pt>
                <c:pt idx="370">
                  <c:v>41425</c:v>
                </c:pt>
                <c:pt idx="371">
                  <c:v>41424</c:v>
                </c:pt>
                <c:pt idx="372">
                  <c:v>41423</c:v>
                </c:pt>
                <c:pt idx="373">
                  <c:v>41422</c:v>
                </c:pt>
                <c:pt idx="374">
                  <c:v>41421</c:v>
                </c:pt>
                <c:pt idx="375">
                  <c:v>41418</c:v>
                </c:pt>
                <c:pt idx="376">
                  <c:v>41417</c:v>
                </c:pt>
                <c:pt idx="377">
                  <c:v>41416</c:v>
                </c:pt>
                <c:pt idx="378">
                  <c:v>41415</c:v>
                </c:pt>
                <c:pt idx="379">
                  <c:v>41414</c:v>
                </c:pt>
                <c:pt idx="380">
                  <c:v>41411</c:v>
                </c:pt>
                <c:pt idx="381">
                  <c:v>41410</c:v>
                </c:pt>
                <c:pt idx="382">
                  <c:v>41409</c:v>
                </c:pt>
                <c:pt idx="383">
                  <c:v>41408</c:v>
                </c:pt>
                <c:pt idx="384">
                  <c:v>41407</c:v>
                </c:pt>
                <c:pt idx="385">
                  <c:v>41404</c:v>
                </c:pt>
                <c:pt idx="386">
                  <c:v>41403</c:v>
                </c:pt>
                <c:pt idx="387">
                  <c:v>41402</c:v>
                </c:pt>
                <c:pt idx="388">
                  <c:v>41401</c:v>
                </c:pt>
                <c:pt idx="389">
                  <c:v>41400</c:v>
                </c:pt>
                <c:pt idx="390">
                  <c:v>41397</c:v>
                </c:pt>
                <c:pt idx="391">
                  <c:v>41396</c:v>
                </c:pt>
                <c:pt idx="392">
                  <c:v>41395</c:v>
                </c:pt>
                <c:pt idx="393">
                  <c:v>41394</c:v>
                </c:pt>
                <c:pt idx="394">
                  <c:v>41393</c:v>
                </c:pt>
                <c:pt idx="395">
                  <c:v>41390</c:v>
                </c:pt>
                <c:pt idx="396">
                  <c:v>41389</c:v>
                </c:pt>
                <c:pt idx="397">
                  <c:v>41388</c:v>
                </c:pt>
                <c:pt idx="398">
                  <c:v>41387</c:v>
                </c:pt>
                <c:pt idx="399">
                  <c:v>41386</c:v>
                </c:pt>
                <c:pt idx="400">
                  <c:v>41383</c:v>
                </c:pt>
                <c:pt idx="401">
                  <c:v>41382</c:v>
                </c:pt>
                <c:pt idx="402">
                  <c:v>41381</c:v>
                </c:pt>
                <c:pt idx="403">
                  <c:v>41380</c:v>
                </c:pt>
                <c:pt idx="404">
                  <c:v>41379</c:v>
                </c:pt>
                <c:pt idx="405">
                  <c:v>41376</c:v>
                </c:pt>
                <c:pt idx="406">
                  <c:v>41375</c:v>
                </c:pt>
                <c:pt idx="407">
                  <c:v>41374</c:v>
                </c:pt>
                <c:pt idx="408">
                  <c:v>41373</c:v>
                </c:pt>
                <c:pt idx="409">
                  <c:v>41372</c:v>
                </c:pt>
                <c:pt idx="410">
                  <c:v>41369</c:v>
                </c:pt>
                <c:pt idx="411">
                  <c:v>41368</c:v>
                </c:pt>
                <c:pt idx="412">
                  <c:v>41367</c:v>
                </c:pt>
                <c:pt idx="413">
                  <c:v>41366</c:v>
                </c:pt>
                <c:pt idx="414">
                  <c:v>41365</c:v>
                </c:pt>
                <c:pt idx="415">
                  <c:v>41362</c:v>
                </c:pt>
                <c:pt idx="416">
                  <c:v>41361</c:v>
                </c:pt>
                <c:pt idx="417">
                  <c:v>41360</c:v>
                </c:pt>
                <c:pt idx="418">
                  <c:v>41359</c:v>
                </c:pt>
                <c:pt idx="419">
                  <c:v>41358</c:v>
                </c:pt>
                <c:pt idx="420">
                  <c:v>41355</c:v>
                </c:pt>
                <c:pt idx="421">
                  <c:v>41354</c:v>
                </c:pt>
                <c:pt idx="422">
                  <c:v>41353</c:v>
                </c:pt>
                <c:pt idx="423">
                  <c:v>41352</c:v>
                </c:pt>
                <c:pt idx="424">
                  <c:v>41351</c:v>
                </c:pt>
                <c:pt idx="425">
                  <c:v>41348</c:v>
                </c:pt>
                <c:pt idx="426">
                  <c:v>41347</c:v>
                </c:pt>
                <c:pt idx="427">
                  <c:v>41346</c:v>
                </c:pt>
                <c:pt idx="428">
                  <c:v>41345</c:v>
                </c:pt>
                <c:pt idx="429">
                  <c:v>41344</c:v>
                </c:pt>
                <c:pt idx="430">
                  <c:v>41341</c:v>
                </c:pt>
                <c:pt idx="431">
                  <c:v>41340</c:v>
                </c:pt>
                <c:pt idx="432">
                  <c:v>41339</c:v>
                </c:pt>
                <c:pt idx="433">
                  <c:v>41338</c:v>
                </c:pt>
                <c:pt idx="434">
                  <c:v>41337</c:v>
                </c:pt>
                <c:pt idx="435">
                  <c:v>41334</c:v>
                </c:pt>
                <c:pt idx="436">
                  <c:v>41333</c:v>
                </c:pt>
                <c:pt idx="437">
                  <c:v>41332</c:v>
                </c:pt>
                <c:pt idx="438">
                  <c:v>41331</c:v>
                </c:pt>
                <c:pt idx="439">
                  <c:v>41330</c:v>
                </c:pt>
                <c:pt idx="440">
                  <c:v>41327</c:v>
                </c:pt>
                <c:pt idx="441">
                  <c:v>41326</c:v>
                </c:pt>
                <c:pt idx="442">
                  <c:v>41325</c:v>
                </c:pt>
              </c:numCache>
            </c:numRef>
          </c:cat>
          <c:val>
            <c:numRef>
              <c:f>Eurobond!$K$6:$K$448</c:f>
              <c:numCache>
                <c:formatCode>#,##0.000</c:formatCode>
                <c:ptCount val="443"/>
                <c:pt idx="0">
                  <c:v>101.905</c:v>
                </c:pt>
                <c:pt idx="1">
                  <c:v>101.756</c:v>
                </c:pt>
                <c:pt idx="2">
                  <c:v>101.76900000000002</c:v>
                </c:pt>
                <c:pt idx="3">
                  <c:v>101.72</c:v>
                </c:pt>
                <c:pt idx="4">
                  <c:v>101.65600000000001</c:v>
                </c:pt>
                <c:pt idx="5">
                  <c:v>101.643</c:v>
                </c:pt>
                <c:pt idx="6">
                  <c:v>101.739</c:v>
                </c:pt>
                <c:pt idx="7">
                  <c:v>101.696</c:v>
                </c:pt>
                <c:pt idx="8">
                  <c:v>101.557</c:v>
                </c:pt>
                <c:pt idx="9">
                  <c:v>101.24400000000001</c:v>
                </c:pt>
                <c:pt idx="10">
                  <c:v>100.90300000000002</c:v>
                </c:pt>
                <c:pt idx="11">
                  <c:v>100.16999999999999</c:v>
                </c:pt>
                <c:pt idx="12">
                  <c:v>100.333</c:v>
                </c:pt>
                <c:pt idx="13">
                  <c:v>100.215</c:v>
                </c:pt>
                <c:pt idx="14">
                  <c:v>100.14100000000002</c:v>
                </c:pt>
                <c:pt idx="15">
                  <c:v>100.28100000000002</c:v>
                </c:pt>
                <c:pt idx="16">
                  <c:v>100.527</c:v>
                </c:pt>
                <c:pt idx="17">
                  <c:v>99.937000000000012</c:v>
                </c:pt>
                <c:pt idx="18">
                  <c:v>99.51</c:v>
                </c:pt>
                <c:pt idx="19">
                  <c:v>99.498999999999995</c:v>
                </c:pt>
                <c:pt idx="20">
                  <c:v>99.387</c:v>
                </c:pt>
                <c:pt idx="21">
                  <c:v>99.63</c:v>
                </c:pt>
                <c:pt idx="22">
                  <c:v>99.921999999999997</c:v>
                </c:pt>
                <c:pt idx="23">
                  <c:v>99.941000000000017</c:v>
                </c:pt>
                <c:pt idx="24">
                  <c:v>99.867000000000004</c:v>
                </c:pt>
                <c:pt idx="25">
                  <c:v>100.64100000000002</c:v>
                </c:pt>
                <c:pt idx="26">
                  <c:v>101.14400000000002</c:v>
                </c:pt>
                <c:pt idx="27">
                  <c:v>101.47</c:v>
                </c:pt>
                <c:pt idx="28">
                  <c:v>101.44000000000001</c:v>
                </c:pt>
                <c:pt idx="29">
                  <c:v>101.381</c:v>
                </c:pt>
                <c:pt idx="30">
                  <c:v>101.19499999999999</c:v>
                </c:pt>
                <c:pt idx="31">
                  <c:v>101.001</c:v>
                </c:pt>
                <c:pt idx="32">
                  <c:v>101.12499999999999</c:v>
                </c:pt>
                <c:pt idx="33">
                  <c:v>101.04600000000002</c:v>
                </c:pt>
                <c:pt idx="34">
                  <c:v>101.042</c:v>
                </c:pt>
                <c:pt idx="35">
                  <c:v>101.25</c:v>
                </c:pt>
                <c:pt idx="36">
                  <c:v>101.748</c:v>
                </c:pt>
                <c:pt idx="37">
                  <c:v>101.718</c:v>
                </c:pt>
                <c:pt idx="38">
                  <c:v>102.206</c:v>
                </c:pt>
                <c:pt idx="39">
                  <c:v>102.276</c:v>
                </c:pt>
                <c:pt idx="40">
                  <c:v>102.04600000000002</c:v>
                </c:pt>
                <c:pt idx="41">
                  <c:v>102.01600000000002</c:v>
                </c:pt>
                <c:pt idx="42">
                  <c:v>101.732</c:v>
                </c:pt>
                <c:pt idx="43">
                  <c:v>101.842</c:v>
                </c:pt>
                <c:pt idx="44">
                  <c:v>101.962</c:v>
                </c:pt>
                <c:pt idx="45">
                  <c:v>101.992</c:v>
                </c:pt>
                <c:pt idx="46">
                  <c:v>101.93700000000001</c:v>
                </c:pt>
                <c:pt idx="47">
                  <c:v>102.13</c:v>
                </c:pt>
                <c:pt idx="48">
                  <c:v>101.664</c:v>
                </c:pt>
                <c:pt idx="49">
                  <c:v>101.584</c:v>
                </c:pt>
                <c:pt idx="50">
                  <c:v>101.571</c:v>
                </c:pt>
                <c:pt idx="51">
                  <c:v>102.03100000000002</c:v>
                </c:pt>
                <c:pt idx="52">
                  <c:v>102.41600000000001</c:v>
                </c:pt>
                <c:pt idx="53">
                  <c:v>102.44000000000001</c:v>
                </c:pt>
                <c:pt idx="54">
                  <c:v>102.41400000000002</c:v>
                </c:pt>
                <c:pt idx="55">
                  <c:v>102.351</c:v>
                </c:pt>
                <c:pt idx="56">
                  <c:v>101.738</c:v>
                </c:pt>
                <c:pt idx="57">
                  <c:v>101.301</c:v>
                </c:pt>
                <c:pt idx="58">
                  <c:v>100.97</c:v>
                </c:pt>
                <c:pt idx="59">
                  <c:v>100.428</c:v>
                </c:pt>
                <c:pt idx="60">
                  <c:v>99.85599999999998</c:v>
                </c:pt>
                <c:pt idx="61">
                  <c:v>99.821999999999989</c:v>
                </c:pt>
                <c:pt idx="62">
                  <c:v>99.867999999999995</c:v>
                </c:pt>
                <c:pt idx="63">
                  <c:v>100.41400000000002</c:v>
                </c:pt>
                <c:pt idx="64">
                  <c:v>100.965</c:v>
                </c:pt>
                <c:pt idx="65">
                  <c:v>100.985</c:v>
                </c:pt>
                <c:pt idx="66">
                  <c:v>101.627</c:v>
                </c:pt>
                <c:pt idx="67">
                  <c:v>102.91700000000002</c:v>
                </c:pt>
                <c:pt idx="68">
                  <c:v>102.953</c:v>
                </c:pt>
                <c:pt idx="69">
                  <c:v>102.79400000000001</c:v>
                </c:pt>
                <c:pt idx="70">
                  <c:v>102.705</c:v>
                </c:pt>
                <c:pt idx="71">
                  <c:v>102.684</c:v>
                </c:pt>
                <c:pt idx="72">
                  <c:v>101.779</c:v>
                </c:pt>
                <c:pt idx="73">
                  <c:v>101.02200000000001</c:v>
                </c:pt>
                <c:pt idx="74">
                  <c:v>100.756</c:v>
                </c:pt>
                <c:pt idx="75">
                  <c:v>100.59099999999999</c:v>
                </c:pt>
                <c:pt idx="76">
                  <c:v>100.508</c:v>
                </c:pt>
                <c:pt idx="77">
                  <c:v>101.114</c:v>
                </c:pt>
                <c:pt idx="78">
                  <c:v>100.988</c:v>
                </c:pt>
                <c:pt idx="79">
                  <c:v>101.21000000000001</c:v>
                </c:pt>
                <c:pt idx="80">
                  <c:v>101.67899999999999</c:v>
                </c:pt>
                <c:pt idx="81">
                  <c:v>101.193</c:v>
                </c:pt>
                <c:pt idx="82">
                  <c:v>101.523</c:v>
                </c:pt>
                <c:pt idx="83">
                  <c:v>101.839</c:v>
                </c:pt>
                <c:pt idx="84">
                  <c:v>101.851</c:v>
                </c:pt>
                <c:pt idx="85">
                  <c:v>101.85799999999999</c:v>
                </c:pt>
                <c:pt idx="86">
                  <c:v>101.84399999999999</c:v>
                </c:pt>
                <c:pt idx="87">
                  <c:v>101.90300000000002</c:v>
                </c:pt>
                <c:pt idx="88">
                  <c:v>101.85199999999999</c:v>
                </c:pt>
                <c:pt idx="89">
                  <c:v>101.66999999999999</c:v>
                </c:pt>
                <c:pt idx="90">
                  <c:v>101.319</c:v>
                </c:pt>
                <c:pt idx="91">
                  <c:v>101.026</c:v>
                </c:pt>
                <c:pt idx="92">
                  <c:v>102.273</c:v>
                </c:pt>
                <c:pt idx="93">
                  <c:v>102.46299999999999</c:v>
                </c:pt>
                <c:pt idx="94">
                  <c:v>102.232</c:v>
                </c:pt>
                <c:pt idx="95">
                  <c:v>102.429</c:v>
                </c:pt>
                <c:pt idx="96">
                  <c:v>102.78700000000002</c:v>
                </c:pt>
                <c:pt idx="97">
                  <c:v>102.96899999999999</c:v>
                </c:pt>
                <c:pt idx="98">
                  <c:v>103.066</c:v>
                </c:pt>
                <c:pt idx="99">
                  <c:v>103.334</c:v>
                </c:pt>
                <c:pt idx="100">
                  <c:v>103.614</c:v>
                </c:pt>
                <c:pt idx="101">
                  <c:v>103.854</c:v>
                </c:pt>
                <c:pt idx="102">
                  <c:v>103.818</c:v>
                </c:pt>
                <c:pt idx="103">
                  <c:v>103.68499999999999</c:v>
                </c:pt>
                <c:pt idx="104">
                  <c:v>103.694</c:v>
                </c:pt>
                <c:pt idx="105">
                  <c:v>103.55</c:v>
                </c:pt>
                <c:pt idx="106">
                  <c:v>102.94200000000001</c:v>
                </c:pt>
                <c:pt idx="107">
                  <c:v>102.721</c:v>
                </c:pt>
                <c:pt idx="108">
                  <c:v>103.01400000000001</c:v>
                </c:pt>
                <c:pt idx="109">
                  <c:v>103.371</c:v>
                </c:pt>
                <c:pt idx="110">
                  <c:v>103.054</c:v>
                </c:pt>
                <c:pt idx="111">
                  <c:v>102.89100000000002</c:v>
                </c:pt>
                <c:pt idx="112">
                  <c:v>102.58799999999999</c:v>
                </c:pt>
                <c:pt idx="113">
                  <c:v>101.53</c:v>
                </c:pt>
                <c:pt idx="114">
                  <c:v>101.166</c:v>
                </c:pt>
                <c:pt idx="115">
                  <c:v>101.21599999999999</c:v>
                </c:pt>
                <c:pt idx="116">
                  <c:v>101.056</c:v>
                </c:pt>
                <c:pt idx="117">
                  <c:v>101.099</c:v>
                </c:pt>
                <c:pt idx="118">
                  <c:v>101.616</c:v>
                </c:pt>
                <c:pt idx="119">
                  <c:v>101.70099999999999</c:v>
                </c:pt>
                <c:pt idx="120">
                  <c:v>102.048</c:v>
                </c:pt>
                <c:pt idx="121">
                  <c:v>102.349</c:v>
                </c:pt>
                <c:pt idx="122">
                  <c:v>102.49000000000001</c:v>
                </c:pt>
                <c:pt idx="123">
                  <c:v>102.36</c:v>
                </c:pt>
                <c:pt idx="124">
                  <c:v>102.104</c:v>
                </c:pt>
                <c:pt idx="125">
                  <c:v>101.95</c:v>
                </c:pt>
                <c:pt idx="126">
                  <c:v>101.624</c:v>
                </c:pt>
                <c:pt idx="127">
                  <c:v>101.289</c:v>
                </c:pt>
                <c:pt idx="128">
                  <c:v>100.64700000000002</c:v>
                </c:pt>
                <c:pt idx="129">
                  <c:v>100.227</c:v>
                </c:pt>
                <c:pt idx="130">
                  <c:v>100.14100000000002</c:v>
                </c:pt>
                <c:pt idx="131">
                  <c:v>99.662999999999982</c:v>
                </c:pt>
                <c:pt idx="132">
                  <c:v>99.58</c:v>
                </c:pt>
                <c:pt idx="133">
                  <c:v>99.284999999999997</c:v>
                </c:pt>
                <c:pt idx="134">
                  <c:v>98.891000000000005</c:v>
                </c:pt>
                <c:pt idx="135">
                  <c:v>98.683999999999983</c:v>
                </c:pt>
                <c:pt idx="136">
                  <c:v>98.927000000000007</c:v>
                </c:pt>
                <c:pt idx="137">
                  <c:v>98.982000000000014</c:v>
                </c:pt>
                <c:pt idx="138">
                  <c:v>99.180999999999983</c:v>
                </c:pt>
                <c:pt idx="139">
                  <c:v>99.384</c:v>
                </c:pt>
                <c:pt idx="140">
                  <c:v>99.302999999999983</c:v>
                </c:pt>
                <c:pt idx="141">
                  <c:v>99.167000000000002</c:v>
                </c:pt>
                <c:pt idx="142">
                  <c:v>99.149000000000001</c:v>
                </c:pt>
                <c:pt idx="143">
                  <c:v>99.587000000000003</c:v>
                </c:pt>
                <c:pt idx="144">
                  <c:v>99.787999999999997</c:v>
                </c:pt>
                <c:pt idx="145">
                  <c:v>99.906999999999996</c:v>
                </c:pt>
                <c:pt idx="146">
                  <c:v>100.053</c:v>
                </c:pt>
                <c:pt idx="147">
                  <c:v>99.724000000000004</c:v>
                </c:pt>
                <c:pt idx="148">
                  <c:v>99.78</c:v>
                </c:pt>
                <c:pt idx="149">
                  <c:v>99.708000000000013</c:v>
                </c:pt>
                <c:pt idx="150">
                  <c:v>99.691999999999993</c:v>
                </c:pt>
                <c:pt idx="151">
                  <c:v>99.468000000000004</c:v>
                </c:pt>
                <c:pt idx="152">
                  <c:v>99.745000000000005</c:v>
                </c:pt>
                <c:pt idx="153">
                  <c:v>99.885999999999981</c:v>
                </c:pt>
                <c:pt idx="154">
                  <c:v>100.17700000000001</c:v>
                </c:pt>
                <c:pt idx="155">
                  <c:v>100.2</c:v>
                </c:pt>
                <c:pt idx="156">
                  <c:v>100.04300000000002</c:v>
                </c:pt>
                <c:pt idx="157">
                  <c:v>99.974000000000004</c:v>
                </c:pt>
                <c:pt idx="158">
                  <c:v>99.915999999999997</c:v>
                </c:pt>
                <c:pt idx="159">
                  <c:v>99.733000000000004</c:v>
                </c:pt>
                <c:pt idx="160">
                  <c:v>99.725999999999999</c:v>
                </c:pt>
                <c:pt idx="161">
                  <c:v>99.73</c:v>
                </c:pt>
                <c:pt idx="162">
                  <c:v>99.921000000000006</c:v>
                </c:pt>
                <c:pt idx="163">
                  <c:v>99.651999999999987</c:v>
                </c:pt>
                <c:pt idx="164">
                  <c:v>99.518000000000001</c:v>
                </c:pt>
                <c:pt idx="165">
                  <c:v>98.881</c:v>
                </c:pt>
                <c:pt idx="166">
                  <c:v>99.043000000000006</c:v>
                </c:pt>
                <c:pt idx="167">
                  <c:v>98.921000000000006</c:v>
                </c:pt>
                <c:pt idx="168">
                  <c:v>99.53</c:v>
                </c:pt>
                <c:pt idx="169">
                  <c:v>99.146000000000001</c:v>
                </c:pt>
                <c:pt idx="170">
                  <c:v>99.621999999999986</c:v>
                </c:pt>
                <c:pt idx="171">
                  <c:v>100.042</c:v>
                </c:pt>
                <c:pt idx="172">
                  <c:v>99.542000000000002</c:v>
                </c:pt>
                <c:pt idx="173">
                  <c:v>99.188999999999979</c:v>
                </c:pt>
                <c:pt idx="174">
                  <c:v>98.902000000000001</c:v>
                </c:pt>
                <c:pt idx="175">
                  <c:v>99.989000000000004</c:v>
                </c:pt>
                <c:pt idx="176">
                  <c:v>99.61</c:v>
                </c:pt>
                <c:pt idx="177">
                  <c:v>99.424999999999997</c:v>
                </c:pt>
                <c:pt idx="178">
                  <c:v>99.427999999999997</c:v>
                </c:pt>
                <c:pt idx="179">
                  <c:v>99.232000000000014</c:v>
                </c:pt>
                <c:pt idx="180">
                  <c:v>98.900999999999996</c:v>
                </c:pt>
                <c:pt idx="181">
                  <c:v>98.377999999999986</c:v>
                </c:pt>
                <c:pt idx="182">
                  <c:v>98.221999999999994</c:v>
                </c:pt>
                <c:pt idx="183">
                  <c:v>98.069000000000003</c:v>
                </c:pt>
                <c:pt idx="184">
                  <c:v>97.85199999999999</c:v>
                </c:pt>
                <c:pt idx="185">
                  <c:v>97.661000000000001</c:v>
                </c:pt>
                <c:pt idx="186">
                  <c:v>97.415999999999997</c:v>
                </c:pt>
                <c:pt idx="187">
                  <c:v>97.81</c:v>
                </c:pt>
                <c:pt idx="188">
                  <c:v>98.321999999999989</c:v>
                </c:pt>
                <c:pt idx="189">
                  <c:v>98.590999999999994</c:v>
                </c:pt>
                <c:pt idx="190">
                  <c:v>98.681999999999988</c:v>
                </c:pt>
                <c:pt idx="191">
                  <c:v>98.147000000000006</c:v>
                </c:pt>
                <c:pt idx="192">
                  <c:v>97.638999999999982</c:v>
                </c:pt>
                <c:pt idx="193">
                  <c:v>96.808999999999983</c:v>
                </c:pt>
                <c:pt idx="194">
                  <c:v>95.624999999999986</c:v>
                </c:pt>
                <c:pt idx="195">
                  <c:v>95.423000000000002</c:v>
                </c:pt>
                <c:pt idx="196">
                  <c:v>95.820999999999998</c:v>
                </c:pt>
                <c:pt idx="197">
                  <c:v>96.433999999999997</c:v>
                </c:pt>
                <c:pt idx="198">
                  <c:v>97.065000000000012</c:v>
                </c:pt>
                <c:pt idx="199">
                  <c:v>96.897000000000006</c:v>
                </c:pt>
                <c:pt idx="200">
                  <c:v>97.172999999999988</c:v>
                </c:pt>
                <c:pt idx="201">
                  <c:v>98.238</c:v>
                </c:pt>
                <c:pt idx="202">
                  <c:v>98.587999999999994</c:v>
                </c:pt>
                <c:pt idx="203">
                  <c:v>98.321999999999989</c:v>
                </c:pt>
                <c:pt idx="204">
                  <c:v>98.271999999999991</c:v>
                </c:pt>
                <c:pt idx="205">
                  <c:v>98.318000000000012</c:v>
                </c:pt>
                <c:pt idx="206">
                  <c:v>98.437000000000012</c:v>
                </c:pt>
                <c:pt idx="207">
                  <c:v>98.245000000000005</c:v>
                </c:pt>
                <c:pt idx="208">
                  <c:v>97.661999999999992</c:v>
                </c:pt>
                <c:pt idx="209">
                  <c:v>97.287000000000006</c:v>
                </c:pt>
                <c:pt idx="210">
                  <c:v>97.025999999999982</c:v>
                </c:pt>
                <c:pt idx="211">
                  <c:v>96.661000000000001</c:v>
                </c:pt>
                <c:pt idx="212">
                  <c:v>96.598000000000013</c:v>
                </c:pt>
                <c:pt idx="213">
                  <c:v>96.277000000000001</c:v>
                </c:pt>
                <c:pt idx="214">
                  <c:v>95.837000000000003</c:v>
                </c:pt>
                <c:pt idx="215">
                  <c:v>95.320999999999998</c:v>
                </c:pt>
                <c:pt idx="216">
                  <c:v>95.197000000000003</c:v>
                </c:pt>
                <c:pt idx="217">
                  <c:v>95.137</c:v>
                </c:pt>
                <c:pt idx="218">
                  <c:v>95.168999999999983</c:v>
                </c:pt>
                <c:pt idx="219">
                  <c:v>95.218999999999994</c:v>
                </c:pt>
                <c:pt idx="220">
                  <c:v>95.003</c:v>
                </c:pt>
                <c:pt idx="221">
                  <c:v>95.001000000000005</c:v>
                </c:pt>
                <c:pt idx="222">
                  <c:v>95.001999999999995</c:v>
                </c:pt>
                <c:pt idx="223">
                  <c:v>95.07</c:v>
                </c:pt>
                <c:pt idx="224">
                  <c:v>95.127999999999986</c:v>
                </c:pt>
                <c:pt idx="225">
                  <c:v>95.043000000000006</c:v>
                </c:pt>
                <c:pt idx="226">
                  <c:v>94.961000000000013</c:v>
                </c:pt>
                <c:pt idx="227">
                  <c:v>94.85599999999998</c:v>
                </c:pt>
                <c:pt idx="228">
                  <c:v>94.757999999999996</c:v>
                </c:pt>
                <c:pt idx="229">
                  <c:v>94.57</c:v>
                </c:pt>
                <c:pt idx="230">
                  <c:v>94.492999999999995</c:v>
                </c:pt>
                <c:pt idx="231">
                  <c:v>94.443000000000012</c:v>
                </c:pt>
                <c:pt idx="232">
                  <c:v>94.382999999999981</c:v>
                </c:pt>
                <c:pt idx="233">
                  <c:v>94.361000000000004</c:v>
                </c:pt>
                <c:pt idx="234">
                  <c:v>94.198999999999998</c:v>
                </c:pt>
                <c:pt idx="235">
                  <c:v>94.018000000000001</c:v>
                </c:pt>
                <c:pt idx="236">
                  <c:v>93.89</c:v>
                </c:pt>
                <c:pt idx="237">
                  <c:v>93.799000000000007</c:v>
                </c:pt>
                <c:pt idx="238">
                  <c:v>93.843000000000004</c:v>
                </c:pt>
                <c:pt idx="239">
                  <c:v>93.867999999999995</c:v>
                </c:pt>
                <c:pt idx="240">
                  <c:v>93.982000000000014</c:v>
                </c:pt>
                <c:pt idx="241">
                  <c:v>93.967000000000013</c:v>
                </c:pt>
                <c:pt idx="242">
                  <c:v>93.943000000000012</c:v>
                </c:pt>
                <c:pt idx="243">
                  <c:v>94.019000000000005</c:v>
                </c:pt>
                <c:pt idx="244">
                  <c:v>94.283000000000001</c:v>
                </c:pt>
                <c:pt idx="245">
                  <c:v>93.75</c:v>
                </c:pt>
                <c:pt idx="246">
                  <c:v>93.128999999999991</c:v>
                </c:pt>
                <c:pt idx="247">
                  <c:v>93.281999999999996</c:v>
                </c:pt>
                <c:pt idx="248">
                  <c:v>93.35199999999999</c:v>
                </c:pt>
                <c:pt idx="249">
                  <c:v>93.554999999999993</c:v>
                </c:pt>
                <c:pt idx="250">
                  <c:v>93.236000000000004</c:v>
                </c:pt>
                <c:pt idx="251">
                  <c:v>93.024999999999991</c:v>
                </c:pt>
                <c:pt idx="252">
                  <c:v>92.684999999999988</c:v>
                </c:pt>
                <c:pt idx="253">
                  <c:v>92.820999999999998</c:v>
                </c:pt>
                <c:pt idx="254">
                  <c:v>93.320999999999998</c:v>
                </c:pt>
                <c:pt idx="255">
                  <c:v>93.440000000000012</c:v>
                </c:pt>
                <c:pt idx="256">
                  <c:v>94.087999999999994</c:v>
                </c:pt>
                <c:pt idx="257">
                  <c:v>93.76</c:v>
                </c:pt>
                <c:pt idx="258">
                  <c:v>93.603999999999999</c:v>
                </c:pt>
                <c:pt idx="259">
                  <c:v>94.423000000000002</c:v>
                </c:pt>
                <c:pt idx="260">
                  <c:v>94.495000000000005</c:v>
                </c:pt>
                <c:pt idx="261">
                  <c:v>94.664000000000001</c:v>
                </c:pt>
                <c:pt idx="262">
                  <c:v>95.551999999999992</c:v>
                </c:pt>
                <c:pt idx="263">
                  <c:v>95.792000000000002</c:v>
                </c:pt>
                <c:pt idx="264">
                  <c:v>96.6</c:v>
                </c:pt>
                <c:pt idx="265">
                  <c:v>96.683999999999983</c:v>
                </c:pt>
                <c:pt idx="266">
                  <c:v>97.144000000000005</c:v>
                </c:pt>
                <c:pt idx="267">
                  <c:v>97.440000000000012</c:v>
                </c:pt>
                <c:pt idx="268">
                  <c:v>96.251999999999995</c:v>
                </c:pt>
                <c:pt idx="269">
                  <c:v>96.10899999999998</c:v>
                </c:pt>
                <c:pt idx="270">
                  <c:v>96.087000000000003</c:v>
                </c:pt>
                <c:pt idx="271">
                  <c:v>95.923000000000002</c:v>
                </c:pt>
                <c:pt idx="272">
                  <c:v>95.39</c:v>
                </c:pt>
                <c:pt idx="273">
                  <c:v>95.206999999999994</c:v>
                </c:pt>
                <c:pt idx="274">
                  <c:v>94.698999999999998</c:v>
                </c:pt>
                <c:pt idx="275">
                  <c:v>94.703000000000003</c:v>
                </c:pt>
                <c:pt idx="276">
                  <c:v>94.77</c:v>
                </c:pt>
                <c:pt idx="277">
                  <c:v>94.453000000000003</c:v>
                </c:pt>
                <c:pt idx="278">
                  <c:v>93.709000000000003</c:v>
                </c:pt>
                <c:pt idx="279">
                  <c:v>92.286000000000001</c:v>
                </c:pt>
                <c:pt idx="280">
                  <c:v>93.53</c:v>
                </c:pt>
                <c:pt idx="281">
                  <c:v>93.751000000000005</c:v>
                </c:pt>
                <c:pt idx="282">
                  <c:v>93.843000000000004</c:v>
                </c:pt>
                <c:pt idx="283">
                  <c:v>93.732000000000014</c:v>
                </c:pt>
                <c:pt idx="284">
                  <c:v>93.634</c:v>
                </c:pt>
                <c:pt idx="285">
                  <c:v>93.921999999999997</c:v>
                </c:pt>
                <c:pt idx="286">
                  <c:v>94.037999999999997</c:v>
                </c:pt>
                <c:pt idx="287">
                  <c:v>93.95</c:v>
                </c:pt>
                <c:pt idx="288">
                  <c:v>93.832999999999998</c:v>
                </c:pt>
                <c:pt idx="289">
                  <c:v>93.807999999999993</c:v>
                </c:pt>
                <c:pt idx="290">
                  <c:v>93.650999999999982</c:v>
                </c:pt>
                <c:pt idx="291">
                  <c:v>93.217000000000013</c:v>
                </c:pt>
                <c:pt idx="292">
                  <c:v>91.054000000000002</c:v>
                </c:pt>
                <c:pt idx="293">
                  <c:v>90.944000000000017</c:v>
                </c:pt>
                <c:pt idx="294">
                  <c:v>90.923000000000002</c:v>
                </c:pt>
                <c:pt idx="295">
                  <c:v>90.10599999999998</c:v>
                </c:pt>
                <c:pt idx="296">
                  <c:v>90.081999999999994</c:v>
                </c:pt>
                <c:pt idx="297">
                  <c:v>89.724999999999994</c:v>
                </c:pt>
                <c:pt idx="298">
                  <c:v>89.465000000000003</c:v>
                </c:pt>
                <c:pt idx="299">
                  <c:v>89.730999999999995</c:v>
                </c:pt>
                <c:pt idx="300">
                  <c:v>89.625999999999991</c:v>
                </c:pt>
                <c:pt idx="301">
                  <c:v>89.515000000000001</c:v>
                </c:pt>
                <c:pt idx="302">
                  <c:v>90.268000000000001</c:v>
                </c:pt>
                <c:pt idx="303">
                  <c:v>90.531000000000006</c:v>
                </c:pt>
                <c:pt idx="304">
                  <c:v>90.555999999999983</c:v>
                </c:pt>
                <c:pt idx="305">
                  <c:v>90.641000000000005</c:v>
                </c:pt>
                <c:pt idx="306">
                  <c:v>90.819000000000003</c:v>
                </c:pt>
                <c:pt idx="307">
                  <c:v>91.128999999999991</c:v>
                </c:pt>
                <c:pt idx="308">
                  <c:v>91.581999999999994</c:v>
                </c:pt>
                <c:pt idx="309">
                  <c:v>91.254000000000005</c:v>
                </c:pt>
                <c:pt idx="310">
                  <c:v>91.313000000000002</c:v>
                </c:pt>
                <c:pt idx="311">
                  <c:v>91.111999999999995</c:v>
                </c:pt>
                <c:pt idx="312">
                  <c:v>91.224999999999994</c:v>
                </c:pt>
                <c:pt idx="313">
                  <c:v>91.010999999999996</c:v>
                </c:pt>
                <c:pt idx="314">
                  <c:v>90.998000000000005</c:v>
                </c:pt>
                <c:pt idx="315">
                  <c:v>91.73</c:v>
                </c:pt>
                <c:pt idx="316">
                  <c:v>91.732000000000014</c:v>
                </c:pt>
                <c:pt idx="317">
                  <c:v>92.10899999999998</c:v>
                </c:pt>
                <c:pt idx="318">
                  <c:v>92.200999999999993</c:v>
                </c:pt>
                <c:pt idx="319">
                  <c:v>92.085999999999999</c:v>
                </c:pt>
                <c:pt idx="320">
                  <c:v>91.908000000000001</c:v>
                </c:pt>
                <c:pt idx="321">
                  <c:v>91.430999999999997</c:v>
                </c:pt>
                <c:pt idx="322">
                  <c:v>91.221999999999994</c:v>
                </c:pt>
                <c:pt idx="323">
                  <c:v>91.121999999999986</c:v>
                </c:pt>
                <c:pt idx="324">
                  <c:v>91.184999999999988</c:v>
                </c:pt>
                <c:pt idx="325">
                  <c:v>91.09</c:v>
                </c:pt>
                <c:pt idx="326">
                  <c:v>91.551999999999992</c:v>
                </c:pt>
                <c:pt idx="327">
                  <c:v>92.215000000000003</c:v>
                </c:pt>
                <c:pt idx="328">
                  <c:v>94.165999999999983</c:v>
                </c:pt>
                <c:pt idx="329">
                  <c:v>94.492999999999995</c:v>
                </c:pt>
                <c:pt idx="330">
                  <c:v>94.433999999999997</c:v>
                </c:pt>
                <c:pt idx="331">
                  <c:v>94.412999999999997</c:v>
                </c:pt>
                <c:pt idx="332">
                  <c:v>94.792000000000002</c:v>
                </c:pt>
                <c:pt idx="333">
                  <c:v>95.178999999999988</c:v>
                </c:pt>
                <c:pt idx="334">
                  <c:v>95.568000000000012</c:v>
                </c:pt>
                <c:pt idx="335">
                  <c:v>95.492999999999995</c:v>
                </c:pt>
                <c:pt idx="336">
                  <c:v>95.563999999999993</c:v>
                </c:pt>
                <c:pt idx="337">
                  <c:v>95.37299999999999</c:v>
                </c:pt>
                <c:pt idx="338">
                  <c:v>95.087999999999994</c:v>
                </c:pt>
                <c:pt idx="339">
                  <c:v>94.819000000000003</c:v>
                </c:pt>
                <c:pt idx="340">
                  <c:v>94.376999999999981</c:v>
                </c:pt>
                <c:pt idx="341">
                  <c:v>94.334000000000003</c:v>
                </c:pt>
                <c:pt idx="342">
                  <c:v>93.906999999999996</c:v>
                </c:pt>
                <c:pt idx="343">
                  <c:v>93.953000000000003</c:v>
                </c:pt>
                <c:pt idx="344">
                  <c:v>94.054000000000002</c:v>
                </c:pt>
                <c:pt idx="345">
                  <c:v>94.518000000000001</c:v>
                </c:pt>
                <c:pt idx="346">
                  <c:v>94.624999999999986</c:v>
                </c:pt>
                <c:pt idx="347">
                  <c:v>94.543999999999997</c:v>
                </c:pt>
                <c:pt idx="348">
                  <c:v>94.61</c:v>
                </c:pt>
                <c:pt idx="349">
                  <c:v>93.807000000000002</c:v>
                </c:pt>
                <c:pt idx="350">
                  <c:v>92.60599999999998</c:v>
                </c:pt>
                <c:pt idx="351">
                  <c:v>92.343999999999994</c:v>
                </c:pt>
                <c:pt idx="352">
                  <c:v>90.60199999999999</c:v>
                </c:pt>
                <c:pt idx="353">
                  <c:v>90.063999999999993</c:v>
                </c:pt>
                <c:pt idx="354">
                  <c:v>89.846000000000004</c:v>
                </c:pt>
                <c:pt idx="355">
                  <c:v>92.106999999999999</c:v>
                </c:pt>
                <c:pt idx="356">
                  <c:v>92.82</c:v>
                </c:pt>
                <c:pt idx="357">
                  <c:v>95.546000000000006</c:v>
                </c:pt>
                <c:pt idx="358">
                  <c:v>95.519000000000005</c:v>
                </c:pt>
                <c:pt idx="359">
                  <c:v>96.045000000000002</c:v>
                </c:pt>
                <c:pt idx="360">
                  <c:v>95.786000000000001</c:v>
                </c:pt>
                <c:pt idx="361">
                  <c:v>94.85</c:v>
                </c:pt>
                <c:pt idx="362">
                  <c:v>94.676999999999992</c:v>
                </c:pt>
                <c:pt idx="363">
                  <c:v>93.5</c:v>
                </c:pt>
                <c:pt idx="364">
                  <c:v>95.065000000000012</c:v>
                </c:pt>
                <c:pt idx="365">
                  <c:v>95.672999999999988</c:v>
                </c:pt>
                <c:pt idx="366">
                  <c:v>97.59</c:v>
                </c:pt>
                <c:pt idx="367">
                  <c:v>98.356999999999999</c:v>
                </c:pt>
                <c:pt idx="368">
                  <c:v>98.813000000000002</c:v>
                </c:pt>
                <c:pt idx="369">
                  <c:v>98.649000000000001</c:v>
                </c:pt>
                <c:pt idx="370">
                  <c:v>98.805999999999983</c:v>
                </c:pt>
                <c:pt idx="371">
                  <c:v>98.87299999999999</c:v>
                </c:pt>
                <c:pt idx="372">
                  <c:v>98.903000000000006</c:v>
                </c:pt>
                <c:pt idx="373">
                  <c:v>100.02</c:v>
                </c:pt>
                <c:pt idx="374">
                  <c:v>100.63</c:v>
                </c:pt>
                <c:pt idx="375">
                  <c:v>100.61499999999999</c:v>
                </c:pt>
                <c:pt idx="376">
                  <c:v>102.812</c:v>
                </c:pt>
                <c:pt idx="377">
                  <c:v>103.58199999999999</c:v>
                </c:pt>
                <c:pt idx="378">
                  <c:v>103.58</c:v>
                </c:pt>
                <c:pt idx="379">
                  <c:v>103.73699999999999</c:v>
                </c:pt>
                <c:pt idx="380">
                  <c:v>103.712</c:v>
                </c:pt>
                <c:pt idx="381">
                  <c:v>103.639</c:v>
                </c:pt>
                <c:pt idx="382">
                  <c:v>103.59399999999999</c:v>
                </c:pt>
                <c:pt idx="383">
                  <c:v>103.76700000000001</c:v>
                </c:pt>
                <c:pt idx="384">
                  <c:v>103.867</c:v>
                </c:pt>
                <c:pt idx="385">
                  <c:v>104.899</c:v>
                </c:pt>
                <c:pt idx="386">
                  <c:v>104.90700000000001</c:v>
                </c:pt>
                <c:pt idx="387">
                  <c:v>104.41900000000001</c:v>
                </c:pt>
                <c:pt idx="388">
                  <c:v>104.536</c:v>
                </c:pt>
                <c:pt idx="389">
                  <c:v>104.39</c:v>
                </c:pt>
                <c:pt idx="390">
                  <c:v>104.46299999999999</c:v>
                </c:pt>
                <c:pt idx="391">
                  <c:v>104.151</c:v>
                </c:pt>
                <c:pt idx="392">
                  <c:v>103.366</c:v>
                </c:pt>
                <c:pt idx="393">
                  <c:v>103.15199999999999</c:v>
                </c:pt>
                <c:pt idx="394">
                  <c:v>102.90300000000002</c:v>
                </c:pt>
                <c:pt idx="395">
                  <c:v>102.84399999999999</c:v>
                </c:pt>
                <c:pt idx="396">
                  <c:v>102.754</c:v>
                </c:pt>
                <c:pt idx="397">
                  <c:v>102.465</c:v>
                </c:pt>
                <c:pt idx="398">
                  <c:v>102.18600000000001</c:v>
                </c:pt>
                <c:pt idx="399">
                  <c:v>101.754</c:v>
                </c:pt>
                <c:pt idx="400">
                  <c:v>100.738</c:v>
                </c:pt>
                <c:pt idx="401">
                  <c:v>99.521000000000001</c:v>
                </c:pt>
                <c:pt idx="402">
                  <c:v>100.462</c:v>
                </c:pt>
                <c:pt idx="403">
                  <c:v>100.867</c:v>
                </c:pt>
                <c:pt idx="404">
                  <c:v>101.301</c:v>
                </c:pt>
                <c:pt idx="405">
                  <c:v>101.425</c:v>
                </c:pt>
                <c:pt idx="406">
                  <c:v>101.36999999999999</c:v>
                </c:pt>
                <c:pt idx="407">
                  <c:v>101.15799999999999</c:v>
                </c:pt>
                <c:pt idx="408">
                  <c:v>101.194</c:v>
                </c:pt>
                <c:pt idx="409">
                  <c:v>101.23699999999999</c:v>
                </c:pt>
                <c:pt idx="410">
                  <c:v>100.56699999999999</c:v>
                </c:pt>
                <c:pt idx="411">
                  <c:v>99.992000000000004</c:v>
                </c:pt>
                <c:pt idx="412">
                  <c:v>99.7</c:v>
                </c:pt>
                <c:pt idx="413">
                  <c:v>99.323999999999998</c:v>
                </c:pt>
                <c:pt idx="414">
                  <c:v>98.88</c:v>
                </c:pt>
                <c:pt idx="415">
                  <c:v>98.952000000000012</c:v>
                </c:pt>
                <c:pt idx="416">
                  <c:v>98.967000000000013</c:v>
                </c:pt>
                <c:pt idx="417">
                  <c:v>98.947000000000017</c:v>
                </c:pt>
                <c:pt idx="418">
                  <c:v>99.381</c:v>
                </c:pt>
                <c:pt idx="419">
                  <c:v>99.361999999999995</c:v>
                </c:pt>
                <c:pt idx="420">
                  <c:v>98.917000000000016</c:v>
                </c:pt>
                <c:pt idx="421">
                  <c:v>98.724999999999994</c:v>
                </c:pt>
                <c:pt idx="422">
                  <c:v>98.551000000000002</c:v>
                </c:pt>
                <c:pt idx="423">
                  <c:v>98.268000000000001</c:v>
                </c:pt>
                <c:pt idx="424">
                  <c:v>98.483000000000004</c:v>
                </c:pt>
                <c:pt idx="425">
                  <c:v>98.946000000000012</c:v>
                </c:pt>
                <c:pt idx="426">
                  <c:v>98.62299999999999</c:v>
                </c:pt>
                <c:pt idx="427">
                  <c:v>98.998999999999995</c:v>
                </c:pt>
                <c:pt idx="428">
                  <c:v>99.869</c:v>
                </c:pt>
                <c:pt idx="429">
                  <c:v>100.054</c:v>
                </c:pt>
                <c:pt idx="430">
                  <c:v>100.092</c:v>
                </c:pt>
                <c:pt idx="431">
                  <c:v>100.1</c:v>
                </c:pt>
                <c:pt idx="432">
                  <c:v>99.263999999999996</c:v>
                </c:pt>
                <c:pt idx="433">
                  <c:v>98.483999999999995</c:v>
                </c:pt>
                <c:pt idx="434">
                  <c:v>98.009</c:v>
                </c:pt>
                <c:pt idx="435">
                  <c:v>98.077999999999989</c:v>
                </c:pt>
                <c:pt idx="436">
                  <c:v>98.117000000000004</c:v>
                </c:pt>
                <c:pt idx="437">
                  <c:v>97.703000000000003</c:v>
                </c:pt>
                <c:pt idx="438">
                  <c:v>97.748000000000005</c:v>
                </c:pt>
                <c:pt idx="439">
                  <c:v>98.224999999999994</c:v>
                </c:pt>
                <c:pt idx="440">
                  <c:v>98.013999999999996</c:v>
                </c:pt>
                <c:pt idx="441">
                  <c:v>98.027000000000001</c:v>
                </c:pt>
                <c:pt idx="442">
                  <c:v>98.26</c:v>
                </c:pt>
              </c:numCache>
            </c:numRef>
          </c:val>
        </c:ser>
        <c:dLbls>
          <c:showLegendKey val="0"/>
          <c:showVal val="0"/>
          <c:showCatName val="0"/>
          <c:showSerName val="0"/>
          <c:showPercent val="0"/>
          <c:showBubbleSize val="0"/>
        </c:dLbls>
        <c:axId val="353212472"/>
        <c:axId val="353212864"/>
      </c:areaChart>
      <c:lineChart>
        <c:grouping val="standard"/>
        <c:varyColors val="0"/>
        <c:ser>
          <c:idx val="1"/>
          <c:order val="1"/>
          <c:tx>
            <c:strRef>
              <c:f>Eurobond!$L$3</c:f>
              <c:strCache>
                <c:ptCount val="1"/>
                <c:pt idx="0">
                  <c:v>Средњи принос до доспећа</c:v>
                </c:pt>
              </c:strCache>
            </c:strRef>
          </c:tx>
          <c:spPr>
            <a:ln w="22225" cap="rnd">
              <a:solidFill>
                <a:srgbClr val="4F6228"/>
              </a:solidFill>
              <a:round/>
            </a:ln>
            <a:effectLst/>
          </c:spPr>
          <c:marker>
            <c:symbol val="none"/>
          </c:marker>
          <c:cat>
            <c:numRef>
              <c:f>Eurobond!$J$6:$J$448</c:f>
              <c:numCache>
                <c:formatCode>d/m/yyyy</c:formatCode>
                <c:ptCount val="443"/>
                <c:pt idx="0">
                  <c:v>41943</c:v>
                </c:pt>
                <c:pt idx="1">
                  <c:v>41942</c:v>
                </c:pt>
                <c:pt idx="2">
                  <c:v>41941</c:v>
                </c:pt>
                <c:pt idx="3">
                  <c:v>41940</c:v>
                </c:pt>
                <c:pt idx="4">
                  <c:v>41939</c:v>
                </c:pt>
                <c:pt idx="5">
                  <c:v>41936</c:v>
                </c:pt>
                <c:pt idx="6">
                  <c:v>41935</c:v>
                </c:pt>
                <c:pt idx="7">
                  <c:v>41934</c:v>
                </c:pt>
                <c:pt idx="8">
                  <c:v>41933</c:v>
                </c:pt>
                <c:pt idx="9">
                  <c:v>41932</c:v>
                </c:pt>
                <c:pt idx="10">
                  <c:v>41929</c:v>
                </c:pt>
                <c:pt idx="11">
                  <c:v>41928</c:v>
                </c:pt>
                <c:pt idx="12">
                  <c:v>41927</c:v>
                </c:pt>
                <c:pt idx="13">
                  <c:v>41926</c:v>
                </c:pt>
                <c:pt idx="14">
                  <c:v>41925</c:v>
                </c:pt>
                <c:pt idx="15">
                  <c:v>41922</c:v>
                </c:pt>
                <c:pt idx="16">
                  <c:v>41921</c:v>
                </c:pt>
                <c:pt idx="17">
                  <c:v>41920</c:v>
                </c:pt>
                <c:pt idx="18">
                  <c:v>41919</c:v>
                </c:pt>
                <c:pt idx="19">
                  <c:v>41918</c:v>
                </c:pt>
                <c:pt idx="20">
                  <c:v>41915</c:v>
                </c:pt>
                <c:pt idx="21">
                  <c:v>41914</c:v>
                </c:pt>
                <c:pt idx="22">
                  <c:v>41913</c:v>
                </c:pt>
                <c:pt idx="23">
                  <c:v>41912</c:v>
                </c:pt>
                <c:pt idx="24">
                  <c:v>41911</c:v>
                </c:pt>
                <c:pt idx="25">
                  <c:v>41908</c:v>
                </c:pt>
                <c:pt idx="26">
                  <c:v>41907</c:v>
                </c:pt>
                <c:pt idx="27">
                  <c:v>41906</c:v>
                </c:pt>
                <c:pt idx="28">
                  <c:v>41905</c:v>
                </c:pt>
                <c:pt idx="29">
                  <c:v>41904</c:v>
                </c:pt>
                <c:pt idx="30">
                  <c:v>41901</c:v>
                </c:pt>
                <c:pt idx="31">
                  <c:v>41900</c:v>
                </c:pt>
                <c:pt idx="32">
                  <c:v>41899</c:v>
                </c:pt>
                <c:pt idx="33">
                  <c:v>41898</c:v>
                </c:pt>
                <c:pt idx="34">
                  <c:v>41897</c:v>
                </c:pt>
                <c:pt idx="35">
                  <c:v>41894</c:v>
                </c:pt>
                <c:pt idx="36">
                  <c:v>41893</c:v>
                </c:pt>
                <c:pt idx="37">
                  <c:v>41892</c:v>
                </c:pt>
                <c:pt idx="38">
                  <c:v>41891</c:v>
                </c:pt>
                <c:pt idx="39">
                  <c:v>41890</c:v>
                </c:pt>
                <c:pt idx="40">
                  <c:v>41887</c:v>
                </c:pt>
                <c:pt idx="41">
                  <c:v>41886</c:v>
                </c:pt>
                <c:pt idx="42">
                  <c:v>41885</c:v>
                </c:pt>
                <c:pt idx="43">
                  <c:v>41884</c:v>
                </c:pt>
                <c:pt idx="44">
                  <c:v>41883</c:v>
                </c:pt>
                <c:pt idx="45">
                  <c:v>41880</c:v>
                </c:pt>
                <c:pt idx="46">
                  <c:v>41879</c:v>
                </c:pt>
                <c:pt idx="47">
                  <c:v>41878</c:v>
                </c:pt>
                <c:pt idx="48">
                  <c:v>41877</c:v>
                </c:pt>
                <c:pt idx="49">
                  <c:v>41876</c:v>
                </c:pt>
                <c:pt idx="50">
                  <c:v>41873</c:v>
                </c:pt>
                <c:pt idx="51">
                  <c:v>41872</c:v>
                </c:pt>
                <c:pt idx="52">
                  <c:v>41871</c:v>
                </c:pt>
                <c:pt idx="53">
                  <c:v>41870</c:v>
                </c:pt>
                <c:pt idx="54">
                  <c:v>41869</c:v>
                </c:pt>
                <c:pt idx="55">
                  <c:v>41866</c:v>
                </c:pt>
                <c:pt idx="56">
                  <c:v>41865</c:v>
                </c:pt>
                <c:pt idx="57">
                  <c:v>41864</c:v>
                </c:pt>
                <c:pt idx="58">
                  <c:v>41863</c:v>
                </c:pt>
                <c:pt idx="59">
                  <c:v>41862</c:v>
                </c:pt>
                <c:pt idx="60">
                  <c:v>41859</c:v>
                </c:pt>
                <c:pt idx="61">
                  <c:v>41858</c:v>
                </c:pt>
                <c:pt idx="62">
                  <c:v>41857</c:v>
                </c:pt>
                <c:pt idx="63">
                  <c:v>41856</c:v>
                </c:pt>
                <c:pt idx="64">
                  <c:v>41855</c:v>
                </c:pt>
                <c:pt idx="65">
                  <c:v>41852</c:v>
                </c:pt>
                <c:pt idx="66">
                  <c:v>41851</c:v>
                </c:pt>
                <c:pt idx="67">
                  <c:v>41850</c:v>
                </c:pt>
                <c:pt idx="68">
                  <c:v>41849</c:v>
                </c:pt>
                <c:pt idx="69">
                  <c:v>41848</c:v>
                </c:pt>
                <c:pt idx="70">
                  <c:v>41845</c:v>
                </c:pt>
                <c:pt idx="71">
                  <c:v>41844</c:v>
                </c:pt>
                <c:pt idx="72">
                  <c:v>41843</c:v>
                </c:pt>
                <c:pt idx="73">
                  <c:v>41842</c:v>
                </c:pt>
                <c:pt idx="74">
                  <c:v>41841</c:v>
                </c:pt>
                <c:pt idx="75">
                  <c:v>41838</c:v>
                </c:pt>
                <c:pt idx="76">
                  <c:v>41837</c:v>
                </c:pt>
                <c:pt idx="77">
                  <c:v>41836</c:v>
                </c:pt>
                <c:pt idx="78">
                  <c:v>41835</c:v>
                </c:pt>
                <c:pt idx="79">
                  <c:v>41834</c:v>
                </c:pt>
                <c:pt idx="80">
                  <c:v>41831</c:v>
                </c:pt>
                <c:pt idx="81">
                  <c:v>41830</c:v>
                </c:pt>
                <c:pt idx="82">
                  <c:v>41829</c:v>
                </c:pt>
                <c:pt idx="83">
                  <c:v>41828</c:v>
                </c:pt>
                <c:pt idx="84">
                  <c:v>41827</c:v>
                </c:pt>
                <c:pt idx="85">
                  <c:v>41824</c:v>
                </c:pt>
                <c:pt idx="86">
                  <c:v>41823</c:v>
                </c:pt>
                <c:pt idx="87">
                  <c:v>41822</c:v>
                </c:pt>
                <c:pt idx="88">
                  <c:v>41821</c:v>
                </c:pt>
                <c:pt idx="89">
                  <c:v>41820</c:v>
                </c:pt>
                <c:pt idx="90">
                  <c:v>41817</c:v>
                </c:pt>
                <c:pt idx="91">
                  <c:v>41816</c:v>
                </c:pt>
                <c:pt idx="92">
                  <c:v>41815</c:v>
                </c:pt>
                <c:pt idx="93">
                  <c:v>41814</c:v>
                </c:pt>
                <c:pt idx="94">
                  <c:v>41813</c:v>
                </c:pt>
                <c:pt idx="95">
                  <c:v>41810</c:v>
                </c:pt>
                <c:pt idx="96">
                  <c:v>41809</c:v>
                </c:pt>
                <c:pt idx="97">
                  <c:v>41808</c:v>
                </c:pt>
                <c:pt idx="98">
                  <c:v>41807</c:v>
                </c:pt>
                <c:pt idx="99">
                  <c:v>41806</c:v>
                </c:pt>
                <c:pt idx="100">
                  <c:v>41803</c:v>
                </c:pt>
                <c:pt idx="101">
                  <c:v>41802</c:v>
                </c:pt>
                <c:pt idx="102">
                  <c:v>41801</c:v>
                </c:pt>
                <c:pt idx="103">
                  <c:v>41800</c:v>
                </c:pt>
                <c:pt idx="104">
                  <c:v>41799</c:v>
                </c:pt>
                <c:pt idx="105">
                  <c:v>41796</c:v>
                </c:pt>
                <c:pt idx="106">
                  <c:v>41795</c:v>
                </c:pt>
                <c:pt idx="107">
                  <c:v>41794</c:v>
                </c:pt>
                <c:pt idx="108">
                  <c:v>41793</c:v>
                </c:pt>
                <c:pt idx="109">
                  <c:v>41792</c:v>
                </c:pt>
                <c:pt idx="110">
                  <c:v>41789</c:v>
                </c:pt>
                <c:pt idx="111">
                  <c:v>41788</c:v>
                </c:pt>
                <c:pt idx="112">
                  <c:v>41787</c:v>
                </c:pt>
                <c:pt idx="113">
                  <c:v>41786</c:v>
                </c:pt>
                <c:pt idx="114">
                  <c:v>41785</c:v>
                </c:pt>
                <c:pt idx="115">
                  <c:v>41782</c:v>
                </c:pt>
                <c:pt idx="116">
                  <c:v>41781</c:v>
                </c:pt>
                <c:pt idx="117">
                  <c:v>41780</c:v>
                </c:pt>
                <c:pt idx="118">
                  <c:v>41779</c:v>
                </c:pt>
                <c:pt idx="119">
                  <c:v>41778</c:v>
                </c:pt>
                <c:pt idx="120">
                  <c:v>41775</c:v>
                </c:pt>
                <c:pt idx="121">
                  <c:v>41774</c:v>
                </c:pt>
                <c:pt idx="122">
                  <c:v>41773</c:v>
                </c:pt>
                <c:pt idx="123">
                  <c:v>41772</c:v>
                </c:pt>
                <c:pt idx="124">
                  <c:v>41771</c:v>
                </c:pt>
                <c:pt idx="125">
                  <c:v>41768</c:v>
                </c:pt>
                <c:pt idx="126">
                  <c:v>41767</c:v>
                </c:pt>
                <c:pt idx="127">
                  <c:v>41766</c:v>
                </c:pt>
                <c:pt idx="128">
                  <c:v>41765</c:v>
                </c:pt>
                <c:pt idx="129">
                  <c:v>41764</c:v>
                </c:pt>
                <c:pt idx="130">
                  <c:v>41761</c:v>
                </c:pt>
                <c:pt idx="131">
                  <c:v>41760</c:v>
                </c:pt>
                <c:pt idx="132">
                  <c:v>41759</c:v>
                </c:pt>
                <c:pt idx="133">
                  <c:v>41758</c:v>
                </c:pt>
                <c:pt idx="134">
                  <c:v>41757</c:v>
                </c:pt>
                <c:pt idx="135">
                  <c:v>41754</c:v>
                </c:pt>
                <c:pt idx="136">
                  <c:v>41753</c:v>
                </c:pt>
                <c:pt idx="137">
                  <c:v>41752</c:v>
                </c:pt>
                <c:pt idx="138">
                  <c:v>41751</c:v>
                </c:pt>
                <c:pt idx="139">
                  <c:v>41750</c:v>
                </c:pt>
                <c:pt idx="140">
                  <c:v>41747</c:v>
                </c:pt>
                <c:pt idx="141">
                  <c:v>41746</c:v>
                </c:pt>
                <c:pt idx="142">
                  <c:v>41745</c:v>
                </c:pt>
                <c:pt idx="143">
                  <c:v>41744</c:v>
                </c:pt>
                <c:pt idx="144">
                  <c:v>41743</c:v>
                </c:pt>
                <c:pt idx="145">
                  <c:v>41740</c:v>
                </c:pt>
                <c:pt idx="146">
                  <c:v>41739</c:v>
                </c:pt>
                <c:pt idx="147">
                  <c:v>41738</c:v>
                </c:pt>
                <c:pt idx="148">
                  <c:v>41737</c:v>
                </c:pt>
                <c:pt idx="149">
                  <c:v>41736</c:v>
                </c:pt>
                <c:pt idx="150">
                  <c:v>41733</c:v>
                </c:pt>
                <c:pt idx="151">
                  <c:v>41732</c:v>
                </c:pt>
                <c:pt idx="152">
                  <c:v>41731</c:v>
                </c:pt>
                <c:pt idx="153">
                  <c:v>41730</c:v>
                </c:pt>
                <c:pt idx="154">
                  <c:v>41729</c:v>
                </c:pt>
                <c:pt idx="155">
                  <c:v>41726</c:v>
                </c:pt>
                <c:pt idx="156">
                  <c:v>41725</c:v>
                </c:pt>
                <c:pt idx="157">
                  <c:v>41724</c:v>
                </c:pt>
                <c:pt idx="158">
                  <c:v>41723</c:v>
                </c:pt>
                <c:pt idx="159">
                  <c:v>41722</c:v>
                </c:pt>
                <c:pt idx="160">
                  <c:v>41719</c:v>
                </c:pt>
                <c:pt idx="161">
                  <c:v>41718</c:v>
                </c:pt>
                <c:pt idx="162">
                  <c:v>41717</c:v>
                </c:pt>
                <c:pt idx="163">
                  <c:v>41716</c:v>
                </c:pt>
                <c:pt idx="164">
                  <c:v>41715</c:v>
                </c:pt>
                <c:pt idx="165">
                  <c:v>41712</c:v>
                </c:pt>
                <c:pt idx="166">
                  <c:v>41711</c:v>
                </c:pt>
                <c:pt idx="167">
                  <c:v>41710</c:v>
                </c:pt>
                <c:pt idx="168">
                  <c:v>41709</c:v>
                </c:pt>
                <c:pt idx="169">
                  <c:v>41708</c:v>
                </c:pt>
                <c:pt idx="170">
                  <c:v>41705</c:v>
                </c:pt>
                <c:pt idx="171">
                  <c:v>41704</c:v>
                </c:pt>
                <c:pt idx="172">
                  <c:v>41703</c:v>
                </c:pt>
                <c:pt idx="173">
                  <c:v>41702</c:v>
                </c:pt>
                <c:pt idx="174">
                  <c:v>41701</c:v>
                </c:pt>
                <c:pt idx="175">
                  <c:v>41698</c:v>
                </c:pt>
                <c:pt idx="176">
                  <c:v>41697</c:v>
                </c:pt>
                <c:pt idx="177">
                  <c:v>41696</c:v>
                </c:pt>
                <c:pt idx="178">
                  <c:v>41695</c:v>
                </c:pt>
                <c:pt idx="179">
                  <c:v>41694</c:v>
                </c:pt>
                <c:pt idx="180">
                  <c:v>41691</c:v>
                </c:pt>
                <c:pt idx="181">
                  <c:v>41690</c:v>
                </c:pt>
                <c:pt idx="182">
                  <c:v>41689</c:v>
                </c:pt>
                <c:pt idx="183">
                  <c:v>41688</c:v>
                </c:pt>
                <c:pt idx="184">
                  <c:v>41687</c:v>
                </c:pt>
                <c:pt idx="185">
                  <c:v>41684</c:v>
                </c:pt>
                <c:pt idx="186">
                  <c:v>41683</c:v>
                </c:pt>
                <c:pt idx="187">
                  <c:v>41682</c:v>
                </c:pt>
                <c:pt idx="188">
                  <c:v>41681</c:v>
                </c:pt>
                <c:pt idx="189">
                  <c:v>41680</c:v>
                </c:pt>
                <c:pt idx="190">
                  <c:v>41677</c:v>
                </c:pt>
                <c:pt idx="191">
                  <c:v>41676</c:v>
                </c:pt>
                <c:pt idx="192">
                  <c:v>41675</c:v>
                </c:pt>
                <c:pt idx="193">
                  <c:v>41674</c:v>
                </c:pt>
                <c:pt idx="194">
                  <c:v>41673</c:v>
                </c:pt>
                <c:pt idx="195">
                  <c:v>41670</c:v>
                </c:pt>
                <c:pt idx="196">
                  <c:v>41669</c:v>
                </c:pt>
                <c:pt idx="197">
                  <c:v>41668</c:v>
                </c:pt>
                <c:pt idx="198">
                  <c:v>41667</c:v>
                </c:pt>
                <c:pt idx="199">
                  <c:v>41666</c:v>
                </c:pt>
                <c:pt idx="200">
                  <c:v>41663</c:v>
                </c:pt>
                <c:pt idx="201">
                  <c:v>41662</c:v>
                </c:pt>
                <c:pt idx="202">
                  <c:v>41661</c:v>
                </c:pt>
                <c:pt idx="203">
                  <c:v>41660</c:v>
                </c:pt>
                <c:pt idx="204">
                  <c:v>41659</c:v>
                </c:pt>
                <c:pt idx="205">
                  <c:v>41656</c:v>
                </c:pt>
                <c:pt idx="206">
                  <c:v>41655</c:v>
                </c:pt>
                <c:pt idx="207">
                  <c:v>41654</c:v>
                </c:pt>
                <c:pt idx="208">
                  <c:v>41653</c:v>
                </c:pt>
                <c:pt idx="209">
                  <c:v>41652</c:v>
                </c:pt>
                <c:pt idx="210">
                  <c:v>41649</c:v>
                </c:pt>
                <c:pt idx="211">
                  <c:v>41648</c:v>
                </c:pt>
                <c:pt idx="212">
                  <c:v>41647</c:v>
                </c:pt>
                <c:pt idx="213">
                  <c:v>41646</c:v>
                </c:pt>
                <c:pt idx="214">
                  <c:v>41645</c:v>
                </c:pt>
                <c:pt idx="215">
                  <c:v>41642</c:v>
                </c:pt>
                <c:pt idx="216">
                  <c:v>41641</c:v>
                </c:pt>
                <c:pt idx="217">
                  <c:v>41640</c:v>
                </c:pt>
                <c:pt idx="218">
                  <c:v>41639</c:v>
                </c:pt>
                <c:pt idx="219">
                  <c:v>41638</c:v>
                </c:pt>
                <c:pt idx="220">
                  <c:v>41635</c:v>
                </c:pt>
                <c:pt idx="221">
                  <c:v>41634</c:v>
                </c:pt>
                <c:pt idx="222">
                  <c:v>41633</c:v>
                </c:pt>
                <c:pt idx="223">
                  <c:v>41632</c:v>
                </c:pt>
                <c:pt idx="224">
                  <c:v>41631</c:v>
                </c:pt>
                <c:pt idx="225">
                  <c:v>41628</c:v>
                </c:pt>
                <c:pt idx="226">
                  <c:v>41627</c:v>
                </c:pt>
                <c:pt idx="227">
                  <c:v>41626</c:v>
                </c:pt>
                <c:pt idx="228">
                  <c:v>41625</c:v>
                </c:pt>
                <c:pt idx="229">
                  <c:v>41624</c:v>
                </c:pt>
                <c:pt idx="230">
                  <c:v>41621</c:v>
                </c:pt>
                <c:pt idx="231">
                  <c:v>41620</c:v>
                </c:pt>
                <c:pt idx="232">
                  <c:v>41619</c:v>
                </c:pt>
                <c:pt idx="233">
                  <c:v>41618</c:v>
                </c:pt>
                <c:pt idx="234">
                  <c:v>41617</c:v>
                </c:pt>
                <c:pt idx="235">
                  <c:v>41614</c:v>
                </c:pt>
                <c:pt idx="236">
                  <c:v>41613</c:v>
                </c:pt>
                <c:pt idx="237">
                  <c:v>41612</c:v>
                </c:pt>
                <c:pt idx="238">
                  <c:v>41611</c:v>
                </c:pt>
                <c:pt idx="239">
                  <c:v>41610</c:v>
                </c:pt>
                <c:pt idx="240">
                  <c:v>41607</c:v>
                </c:pt>
                <c:pt idx="241">
                  <c:v>41606</c:v>
                </c:pt>
                <c:pt idx="242">
                  <c:v>41605</c:v>
                </c:pt>
                <c:pt idx="243">
                  <c:v>41604</c:v>
                </c:pt>
                <c:pt idx="244">
                  <c:v>41603</c:v>
                </c:pt>
                <c:pt idx="245">
                  <c:v>41600</c:v>
                </c:pt>
                <c:pt idx="246">
                  <c:v>41599</c:v>
                </c:pt>
                <c:pt idx="247">
                  <c:v>41598</c:v>
                </c:pt>
                <c:pt idx="248">
                  <c:v>41597</c:v>
                </c:pt>
                <c:pt idx="249">
                  <c:v>41596</c:v>
                </c:pt>
                <c:pt idx="250">
                  <c:v>41593</c:v>
                </c:pt>
                <c:pt idx="251">
                  <c:v>41592</c:v>
                </c:pt>
                <c:pt idx="252">
                  <c:v>41591</c:v>
                </c:pt>
                <c:pt idx="253">
                  <c:v>41590</c:v>
                </c:pt>
                <c:pt idx="254">
                  <c:v>41589</c:v>
                </c:pt>
                <c:pt idx="255">
                  <c:v>41586</c:v>
                </c:pt>
                <c:pt idx="256">
                  <c:v>41585</c:v>
                </c:pt>
                <c:pt idx="257">
                  <c:v>41584</c:v>
                </c:pt>
                <c:pt idx="258">
                  <c:v>41583</c:v>
                </c:pt>
                <c:pt idx="259">
                  <c:v>41582</c:v>
                </c:pt>
                <c:pt idx="260">
                  <c:v>41579</c:v>
                </c:pt>
                <c:pt idx="261">
                  <c:v>41578</c:v>
                </c:pt>
                <c:pt idx="262">
                  <c:v>41577</c:v>
                </c:pt>
                <c:pt idx="263">
                  <c:v>41576</c:v>
                </c:pt>
                <c:pt idx="264">
                  <c:v>41575</c:v>
                </c:pt>
                <c:pt idx="265">
                  <c:v>41572</c:v>
                </c:pt>
                <c:pt idx="266">
                  <c:v>41571</c:v>
                </c:pt>
                <c:pt idx="267">
                  <c:v>41570</c:v>
                </c:pt>
                <c:pt idx="268">
                  <c:v>41569</c:v>
                </c:pt>
                <c:pt idx="269">
                  <c:v>41568</c:v>
                </c:pt>
                <c:pt idx="270">
                  <c:v>41565</c:v>
                </c:pt>
                <c:pt idx="271">
                  <c:v>41564</c:v>
                </c:pt>
                <c:pt idx="272">
                  <c:v>41563</c:v>
                </c:pt>
                <c:pt idx="273">
                  <c:v>41562</c:v>
                </c:pt>
                <c:pt idx="274">
                  <c:v>41561</c:v>
                </c:pt>
                <c:pt idx="275">
                  <c:v>41558</c:v>
                </c:pt>
                <c:pt idx="276">
                  <c:v>41557</c:v>
                </c:pt>
                <c:pt idx="277">
                  <c:v>41556</c:v>
                </c:pt>
                <c:pt idx="278">
                  <c:v>41555</c:v>
                </c:pt>
                <c:pt idx="279">
                  <c:v>41554</c:v>
                </c:pt>
                <c:pt idx="280">
                  <c:v>41551</c:v>
                </c:pt>
                <c:pt idx="281">
                  <c:v>41550</c:v>
                </c:pt>
                <c:pt idx="282">
                  <c:v>41549</c:v>
                </c:pt>
                <c:pt idx="283">
                  <c:v>41548</c:v>
                </c:pt>
                <c:pt idx="284">
                  <c:v>41547</c:v>
                </c:pt>
                <c:pt idx="285">
                  <c:v>41544</c:v>
                </c:pt>
                <c:pt idx="286">
                  <c:v>41543</c:v>
                </c:pt>
                <c:pt idx="287">
                  <c:v>41542</c:v>
                </c:pt>
                <c:pt idx="288">
                  <c:v>41541</c:v>
                </c:pt>
                <c:pt idx="289">
                  <c:v>41540</c:v>
                </c:pt>
                <c:pt idx="290">
                  <c:v>41537</c:v>
                </c:pt>
                <c:pt idx="291">
                  <c:v>41536</c:v>
                </c:pt>
                <c:pt idx="292">
                  <c:v>41535</c:v>
                </c:pt>
                <c:pt idx="293">
                  <c:v>41534</c:v>
                </c:pt>
                <c:pt idx="294">
                  <c:v>41533</c:v>
                </c:pt>
                <c:pt idx="295">
                  <c:v>41530</c:v>
                </c:pt>
                <c:pt idx="296">
                  <c:v>41529</c:v>
                </c:pt>
                <c:pt idx="297">
                  <c:v>41528</c:v>
                </c:pt>
                <c:pt idx="298">
                  <c:v>41527</c:v>
                </c:pt>
                <c:pt idx="299">
                  <c:v>41526</c:v>
                </c:pt>
                <c:pt idx="300">
                  <c:v>41523</c:v>
                </c:pt>
                <c:pt idx="301">
                  <c:v>41522</c:v>
                </c:pt>
                <c:pt idx="302">
                  <c:v>41521</c:v>
                </c:pt>
                <c:pt idx="303">
                  <c:v>41520</c:v>
                </c:pt>
                <c:pt idx="304">
                  <c:v>41519</c:v>
                </c:pt>
                <c:pt idx="305">
                  <c:v>41516</c:v>
                </c:pt>
                <c:pt idx="306">
                  <c:v>41515</c:v>
                </c:pt>
                <c:pt idx="307">
                  <c:v>41514</c:v>
                </c:pt>
                <c:pt idx="308">
                  <c:v>41513</c:v>
                </c:pt>
                <c:pt idx="309">
                  <c:v>41512</c:v>
                </c:pt>
                <c:pt idx="310">
                  <c:v>41509</c:v>
                </c:pt>
                <c:pt idx="311">
                  <c:v>41508</c:v>
                </c:pt>
                <c:pt idx="312">
                  <c:v>41507</c:v>
                </c:pt>
                <c:pt idx="313">
                  <c:v>41506</c:v>
                </c:pt>
                <c:pt idx="314">
                  <c:v>41505</c:v>
                </c:pt>
                <c:pt idx="315">
                  <c:v>41502</c:v>
                </c:pt>
                <c:pt idx="316">
                  <c:v>41501</c:v>
                </c:pt>
                <c:pt idx="317">
                  <c:v>41500</c:v>
                </c:pt>
                <c:pt idx="318">
                  <c:v>41499</c:v>
                </c:pt>
                <c:pt idx="319">
                  <c:v>41498</c:v>
                </c:pt>
                <c:pt idx="320">
                  <c:v>41495</c:v>
                </c:pt>
                <c:pt idx="321">
                  <c:v>41494</c:v>
                </c:pt>
                <c:pt idx="322">
                  <c:v>41493</c:v>
                </c:pt>
                <c:pt idx="323">
                  <c:v>41492</c:v>
                </c:pt>
                <c:pt idx="324">
                  <c:v>41491</c:v>
                </c:pt>
                <c:pt idx="325">
                  <c:v>41488</c:v>
                </c:pt>
                <c:pt idx="326">
                  <c:v>41487</c:v>
                </c:pt>
                <c:pt idx="327">
                  <c:v>41486</c:v>
                </c:pt>
                <c:pt idx="328">
                  <c:v>41485</c:v>
                </c:pt>
                <c:pt idx="329">
                  <c:v>41484</c:v>
                </c:pt>
                <c:pt idx="330">
                  <c:v>41481</c:v>
                </c:pt>
                <c:pt idx="331">
                  <c:v>41480</c:v>
                </c:pt>
                <c:pt idx="332">
                  <c:v>41479</c:v>
                </c:pt>
                <c:pt idx="333">
                  <c:v>41478</c:v>
                </c:pt>
                <c:pt idx="334">
                  <c:v>41477</c:v>
                </c:pt>
                <c:pt idx="335">
                  <c:v>41474</c:v>
                </c:pt>
                <c:pt idx="336">
                  <c:v>41473</c:v>
                </c:pt>
                <c:pt idx="337">
                  <c:v>41472</c:v>
                </c:pt>
                <c:pt idx="338">
                  <c:v>41471</c:v>
                </c:pt>
                <c:pt idx="339">
                  <c:v>41470</c:v>
                </c:pt>
                <c:pt idx="340">
                  <c:v>41467</c:v>
                </c:pt>
                <c:pt idx="341">
                  <c:v>41466</c:v>
                </c:pt>
                <c:pt idx="342">
                  <c:v>41465</c:v>
                </c:pt>
                <c:pt idx="343">
                  <c:v>41464</c:v>
                </c:pt>
                <c:pt idx="344">
                  <c:v>41463</c:v>
                </c:pt>
                <c:pt idx="345">
                  <c:v>41460</c:v>
                </c:pt>
                <c:pt idx="346">
                  <c:v>41459</c:v>
                </c:pt>
                <c:pt idx="347">
                  <c:v>41458</c:v>
                </c:pt>
                <c:pt idx="348">
                  <c:v>41457</c:v>
                </c:pt>
                <c:pt idx="349">
                  <c:v>41456</c:v>
                </c:pt>
                <c:pt idx="350">
                  <c:v>41453</c:v>
                </c:pt>
                <c:pt idx="351">
                  <c:v>41452</c:v>
                </c:pt>
                <c:pt idx="352">
                  <c:v>41451</c:v>
                </c:pt>
                <c:pt idx="353">
                  <c:v>41450</c:v>
                </c:pt>
                <c:pt idx="354">
                  <c:v>41449</c:v>
                </c:pt>
                <c:pt idx="355">
                  <c:v>41446</c:v>
                </c:pt>
                <c:pt idx="356">
                  <c:v>41445</c:v>
                </c:pt>
                <c:pt idx="357">
                  <c:v>41444</c:v>
                </c:pt>
                <c:pt idx="358">
                  <c:v>41443</c:v>
                </c:pt>
                <c:pt idx="359">
                  <c:v>41442</c:v>
                </c:pt>
                <c:pt idx="360">
                  <c:v>41439</c:v>
                </c:pt>
                <c:pt idx="361">
                  <c:v>41438</c:v>
                </c:pt>
                <c:pt idx="362">
                  <c:v>41437</c:v>
                </c:pt>
                <c:pt idx="363">
                  <c:v>41436</c:v>
                </c:pt>
                <c:pt idx="364">
                  <c:v>41435</c:v>
                </c:pt>
                <c:pt idx="365">
                  <c:v>41432</c:v>
                </c:pt>
                <c:pt idx="366">
                  <c:v>41431</c:v>
                </c:pt>
                <c:pt idx="367">
                  <c:v>41430</c:v>
                </c:pt>
                <c:pt idx="368">
                  <c:v>41429</c:v>
                </c:pt>
                <c:pt idx="369">
                  <c:v>41428</c:v>
                </c:pt>
                <c:pt idx="370">
                  <c:v>41425</c:v>
                </c:pt>
                <c:pt idx="371">
                  <c:v>41424</c:v>
                </c:pt>
                <c:pt idx="372">
                  <c:v>41423</c:v>
                </c:pt>
                <c:pt idx="373">
                  <c:v>41422</c:v>
                </c:pt>
                <c:pt idx="374">
                  <c:v>41421</c:v>
                </c:pt>
                <c:pt idx="375">
                  <c:v>41418</c:v>
                </c:pt>
                <c:pt idx="376">
                  <c:v>41417</c:v>
                </c:pt>
                <c:pt idx="377">
                  <c:v>41416</c:v>
                </c:pt>
                <c:pt idx="378">
                  <c:v>41415</c:v>
                </c:pt>
                <c:pt idx="379">
                  <c:v>41414</c:v>
                </c:pt>
                <c:pt idx="380">
                  <c:v>41411</c:v>
                </c:pt>
                <c:pt idx="381">
                  <c:v>41410</c:v>
                </c:pt>
                <c:pt idx="382">
                  <c:v>41409</c:v>
                </c:pt>
                <c:pt idx="383">
                  <c:v>41408</c:v>
                </c:pt>
                <c:pt idx="384">
                  <c:v>41407</c:v>
                </c:pt>
                <c:pt idx="385">
                  <c:v>41404</c:v>
                </c:pt>
                <c:pt idx="386">
                  <c:v>41403</c:v>
                </c:pt>
                <c:pt idx="387">
                  <c:v>41402</c:v>
                </c:pt>
                <c:pt idx="388">
                  <c:v>41401</c:v>
                </c:pt>
                <c:pt idx="389">
                  <c:v>41400</c:v>
                </c:pt>
                <c:pt idx="390">
                  <c:v>41397</c:v>
                </c:pt>
                <c:pt idx="391">
                  <c:v>41396</c:v>
                </c:pt>
                <c:pt idx="392">
                  <c:v>41395</c:v>
                </c:pt>
                <c:pt idx="393">
                  <c:v>41394</c:v>
                </c:pt>
                <c:pt idx="394">
                  <c:v>41393</c:v>
                </c:pt>
                <c:pt idx="395">
                  <c:v>41390</c:v>
                </c:pt>
                <c:pt idx="396">
                  <c:v>41389</c:v>
                </c:pt>
                <c:pt idx="397">
                  <c:v>41388</c:v>
                </c:pt>
                <c:pt idx="398">
                  <c:v>41387</c:v>
                </c:pt>
                <c:pt idx="399">
                  <c:v>41386</c:v>
                </c:pt>
                <c:pt idx="400">
                  <c:v>41383</c:v>
                </c:pt>
                <c:pt idx="401">
                  <c:v>41382</c:v>
                </c:pt>
                <c:pt idx="402">
                  <c:v>41381</c:v>
                </c:pt>
                <c:pt idx="403">
                  <c:v>41380</c:v>
                </c:pt>
                <c:pt idx="404">
                  <c:v>41379</c:v>
                </c:pt>
                <c:pt idx="405">
                  <c:v>41376</c:v>
                </c:pt>
                <c:pt idx="406">
                  <c:v>41375</c:v>
                </c:pt>
                <c:pt idx="407">
                  <c:v>41374</c:v>
                </c:pt>
                <c:pt idx="408">
                  <c:v>41373</c:v>
                </c:pt>
                <c:pt idx="409">
                  <c:v>41372</c:v>
                </c:pt>
                <c:pt idx="410">
                  <c:v>41369</c:v>
                </c:pt>
                <c:pt idx="411">
                  <c:v>41368</c:v>
                </c:pt>
                <c:pt idx="412">
                  <c:v>41367</c:v>
                </c:pt>
                <c:pt idx="413">
                  <c:v>41366</c:v>
                </c:pt>
                <c:pt idx="414">
                  <c:v>41365</c:v>
                </c:pt>
                <c:pt idx="415">
                  <c:v>41362</c:v>
                </c:pt>
                <c:pt idx="416">
                  <c:v>41361</c:v>
                </c:pt>
                <c:pt idx="417">
                  <c:v>41360</c:v>
                </c:pt>
                <c:pt idx="418">
                  <c:v>41359</c:v>
                </c:pt>
                <c:pt idx="419">
                  <c:v>41358</c:v>
                </c:pt>
                <c:pt idx="420">
                  <c:v>41355</c:v>
                </c:pt>
                <c:pt idx="421">
                  <c:v>41354</c:v>
                </c:pt>
                <c:pt idx="422">
                  <c:v>41353</c:v>
                </c:pt>
                <c:pt idx="423">
                  <c:v>41352</c:v>
                </c:pt>
                <c:pt idx="424">
                  <c:v>41351</c:v>
                </c:pt>
                <c:pt idx="425">
                  <c:v>41348</c:v>
                </c:pt>
                <c:pt idx="426">
                  <c:v>41347</c:v>
                </c:pt>
                <c:pt idx="427">
                  <c:v>41346</c:v>
                </c:pt>
                <c:pt idx="428">
                  <c:v>41345</c:v>
                </c:pt>
                <c:pt idx="429">
                  <c:v>41344</c:v>
                </c:pt>
                <c:pt idx="430">
                  <c:v>41341</c:v>
                </c:pt>
                <c:pt idx="431">
                  <c:v>41340</c:v>
                </c:pt>
                <c:pt idx="432">
                  <c:v>41339</c:v>
                </c:pt>
                <c:pt idx="433">
                  <c:v>41338</c:v>
                </c:pt>
                <c:pt idx="434">
                  <c:v>41337</c:v>
                </c:pt>
                <c:pt idx="435">
                  <c:v>41334</c:v>
                </c:pt>
                <c:pt idx="436">
                  <c:v>41333</c:v>
                </c:pt>
                <c:pt idx="437">
                  <c:v>41332</c:v>
                </c:pt>
                <c:pt idx="438">
                  <c:v>41331</c:v>
                </c:pt>
                <c:pt idx="439">
                  <c:v>41330</c:v>
                </c:pt>
                <c:pt idx="440">
                  <c:v>41327</c:v>
                </c:pt>
                <c:pt idx="441">
                  <c:v>41326</c:v>
                </c:pt>
                <c:pt idx="442">
                  <c:v>41325</c:v>
                </c:pt>
              </c:numCache>
            </c:numRef>
          </c:cat>
          <c:val>
            <c:numRef>
              <c:f>Eurobond!$L$6:$L$448</c:f>
              <c:numCache>
                <c:formatCode>#,##0.000</c:formatCode>
                <c:ptCount val="443"/>
                <c:pt idx="0">
                  <c:v>4.4669999999999996</c:v>
                </c:pt>
                <c:pt idx="1">
                  <c:v>4.4980000000000002</c:v>
                </c:pt>
                <c:pt idx="2">
                  <c:v>4.4960000000000004</c:v>
                </c:pt>
                <c:pt idx="3">
                  <c:v>4.5060000000000002</c:v>
                </c:pt>
                <c:pt idx="4">
                  <c:v>4.5199999999999996</c:v>
                </c:pt>
                <c:pt idx="5">
                  <c:v>4.5229999999999988</c:v>
                </c:pt>
                <c:pt idx="6">
                  <c:v>4.5030000000000001</c:v>
                </c:pt>
                <c:pt idx="7">
                  <c:v>4.512999999999999</c:v>
                </c:pt>
                <c:pt idx="8">
                  <c:v>4.5419999999999998</c:v>
                </c:pt>
                <c:pt idx="9">
                  <c:v>4.6079999999999988</c:v>
                </c:pt>
                <c:pt idx="10">
                  <c:v>4.681</c:v>
                </c:pt>
                <c:pt idx="11">
                  <c:v>4.8369999999999997</c:v>
                </c:pt>
                <c:pt idx="12">
                  <c:v>4.8019999999999996</c:v>
                </c:pt>
                <c:pt idx="13">
                  <c:v>4.8279999999999994</c:v>
                </c:pt>
                <c:pt idx="14">
                  <c:v>4.8439999999999994</c:v>
                </c:pt>
                <c:pt idx="15">
                  <c:v>4.8139999999999992</c:v>
                </c:pt>
                <c:pt idx="16">
                  <c:v>4.7610000000000001</c:v>
                </c:pt>
                <c:pt idx="17">
                  <c:v>4.8870000000000005</c:v>
                </c:pt>
                <c:pt idx="18">
                  <c:v>4.979000000000001</c:v>
                </c:pt>
                <c:pt idx="19">
                  <c:v>4.9809999999999999</c:v>
                </c:pt>
                <c:pt idx="20">
                  <c:v>5.004999999999999</c:v>
                </c:pt>
                <c:pt idx="21">
                  <c:v>4.9530000000000003</c:v>
                </c:pt>
                <c:pt idx="22">
                  <c:v>4.891</c:v>
                </c:pt>
                <c:pt idx="23">
                  <c:v>4.8870000000000005</c:v>
                </c:pt>
                <c:pt idx="24">
                  <c:v>4.9020000000000001</c:v>
                </c:pt>
                <c:pt idx="25">
                  <c:v>4.7379999999999995</c:v>
                </c:pt>
                <c:pt idx="26">
                  <c:v>4.6319999999999997</c:v>
                </c:pt>
                <c:pt idx="27">
                  <c:v>4.5639999999999992</c:v>
                </c:pt>
                <c:pt idx="28">
                  <c:v>4.5709999999999997</c:v>
                </c:pt>
                <c:pt idx="29">
                  <c:v>4.5830000000000002</c:v>
                </c:pt>
                <c:pt idx="30">
                  <c:v>4.621999999999999</c:v>
                </c:pt>
                <c:pt idx="31">
                  <c:v>4.6629999999999994</c:v>
                </c:pt>
                <c:pt idx="32">
                  <c:v>4.6370000000000005</c:v>
                </c:pt>
                <c:pt idx="33">
                  <c:v>4.653999999999999</c:v>
                </c:pt>
                <c:pt idx="34">
                  <c:v>4.6549999999999994</c:v>
                </c:pt>
                <c:pt idx="35">
                  <c:v>4.6119999999999992</c:v>
                </c:pt>
                <c:pt idx="36">
                  <c:v>4.5090000000000003</c:v>
                </c:pt>
                <c:pt idx="37">
                  <c:v>4.5149999999999988</c:v>
                </c:pt>
                <c:pt idx="38">
                  <c:v>4.415</c:v>
                </c:pt>
                <c:pt idx="39">
                  <c:v>4.4009999999999998</c:v>
                </c:pt>
                <c:pt idx="40">
                  <c:v>4.4480000000000004</c:v>
                </c:pt>
                <c:pt idx="41">
                  <c:v>4.4550000000000001</c:v>
                </c:pt>
                <c:pt idx="42">
                  <c:v>4.512999999999999</c:v>
                </c:pt>
                <c:pt idx="43">
                  <c:v>4.4909999999999997</c:v>
                </c:pt>
                <c:pt idx="44">
                  <c:v>4.4669999999999996</c:v>
                </c:pt>
                <c:pt idx="45">
                  <c:v>4.4610000000000003</c:v>
                </c:pt>
                <c:pt idx="46">
                  <c:v>4.4720000000000004</c:v>
                </c:pt>
                <c:pt idx="47">
                  <c:v>4.4329999999999998</c:v>
                </c:pt>
                <c:pt idx="48">
                  <c:v>4.528999999999999</c:v>
                </c:pt>
                <c:pt idx="49">
                  <c:v>4.5460000000000003</c:v>
                </c:pt>
                <c:pt idx="50">
                  <c:v>4.5490000000000004</c:v>
                </c:pt>
                <c:pt idx="51">
                  <c:v>4.4539999999999997</c:v>
                </c:pt>
                <c:pt idx="52">
                  <c:v>4.3760000000000003</c:v>
                </c:pt>
                <c:pt idx="53">
                  <c:v>4.3719999999999999</c:v>
                </c:pt>
                <c:pt idx="54">
                  <c:v>4.3769999999999998</c:v>
                </c:pt>
                <c:pt idx="55">
                  <c:v>4.3899999999999997</c:v>
                </c:pt>
                <c:pt idx="56">
                  <c:v>4.5149999999999988</c:v>
                </c:pt>
                <c:pt idx="57">
                  <c:v>4.6049999999999995</c:v>
                </c:pt>
                <c:pt idx="58">
                  <c:v>4.6739999999999995</c:v>
                </c:pt>
                <c:pt idx="59">
                  <c:v>4.7859999999999996</c:v>
                </c:pt>
                <c:pt idx="60">
                  <c:v>4.9050000000000002</c:v>
                </c:pt>
                <c:pt idx="61">
                  <c:v>4.9119999999999999</c:v>
                </c:pt>
                <c:pt idx="62">
                  <c:v>4.9020000000000001</c:v>
                </c:pt>
                <c:pt idx="63">
                  <c:v>4.7889999999999997</c:v>
                </c:pt>
                <c:pt idx="64">
                  <c:v>4.6749999999999989</c:v>
                </c:pt>
                <c:pt idx="65">
                  <c:v>4.6710000000000003</c:v>
                </c:pt>
                <c:pt idx="66">
                  <c:v>4.54</c:v>
                </c:pt>
                <c:pt idx="67">
                  <c:v>4.2789999999999999</c:v>
                </c:pt>
                <c:pt idx="68">
                  <c:v>4.2729999999999997</c:v>
                </c:pt>
                <c:pt idx="69">
                  <c:v>4.3049999999999988</c:v>
                </c:pt>
                <c:pt idx="70">
                  <c:v>4.3229999999999995</c:v>
                </c:pt>
                <c:pt idx="71">
                  <c:v>4.3269999999999991</c:v>
                </c:pt>
                <c:pt idx="72">
                  <c:v>4.51</c:v>
                </c:pt>
                <c:pt idx="73">
                  <c:v>4.6639999999999988</c:v>
                </c:pt>
                <c:pt idx="74">
                  <c:v>4.7190000000000003</c:v>
                </c:pt>
                <c:pt idx="75">
                  <c:v>4.7519999999999998</c:v>
                </c:pt>
                <c:pt idx="76">
                  <c:v>4.7699999999999996</c:v>
                </c:pt>
                <c:pt idx="77">
                  <c:v>4.645999999999999</c:v>
                </c:pt>
                <c:pt idx="78">
                  <c:v>4.6719999999999997</c:v>
                </c:pt>
                <c:pt idx="79">
                  <c:v>4.6269999999999989</c:v>
                </c:pt>
                <c:pt idx="80">
                  <c:v>4.532</c:v>
                </c:pt>
                <c:pt idx="81">
                  <c:v>4.63</c:v>
                </c:pt>
                <c:pt idx="82">
                  <c:v>4.5629999999999988</c:v>
                </c:pt>
                <c:pt idx="83">
                  <c:v>4.5</c:v>
                </c:pt>
                <c:pt idx="84">
                  <c:v>4.4980000000000002</c:v>
                </c:pt>
                <c:pt idx="85">
                  <c:v>4.4969999999999999</c:v>
                </c:pt>
                <c:pt idx="86">
                  <c:v>4.4989999999999997</c:v>
                </c:pt>
                <c:pt idx="87">
                  <c:v>4.4879999999999995</c:v>
                </c:pt>
                <c:pt idx="88">
                  <c:v>4.4980000000000002</c:v>
                </c:pt>
                <c:pt idx="89">
                  <c:v>4.5350000000000001</c:v>
                </c:pt>
                <c:pt idx="90">
                  <c:v>4.605999999999999</c:v>
                </c:pt>
                <c:pt idx="91">
                  <c:v>4.6649999999999991</c:v>
                </c:pt>
                <c:pt idx="92">
                  <c:v>4.415</c:v>
                </c:pt>
                <c:pt idx="93">
                  <c:v>4.3780000000000001</c:v>
                </c:pt>
                <c:pt idx="94">
                  <c:v>4.4239999999999995</c:v>
                </c:pt>
                <c:pt idx="95">
                  <c:v>4.3849999999999989</c:v>
                </c:pt>
                <c:pt idx="96">
                  <c:v>4.3139999999999992</c:v>
                </c:pt>
                <c:pt idx="97">
                  <c:v>4.2789999999999999</c:v>
                </c:pt>
                <c:pt idx="98">
                  <c:v>4.26</c:v>
                </c:pt>
                <c:pt idx="99">
                  <c:v>4.2080000000000002</c:v>
                </c:pt>
                <c:pt idx="100">
                  <c:v>4.153999999999999</c:v>
                </c:pt>
                <c:pt idx="101">
                  <c:v>4.1069999999999993</c:v>
                </c:pt>
                <c:pt idx="102">
                  <c:v>4.1149999999999993</c:v>
                </c:pt>
                <c:pt idx="103">
                  <c:v>4.141</c:v>
                </c:pt>
                <c:pt idx="104">
                  <c:v>4.1399999999999997</c:v>
                </c:pt>
                <c:pt idx="105">
                  <c:v>4.1679999999999993</c:v>
                </c:pt>
                <c:pt idx="106">
                  <c:v>4.2869999999999999</c:v>
                </c:pt>
                <c:pt idx="107">
                  <c:v>4.3310000000000004</c:v>
                </c:pt>
                <c:pt idx="108">
                  <c:v>4.274</c:v>
                </c:pt>
                <c:pt idx="109">
                  <c:v>4.2050000000000001</c:v>
                </c:pt>
                <c:pt idx="110">
                  <c:v>4.2669999999999995</c:v>
                </c:pt>
                <c:pt idx="111">
                  <c:v>4.2990000000000004</c:v>
                </c:pt>
                <c:pt idx="112">
                  <c:v>4.3579999999999988</c:v>
                </c:pt>
                <c:pt idx="113">
                  <c:v>4.5669999999999993</c:v>
                </c:pt>
                <c:pt idx="114">
                  <c:v>4.6399999999999997</c:v>
                </c:pt>
                <c:pt idx="115">
                  <c:v>4.63</c:v>
                </c:pt>
                <c:pt idx="116">
                  <c:v>4.661999999999999</c:v>
                </c:pt>
                <c:pt idx="117">
                  <c:v>4.6530000000000005</c:v>
                </c:pt>
                <c:pt idx="118">
                  <c:v>4.5510000000000002</c:v>
                </c:pt>
                <c:pt idx="119">
                  <c:v>4.5350000000000001</c:v>
                </c:pt>
                <c:pt idx="120">
                  <c:v>4.4669999999999996</c:v>
                </c:pt>
                <c:pt idx="121">
                  <c:v>4.4080000000000004</c:v>
                </c:pt>
                <c:pt idx="122">
                  <c:v>4.38</c:v>
                </c:pt>
                <c:pt idx="123">
                  <c:v>4.4059999999999997</c:v>
                </c:pt>
                <c:pt idx="124">
                  <c:v>4.4569999999999999</c:v>
                </c:pt>
                <c:pt idx="125">
                  <c:v>4.4870000000000001</c:v>
                </c:pt>
                <c:pt idx="126">
                  <c:v>4.5510000000000002</c:v>
                </c:pt>
                <c:pt idx="127">
                  <c:v>4.6169999999999991</c:v>
                </c:pt>
                <c:pt idx="128">
                  <c:v>4.7450000000000001</c:v>
                </c:pt>
                <c:pt idx="129">
                  <c:v>4.8279999999999994</c:v>
                </c:pt>
                <c:pt idx="130">
                  <c:v>4.8449999999999989</c:v>
                </c:pt>
                <c:pt idx="131">
                  <c:v>4.9409999999999998</c:v>
                </c:pt>
                <c:pt idx="132">
                  <c:v>4.9580000000000002</c:v>
                </c:pt>
                <c:pt idx="133">
                  <c:v>5.0169999999999995</c:v>
                </c:pt>
                <c:pt idx="134">
                  <c:v>5.0960000000000001</c:v>
                </c:pt>
                <c:pt idx="135">
                  <c:v>5.137999999999999</c:v>
                </c:pt>
                <c:pt idx="136">
                  <c:v>5.0890000000000004</c:v>
                </c:pt>
                <c:pt idx="137">
                  <c:v>5.0780000000000003</c:v>
                </c:pt>
                <c:pt idx="138">
                  <c:v>5.0369999999999999</c:v>
                </c:pt>
                <c:pt idx="139">
                  <c:v>4.9969999999999999</c:v>
                </c:pt>
                <c:pt idx="140">
                  <c:v>5.012999999999999</c:v>
                </c:pt>
                <c:pt idx="141">
                  <c:v>5.04</c:v>
                </c:pt>
                <c:pt idx="142">
                  <c:v>5.0439999999999996</c:v>
                </c:pt>
                <c:pt idx="143">
                  <c:v>4.9559999999999995</c:v>
                </c:pt>
                <c:pt idx="144">
                  <c:v>4.9160000000000004</c:v>
                </c:pt>
                <c:pt idx="145">
                  <c:v>4.8919999999999995</c:v>
                </c:pt>
                <c:pt idx="146">
                  <c:v>4.8629999999999987</c:v>
                </c:pt>
                <c:pt idx="147">
                  <c:v>4.9290000000000003</c:v>
                </c:pt>
                <c:pt idx="148">
                  <c:v>4.9169999999999998</c:v>
                </c:pt>
                <c:pt idx="149">
                  <c:v>4.9320000000000004</c:v>
                </c:pt>
                <c:pt idx="150">
                  <c:v>4.9350000000000014</c:v>
                </c:pt>
                <c:pt idx="151">
                  <c:v>4.979000000000001</c:v>
                </c:pt>
                <c:pt idx="152">
                  <c:v>4.9239999999999995</c:v>
                </c:pt>
                <c:pt idx="153">
                  <c:v>4.8969999999999994</c:v>
                </c:pt>
                <c:pt idx="154">
                  <c:v>4.8390000000000004</c:v>
                </c:pt>
                <c:pt idx="155">
                  <c:v>4.835</c:v>
                </c:pt>
                <c:pt idx="156">
                  <c:v>4.8659999999999988</c:v>
                </c:pt>
                <c:pt idx="157">
                  <c:v>4.8789999999999996</c:v>
                </c:pt>
                <c:pt idx="158">
                  <c:v>4.891</c:v>
                </c:pt>
                <c:pt idx="159">
                  <c:v>4.9269999999999996</c:v>
                </c:pt>
                <c:pt idx="160">
                  <c:v>4.927999999999999</c:v>
                </c:pt>
                <c:pt idx="161">
                  <c:v>4.9269999999999996</c:v>
                </c:pt>
                <c:pt idx="162">
                  <c:v>4.8899999999999997</c:v>
                </c:pt>
                <c:pt idx="163">
                  <c:v>4.9429999999999996</c:v>
                </c:pt>
                <c:pt idx="164">
                  <c:v>4.9690000000000003</c:v>
                </c:pt>
                <c:pt idx="165">
                  <c:v>5.0949999999999989</c:v>
                </c:pt>
                <c:pt idx="166">
                  <c:v>5.0629999999999988</c:v>
                </c:pt>
                <c:pt idx="167">
                  <c:v>5.0869999999999997</c:v>
                </c:pt>
                <c:pt idx="168">
                  <c:v>4.9669999999999996</c:v>
                </c:pt>
                <c:pt idx="169">
                  <c:v>5.0419999999999998</c:v>
                </c:pt>
                <c:pt idx="170">
                  <c:v>4.9489999999999998</c:v>
                </c:pt>
                <c:pt idx="171">
                  <c:v>4.8659999999999988</c:v>
                </c:pt>
                <c:pt idx="172">
                  <c:v>4.9639999999999995</c:v>
                </c:pt>
                <c:pt idx="173">
                  <c:v>5.0339999999999998</c:v>
                </c:pt>
                <c:pt idx="174">
                  <c:v>5.09</c:v>
                </c:pt>
                <c:pt idx="175">
                  <c:v>4.8769999999999998</c:v>
                </c:pt>
                <c:pt idx="176">
                  <c:v>4.9509999999999996</c:v>
                </c:pt>
                <c:pt idx="177">
                  <c:v>4.9870000000000001</c:v>
                </c:pt>
                <c:pt idx="178">
                  <c:v>4.9870000000000001</c:v>
                </c:pt>
                <c:pt idx="179">
                  <c:v>5.0249999999999995</c:v>
                </c:pt>
                <c:pt idx="180">
                  <c:v>5.09</c:v>
                </c:pt>
                <c:pt idx="181">
                  <c:v>5.1929999999999987</c:v>
                </c:pt>
                <c:pt idx="182">
                  <c:v>5.2239999999999993</c:v>
                </c:pt>
                <c:pt idx="183">
                  <c:v>5.2539999999999996</c:v>
                </c:pt>
                <c:pt idx="184">
                  <c:v>5.2969999999999997</c:v>
                </c:pt>
                <c:pt idx="185">
                  <c:v>5.335</c:v>
                </c:pt>
                <c:pt idx="186">
                  <c:v>5.383</c:v>
                </c:pt>
                <c:pt idx="187">
                  <c:v>5.3049999999999988</c:v>
                </c:pt>
                <c:pt idx="188">
                  <c:v>5.202</c:v>
                </c:pt>
                <c:pt idx="189">
                  <c:v>5.149</c:v>
                </c:pt>
                <c:pt idx="190">
                  <c:v>5.1310000000000002</c:v>
                </c:pt>
                <c:pt idx="191">
                  <c:v>5.2359999999999998</c:v>
                </c:pt>
                <c:pt idx="192">
                  <c:v>5.3369999999999997</c:v>
                </c:pt>
                <c:pt idx="193">
                  <c:v>5.5019999999999998</c:v>
                </c:pt>
                <c:pt idx="194">
                  <c:v>5.74</c:v>
                </c:pt>
                <c:pt idx="195">
                  <c:v>5.7809999999999997</c:v>
                </c:pt>
                <c:pt idx="196">
                  <c:v>5.7</c:v>
                </c:pt>
                <c:pt idx="197">
                  <c:v>5.5759999999999996</c:v>
                </c:pt>
                <c:pt idx="198">
                  <c:v>5.4489999999999998</c:v>
                </c:pt>
                <c:pt idx="199">
                  <c:v>5.4820000000000002</c:v>
                </c:pt>
                <c:pt idx="200">
                  <c:v>5.4269999999999996</c:v>
                </c:pt>
                <c:pt idx="201">
                  <c:v>5.2160000000000002</c:v>
                </c:pt>
                <c:pt idx="202">
                  <c:v>5.1479999999999988</c:v>
                </c:pt>
                <c:pt idx="203">
                  <c:v>5.198999999999999</c:v>
                </c:pt>
                <c:pt idx="204">
                  <c:v>5.2089999999999996</c:v>
                </c:pt>
                <c:pt idx="205">
                  <c:v>5.2</c:v>
                </c:pt>
                <c:pt idx="206">
                  <c:v>5.1769999999999996</c:v>
                </c:pt>
                <c:pt idx="207">
                  <c:v>5.2139999999999995</c:v>
                </c:pt>
                <c:pt idx="208">
                  <c:v>5.3279999999999994</c:v>
                </c:pt>
                <c:pt idx="209">
                  <c:v>5.4009999999999998</c:v>
                </c:pt>
                <c:pt idx="210">
                  <c:v>5.4530000000000003</c:v>
                </c:pt>
                <c:pt idx="211">
                  <c:v>5.5249999999999995</c:v>
                </c:pt>
                <c:pt idx="212">
                  <c:v>5.5369999999999999</c:v>
                </c:pt>
                <c:pt idx="213">
                  <c:v>5.6</c:v>
                </c:pt>
                <c:pt idx="214">
                  <c:v>5.6879999999999988</c:v>
                </c:pt>
                <c:pt idx="215">
                  <c:v>5.7910000000000004</c:v>
                </c:pt>
                <c:pt idx="216">
                  <c:v>5.8159999999999989</c:v>
                </c:pt>
                <c:pt idx="217">
                  <c:v>5.8279999999999994</c:v>
                </c:pt>
                <c:pt idx="218">
                  <c:v>5.8209999999999988</c:v>
                </c:pt>
                <c:pt idx="219">
                  <c:v>5.8100000000000005</c:v>
                </c:pt>
                <c:pt idx="220">
                  <c:v>5.8529999999999989</c:v>
                </c:pt>
                <c:pt idx="221">
                  <c:v>5.8529999999999989</c:v>
                </c:pt>
                <c:pt idx="222">
                  <c:v>5.8529999999999989</c:v>
                </c:pt>
                <c:pt idx="223">
                  <c:v>5.8390000000000004</c:v>
                </c:pt>
                <c:pt idx="224">
                  <c:v>5.8259999999999987</c:v>
                </c:pt>
                <c:pt idx="225">
                  <c:v>5.843</c:v>
                </c:pt>
                <c:pt idx="226">
                  <c:v>5.8579999999999988</c:v>
                </c:pt>
                <c:pt idx="227">
                  <c:v>5.8789999999999996</c:v>
                </c:pt>
                <c:pt idx="228">
                  <c:v>5.8979999999999988</c:v>
                </c:pt>
                <c:pt idx="229">
                  <c:v>5.9350000000000014</c:v>
                </c:pt>
                <c:pt idx="230">
                  <c:v>5.95</c:v>
                </c:pt>
                <c:pt idx="231">
                  <c:v>5.96</c:v>
                </c:pt>
                <c:pt idx="232">
                  <c:v>5.9720000000000004</c:v>
                </c:pt>
                <c:pt idx="233">
                  <c:v>5.9749999999999996</c:v>
                </c:pt>
                <c:pt idx="234">
                  <c:v>6.0069999999999997</c:v>
                </c:pt>
                <c:pt idx="235">
                  <c:v>6.0439999999999996</c:v>
                </c:pt>
                <c:pt idx="236">
                  <c:v>6.069</c:v>
                </c:pt>
                <c:pt idx="237">
                  <c:v>6.0869999999999997</c:v>
                </c:pt>
                <c:pt idx="238">
                  <c:v>6.077</c:v>
                </c:pt>
                <c:pt idx="239">
                  <c:v>6.0709999999999997</c:v>
                </c:pt>
                <c:pt idx="240">
                  <c:v>6.048</c:v>
                </c:pt>
                <c:pt idx="241">
                  <c:v>6.05</c:v>
                </c:pt>
                <c:pt idx="242">
                  <c:v>6.0549999999999988</c:v>
                </c:pt>
                <c:pt idx="243">
                  <c:v>6.0389999999999997</c:v>
                </c:pt>
                <c:pt idx="244">
                  <c:v>5.9850000000000003</c:v>
                </c:pt>
                <c:pt idx="245">
                  <c:v>6.0910000000000002</c:v>
                </c:pt>
                <c:pt idx="246">
                  <c:v>6.2169999999999996</c:v>
                </c:pt>
                <c:pt idx="247">
                  <c:v>6.1859999999999991</c:v>
                </c:pt>
                <c:pt idx="248">
                  <c:v>6.17</c:v>
                </c:pt>
                <c:pt idx="249">
                  <c:v>6.1279999999999992</c:v>
                </c:pt>
                <c:pt idx="250">
                  <c:v>6.1919999999999993</c:v>
                </c:pt>
                <c:pt idx="251">
                  <c:v>6.2350000000000003</c:v>
                </c:pt>
                <c:pt idx="252">
                  <c:v>6.3039999999999994</c:v>
                </c:pt>
                <c:pt idx="253">
                  <c:v>6.274</c:v>
                </c:pt>
                <c:pt idx="254">
                  <c:v>6.1719999999999997</c:v>
                </c:pt>
                <c:pt idx="255">
                  <c:v>6.1479999999999988</c:v>
                </c:pt>
                <c:pt idx="256">
                  <c:v>6.0169999999999995</c:v>
                </c:pt>
                <c:pt idx="257">
                  <c:v>6.0830000000000002</c:v>
                </c:pt>
                <c:pt idx="258">
                  <c:v>6.1119999999999992</c:v>
                </c:pt>
                <c:pt idx="259">
                  <c:v>5.9480000000000004</c:v>
                </c:pt>
                <c:pt idx="260">
                  <c:v>5.9329999999999998</c:v>
                </c:pt>
                <c:pt idx="261">
                  <c:v>5.899</c:v>
                </c:pt>
                <c:pt idx="262">
                  <c:v>5.722999999999999</c:v>
                </c:pt>
                <c:pt idx="263">
                  <c:v>5.6760000000000002</c:v>
                </c:pt>
                <c:pt idx="264">
                  <c:v>5.5179999999999989</c:v>
                </c:pt>
                <c:pt idx="265">
                  <c:v>5.5019999999999998</c:v>
                </c:pt>
                <c:pt idx="266">
                  <c:v>5.4130000000000003</c:v>
                </c:pt>
                <c:pt idx="267">
                  <c:v>5.355999999999999</c:v>
                </c:pt>
                <c:pt idx="268">
                  <c:v>5.5839999999999996</c:v>
                </c:pt>
                <c:pt idx="269">
                  <c:v>5.6119999999999992</c:v>
                </c:pt>
                <c:pt idx="270">
                  <c:v>5.6159999999999988</c:v>
                </c:pt>
                <c:pt idx="271">
                  <c:v>5.6469999999999994</c:v>
                </c:pt>
                <c:pt idx="272">
                  <c:v>5.7510000000000003</c:v>
                </c:pt>
                <c:pt idx="273">
                  <c:v>5.7859999999999996</c:v>
                </c:pt>
                <c:pt idx="274">
                  <c:v>5.8849999999999989</c:v>
                </c:pt>
                <c:pt idx="275">
                  <c:v>5.8849999999999989</c:v>
                </c:pt>
                <c:pt idx="276">
                  <c:v>5.8710000000000004</c:v>
                </c:pt>
                <c:pt idx="277">
                  <c:v>5.9329999999999998</c:v>
                </c:pt>
                <c:pt idx="278">
                  <c:v>6.0789999999999997</c:v>
                </c:pt>
                <c:pt idx="279">
                  <c:v>6.3649999999999993</c:v>
                </c:pt>
                <c:pt idx="280">
                  <c:v>6.113999999999999</c:v>
                </c:pt>
                <c:pt idx="281">
                  <c:v>6.07</c:v>
                </c:pt>
                <c:pt idx="282">
                  <c:v>6.0510000000000002</c:v>
                </c:pt>
                <c:pt idx="283">
                  <c:v>6.0720000000000001</c:v>
                </c:pt>
                <c:pt idx="284">
                  <c:v>6.0910000000000002</c:v>
                </c:pt>
                <c:pt idx="285">
                  <c:v>6.0330000000000004</c:v>
                </c:pt>
                <c:pt idx="286">
                  <c:v>6.01</c:v>
                </c:pt>
                <c:pt idx="287">
                  <c:v>6.0269999999999992</c:v>
                </c:pt>
                <c:pt idx="288">
                  <c:v>6.0490000000000004</c:v>
                </c:pt>
                <c:pt idx="289">
                  <c:v>6.052999999999999</c:v>
                </c:pt>
                <c:pt idx="290">
                  <c:v>6.0839999999999996</c:v>
                </c:pt>
                <c:pt idx="291">
                  <c:v>6.17</c:v>
                </c:pt>
                <c:pt idx="292">
                  <c:v>6.605999999999999</c:v>
                </c:pt>
                <c:pt idx="293">
                  <c:v>6.6269999999999989</c:v>
                </c:pt>
                <c:pt idx="294">
                  <c:v>6.63</c:v>
                </c:pt>
                <c:pt idx="295">
                  <c:v>6.798</c:v>
                </c:pt>
                <c:pt idx="296">
                  <c:v>6.8019999999999996</c:v>
                </c:pt>
                <c:pt idx="297">
                  <c:v>6.875</c:v>
                </c:pt>
                <c:pt idx="298">
                  <c:v>6.9269999999999996</c:v>
                </c:pt>
                <c:pt idx="299">
                  <c:v>6.8710000000000004</c:v>
                </c:pt>
                <c:pt idx="300">
                  <c:v>6.8919999999999995</c:v>
                </c:pt>
                <c:pt idx="301">
                  <c:v>6.915</c:v>
                </c:pt>
                <c:pt idx="302">
                  <c:v>6.758</c:v>
                </c:pt>
                <c:pt idx="303">
                  <c:v>6.702</c:v>
                </c:pt>
                <c:pt idx="304">
                  <c:v>6.6969999999999992</c:v>
                </c:pt>
                <c:pt idx="305">
                  <c:v>6.6790000000000003</c:v>
                </c:pt>
                <c:pt idx="306">
                  <c:v>6.6419999999999995</c:v>
                </c:pt>
                <c:pt idx="307">
                  <c:v>6.5789999999999997</c:v>
                </c:pt>
                <c:pt idx="308">
                  <c:v>6.4850000000000003</c:v>
                </c:pt>
                <c:pt idx="309">
                  <c:v>6.5510000000000002</c:v>
                </c:pt>
                <c:pt idx="310">
                  <c:v>6.5389999999999997</c:v>
                </c:pt>
                <c:pt idx="311">
                  <c:v>6.5789999999999997</c:v>
                </c:pt>
                <c:pt idx="312">
                  <c:v>6.5549999999999988</c:v>
                </c:pt>
                <c:pt idx="313">
                  <c:v>6.5969999999999995</c:v>
                </c:pt>
                <c:pt idx="314">
                  <c:v>6.5990000000000002</c:v>
                </c:pt>
                <c:pt idx="315">
                  <c:v>6.45</c:v>
                </c:pt>
                <c:pt idx="316">
                  <c:v>6.4489999999999998</c:v>
                </c:pt>
                <c:pt idx="317">
                  <c:v>6.3730000000000002</c:v>
                </c:pt>
                <c:pt idx="318">
                  <c:v>6.3529999999999989</c:v>
                </c:pt>
                <c:pt idx="319">
                  <c:v>6.3760000000000003</c:v>
                </c:pt>
                <c:pt idx="320">
                  <c:v>6.4109999999999996</c:v>
                </c:pt>
                <c:pt idx="321">
                  <c:v>6.504999999999999</c:v>
                </c:pt>
                <c:pt idx="322">
                  <c:v>6.5469999999999997</c:v>
                </c:pt>
                <c:pt idx="323">
                  <c:v>6.5649999999999986</c:v>
                </c:pt>
                <c:pt idx="324">
                  <c:v>6.5519999999999996</c:v>
                </c:pt>
                <c:pt idx="325">
                  <c:v>6.57</c:v>
                </c:pt>
                <c:pt idx="326">
                  <c:v>6.4770000000000003</c:v>
                </c:pt>
                <c:pt idx="327">
                  <c:v>6.3439999999999994</c:v>
                </c:pt>
                <c:pt idx="328">
                  <c:v>5.9610000000000003</c:v>
                </c:pt>
                <c:pt idx="329">
                  <c:v>5.8979999999999988</c:v>
                </c:pt>
                <c:pt idx="330">
                  <c:v>5.9089999999999998</c:v>
                </c:pt>
                <c:pt idx="331">
                  <c:v>5.9130000000000003</c:v>
                </c:pt>
                <c:pt idx="332">
                  <c:v>5.84</c:v>
                </c:pt>
                <c:pt idx="333">
                  <c:v>5.7649999999999988</c:v>
                </c:pt>
                <c:pt idx="334">
                  <c:v>5.6909999999999989</c:v>
                </c:pt>
                <c:pt idx="335">
                  <c:v>5.7050000000000001</c:v>
                </c:pt>
                <c:pt idx="336">
                  <c:v>5.6909999999999989</c:v>
                </c:pt>
                <c:pt idx="337">
                  <c:v>5.7269999999999994</c:v>
                </c:pt>
                <c:pt idx="338">
                  <c:v>5.78</c:v>
                </c:pt>
                <c:pt idx="339">
                  <c:v>5.8309999999999995</c:v>
                </c:pt>
                <c:pt idx="340">
                  <c:v>5.915</c:v>
                </c:pt>
                <c:pt idx="341">
                  <c:v>5.9219999999999997</c:v>
                </c:pt>
                <c:pt idx="342">
                  <c:v>6.0039999999999996</c:v>
                </c:pt>
                <c:pt idx="343">
                  <c:v>5.9939999999999998</c:v>
                </c:pt>
                <c:pt idx="344">
                  <c:v>5.9740000000000002</c:v>
                </c:pt>
                <c:pt idx="345">
                  <c:v>5.8849999999999989</c:v>
                </c:pt>
                <c:pt idx="346">
                  <c:v>5.863999999999999</c:v>
                </c:pt>
                <c:pt idx="347">
                  <c:v>5.88</c:v>
                </c:pt>
                <c:pt idx="348">
                  <c:v>5.8669999999999991</c:v>
                </c:pt>
                <c:pt idx="349">
                  <c:v>6.0190000000000001</c:v>
                </c:pt>
                <c:pt idx="350">
                  <c:v>6.25</c:v>
                </c:pt>
                <c:pt idx="351">
                  <c:v>6.3010000000000002</c:v>
                </c:pt>
                <c:pt idx="352">
                  <c:v>6.6449999999999987</c:v>
                </c:pt>
                <c:pt idx="353">
                  <c:v>6.7510000000000003</c:v>
                </c:pt>
                <c:pt idx="354">
                  <c:v>6.7940000000000005</c:v>
                </c:pt>
                <c:pt idx="355">
                  <c:v>6.3439999999999994</c:v>
                </c:pt>
                <c:pt idx="356">
                  <c:v>6.2050000000000001</c:v>
                </c:pt>
                <c:pt idx="357">
                  <c:v>5.6850000000000005</c:v>
                </c:pt>
                <c:pt idx="358">
                  <c:v>5.6899999999999995</c:v>
                </c:pt>
                <c:pt idx="359">
                  <c:v>5.5910000000000002</c:v>
                </c:pt>
                <c:pt idx="360">
                  <c:v>5.6390000000000002</c:v>
                </c:pt>
                <c:pt idx="361">
                  <c:v>5.8139999999999992</c:v>
                </c:pt>
                <c:pt idx="362">
                  <c:v>5.8460000000000001</c:v>
                </c:pt>
                <c:pt idx="363">
                  <c:v>6.069</c:v>
                </c:pt>
                <c:pt idx="364">
                  <c:v>5.7720000000000002</c:v>
                </c:pt>
                <c:pt idx="365">
                  <c:v>5.6579999999999995</c:v>
                </c:pt>
                <c:pt idx="366">
                  <c:v>5.3049999999999988</c:v>
                </c:pt>
                <c:pt idx="367">
                  <c:v>5.1669999999999989</c:v>
                </c:pt>
                <c:pt idx="368">
                  <c:v>5.0839999999999996</c:v>
                </c:pt>
                <c:pt idx="369">
                  <c:v>5.113999999999999</c:v>
                </c:pt>
                <c:pt idx="370">
                  <c:v>5.0860000000000003</c:v>
                </c:pt>
                <c:pt idx="371">
                  <c:v>5.0739999999999998</c:v>
                </c:pt>
                <c:pt idx="372">
                  <c:v>5.0679999999999987</c:v>
                </c:pt>
                <c:pt idx="373">
                  <c:v>4.87</c:v>
                </c:pt>
                <c:pt idx="374">
                  <c:v>4.762999999999999</c:v>
                </c:pt>
                <c:pt idx="375">
                  <c:v>4.766</c:v>
                </c:pt>
                <c:pt idx="376">
                  <c:v>4.3870000000000005</c:v>
                </c:pt>
                <c:pt idx="377">
                  <c:v>4.2569999999999997</c:v>
                </c:pt>
                <c:pt idx="378">
                  <c:v>4.258</c:v>
                </c:pt>
                <c:pt idx="379">
                  <c:v>4.2320000000000002</c:v>
                </c:pt>
                <c:pt idx="380">
                  <c:v>4.2370000000000001</c:v>
                </c:pt>
                <c:pt idx="381">
                  <c:v>4.2489999999999997</c:v>
                </c:pt>
                <c:pt idx="382">
                  <c:v>4.2569999999999997</c:v>
                </c:pt>
                <c:pt idx="383">
                  <c:v>4.2279999999999989</c:v>
                </c:pt>
                <c:pt idx="384">
                  <c:v>4.2119999999999997</c:v>
                </c:pt>
                <c:pt idx="385">
                  <c:v>4.04</c:v>
                </c:pt>
                <c:pt idx="386">
                  <c:v>4.0389999999999997</c:v>
                </c:pt>
                <c:pt idx="387">
                  <c:v>4.1209999999999996</c:v>
                </c:pt>
                <c:pt idx="388">
                  <c:v>4.1019999999999994</c:v>
                </c:pt>
                <c:pt idx="389">
                  <c:v>4.1259999999999994</c:v>
                </c:pt>
                <c:pt idx="390">
                  <c:v>4.1149999999999993</c:v>
                </c:pt>
                <c:pt idx="391">
                  <c:v>4.1669999999999989</c:v>
                </c:pt>
                <c:pt idx="392">
                  <c:v>4.298</c:v>
                </c:pt>
                <c:pt idx="393">
                  <c:v>4.335</c:v>
                </c:pt>
                <c:pt idx="394">
                  <c:v>4.3769999999999998</c:v>
                </c:pt>
                <c:pt idx="395">
                  <c:v>4.3870000000000005</c:v>
                </c:pt>
                <c:pt idx="396">
                  <c:v>4.4020000000000001</c:v>
                </c:pt>
                <c:pt idx="397">
                  <c:v>4.4509999999999996</c:v>
                </c:pt>
                <c:pt idx="398">
                  <c:v>4.4989999999999997</c:v>
                </c:pt>
                <c:pt idx="399">
                  <c:v>4.5720000000000001</c:v>
                </c:pt>
                <c:pt idx="400">
                  <c:v>4.7460000000000004</c:v>
                </c:pt>
                <c:pt idx="401">
                  <c:v>4.9569999999999999</c:v>
                </c:pt>
                <c:pt idx="402">
                  <c:v>4.7940000000000005</c:v>
                </c:pt>
                <c:pt idx="403">
                  <c:v>4.7239999999999993</c:v>
                </c:pt>
                <c:pt idx="404">
                  <c:v>4.6499999999999995</c:v>
                </c:pt>
                <c:pt idx="405">
                  <c:v>4.6289999999999987</c:v>
                </c:pt>
                <c:pt idx="406">
                  <c:v>4.6390000000000002</c:v>
                </c:pt>
                <c:pt idx="407">
                  <c:v>4.6749999999999989</c:v>
                </c:pt>
                <c:pt idx="408">
                  <c:v>4.6690000000000005</c:v>
                </c:pt>
                <c:pt idx="409">
                  <c:v>4.661999999999999</c:v>
                </c:pt>
                <c:pt idx="410">
                  <c:v>4.7759999999999998</c:v>
                </c:pt>
                <c:pt idx="411">
                  <c:v>4.875</c:v>
                </c:pt>
                <c:pt idx="412">
                  <c:v>4.9260000000000002</c:v>
                </c:pt>
                <c:pt idx="413">
                  <c:v>4.9909999999999997</c:v>
                </c:pt>
                <c:pt idx="414">
                  <c:v>5.069</c:v>
                </c:pt>
                <c:pt idx="415">
                  <c:v>5.056</c:v>
                </c:pt>
                <c:pt idx="416">
                  <c:v>5.052999999999999</c:v>
                </c:pt>
                <c:pt idx="417">
                  <c:v>5.0569999999999995</c:v>
                </c:pt>
                <c:pt idx="418">
                  <c:v>4.9809999999999999</c:v>
                </c:pt>
                <c:pt idx="419">
                  <c:v>4.9850000000000003</c:v>
                </c:pt>
                <c:pt idx="420">
                  <c:v>5.0619999999999994</c:v>
                </c:pt>
                <c:pt idx="421">
                  <c:v>5.0949999999999989</c:v>
                </c:pt>
                <c:pt idx="422">
                  <c:v>5.1259999999999994</c:v>
                </c:pt>
                <c:pt idx="423">
                  <c:v>5.1749999999999989</c:v>
                </c:pt>
                <c:pt idx="424">
                  <c:v>5.1370000000000005</c:v>
                </c:pt>
                <c:pt idx="425">
                  <c:v>5.0569999999999995</c:v>
                </c:pt>
                <c:pt idx="426">
                  <c:v>5.1129999999999995</c:v>
                </c:pt>
                <c:pt idx="427">
                  <c:v>5.0469999999999997</c:v>
                </c:pt>
                <c:pt idx="428">
                  <c:v>4.8969999999999994</c:v>
                </c:pt>
                <c:pt idx="429">
                  <c:v>4.8649999999999993</c:v>
                </c:pt>
                <c:pt idx="430">
                  <c:v>4.859</c:v>
                </c:pt>
                <c:pt idx="431">
                  <c:v>4.8569999999999993</c:v>
                </c:pt>
                <c:pt idx="432">
                  <c:v>5.0010000000000003</c:v>
                </c:pt>
                <c:pt idx="433">
                  <c:v>5.1360000000000001</c:v>
                </c:pt>
                <c:pt idx="434">
                  <c:v>5.2190000000000003</c:v>
                </c:pt>
                <c:pt idx="435">
                  <c:v>5.2069999999999999</c:v>
                </c:pt>
                <c:pt idx="436">
                  <c:v>5.2</c:v>
                </c:pt>
                <c:pt idx="437">
                  <c:v>5.2729999999999997</c:v>
                </c:pt>
                <c:pt idx="438">
                  <c:v>5.2639999999999993</c:v>
                </c:pt>
                <c:pt idx="439">
                  <c:v>5.181</c:v>
                </c:pt>
                <c:pt idx="440">
                  <c:v>5.2169999999999996</c:v>
                </c:pt>
                <c:pt idx="441">
                  <c:v>5.214999999999999</c:v>
                </c:pt>
                <c:pt idx="442">
                  <c:v>5.1739999999999995</c:v>
                </c:pt>
              </c:numCache>
            </c:numRef>
          </c:val>
          <c:smooth val="0"/>
        </c:ser>
        <c:dLbls>
          <c:showLegendKey val="0"/>
          <c:showVal val="0"/>
          <c:showCatName val="0"/>
          <c:showSerName val="0"/>
          <c:showPercent val="0"/>
          <c:showBubbleSize val="0"/>
        </c:dLbls>
        <c:marker val="1"/>
        <c:smooth val="0"/>
        <c:axId val="353213648"/>
        <c:axId val="353213256"/>
      </c:lineChart>
      <c:dateAx>
        <c:axId val="353212472"/>
        <c:scaling>
          <c:orientation val="minMax"/>
          <c:max val="41943"/>
          <c:min val="41343"/>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lang="sr-Latn-RS" sz="900" b="0" i="0" u="none" strike="noStrike" kern="1200" cap="none" spc="0" normalizeH="0" baseline="0">
                <a:solidFill>
                  <a:schemeClr val="tx1">
                    <a:lumMod val="65000"/>
                    <a:lumOff val="35000"/>
                  </a:schemeClr>
                </a:solidFill>
                <a:latin typeface="+mj-lt"/>
                <a:ea typeface="+mn-ea"/>
                <a:cs typeface="+mn-cs"/>
              </a:defRPr>
            </a:pPr>
            <a:endParaRPr lang="en-US"/>
          </a:p>
        </c:txPr>
        <c:crossAx val="353212864"/>
        <c:crosses val="autoZero"/>
        <c:auto val="0"/>
        <c:lblOffset val="100"/>
        <c:baseTimeUnit val="days"/>
        <c:majorUnit val="40"/>
        <c:majorTimeUnit val="days"/>
      </c:dateAx>
      <c:valAx>
        <c:axId val="353212864"/>
        <c:scaling>
          <c:orientation val="minMax"/>
          <c:max val="109"/>
          <c:min val="8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540A]" sourceLinked="0"/>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crossAx val="353212472"/>
        <c:crosses val="autoZero"/>
        <c:crossBetween val="between"/>
        <c:majorUnit val="3"/>
      </c:valAx>
      <c:valAx>
        <c:axId val="353213256"/>
        <c:scaling>
          <c:orientation val="minMax"/>
          <c:min val="3.5"/>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RS" sz="900" b="0" i="0" u="none" strike="noStrike" kern="1200" cap="all" baseline="0">
                    <a:solidFill>
                      <a:schemeClr val="tx1">
                        <a:lumMod val="65000"/>
                        <a:lumOff val="35000"/>
                      </a:schemeClr>
                    </a:solidFill>
                    <a:latin typeface="+mj-lt"/>
                    <a:ea typeface="+mn-ea"/>
                    <a:cs typeface="+mn-cs"/>
                  </a:defRPr>
                </a:pPr>
                <a:r>
                  <a:rPr lang="x-none"/>
                  <a:t>У процентима</a:t>
                </a: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crossAx val="353213648"/>
        <c:crosses val="max"/>
        <c:crossBetween val="between"/>
        <c:majorUnit val="0.5"/>
      </c:valAx>
      <c:dateAx>
        <c:axId val="353213648"/>
        <c:scaling>
          <c:orientation val="minMax"/>
        </c:scaling>
        <c:delete val="1"/>
        <c:axPos val="b"/>
        <c:numFmt formatCode="d/m/yyyy" sourceLinked="1"/>
        <c:majorTickMark val="out"/>
        <c:minorTickMark val="none"/>
        <c:tickLblPos val="none"/>
        <c:crossAx val="353213256"/>
        <c:crosses val="autoZero"/>
        <c:auto val="1"/>
        <c:lblOffset val="100"/>
        <c:baseTimeUnit val="days"/>
      </c:dateAx>
      <c:spPr>
        <a:solidFill>
          <a:srgbClr val="9BBB59">
            <a:lumMod val="20000"/>
            <a:lumOff val="80000"/>
          </a:srgbClr>
        </a:solidFill>
        <a:ln>
          <a:noFill/>
        </a:ln>
        <a:effectLst/>
      </c:spPr>
    </c:plotArea>
    <c:legend>
      <c:legendPos val="t"/>
      <c:layout>
        <c:manualLayout>
          <c:xMode val="edge"/>
          <c:yMode val="edge"/>
          <c:x val="0.50920333219217162"/>
          <c:y val="3.1908823529411802E-2"/>
          <c:w val="0.38970909505876988"/>
          <c:h val="0.12639352109316063"/>
        </c:manualLayout>
      </c:layout>
      <c:overlay val="0"/>
      <c:spPr>
        <a:noFill/>
        <a:ln>
          <a:noFill/>
        </a:ln>
        <a:effectLst/>
      </c:spPr>
      <c:txPr>
        <a:bodyPr rot="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900">
          <a:latin typeface="+mj-lt"/>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4748455428067"/>
          <c:y val="2.8934444444444447E-2"/>
          <c:w val="0.80282375540960593"/>
          <c:h val="0.7214669934640523"/>
        </c:manualLayout>
      </c:layout>
      <c:areaChart>
        <c:grouping val="stacked"/>
        <c:varyColors val="0"/>
        <c:ser>
          <c:idx val="0"/>
          <c:order val="0"/>
          <c:tx>
            <c:strRef>
              <c:f>'[Copy of Strategija radna tabela.xlsx]Eurobond'!$O$3</c:f>
              <c:strCache>
                <c:ptCount val="1"/>
                <c:pt idx="0">
                  <c:v>Цена на затварању</c:v>
                </c:pt>
              </c:strCache>
            </c:strRef>
          </c:tx>
          <c:spPr>
            <a:solidFill>
              <a:srgbClr val="9BBB59">
                <a:lumMod val="75000"/>
              </a:srgbClr>
            </a:solidFill>
            <a:ln>
              <a:noFill/>
            </a:ln>
            <a:effectLst/>
          </c:spPr>
          <c:cat>
            <c:numRef>
              <c:f>'[Copy of Strategija radna tabela.xlsx]Eurobond'!$B$6:$B$841</c:f>
              <c:numCache>
                <c:formatCode>m/d/yyyy</c:formatCode>
                <c:ptCount val="836"/>
                <c:pt idx="0">
                  <c:v>41978</c:v>
                </c:pt>
                <c:pt idx="1">
                  <c:v>41977</c:v>
                </c:pt>
                <c:pt idx="2">
                  <c:v>41976</c:v>
                </c:pt>
                <c:pt idx="3">
                  <c:v>41975</c:v>
                </c:pt>
                <c:pt idx="4">
                  <c:v>41974</c:v>
                </c:pt>
                <c:pt idx="5">
                  <c:v>41971</c:v>
                </c:pt>
                <c:pt idx="6">
                  <c:v>41970</c:v>
                </c:pt>
                <c:pt idx="7">
                  <c:v>41969</c:v>
                </c:pt>
                <c:pt idx="8">
                  <c:v>41968</c:v>
                </c:pt>
                <c:pt idx="9">
                  <c:v>41967</c:v>
                </c:pt>
                <c:pt idx="10">
                  <c:v>41964</c:v>
                </c:pt>
                <c:pt idx="11">
                  <c:v>41963</c:v>
                </c:pt>
                <c:pt idx="12">
                  <c:v>41962</c:v>
                </c:pt>
                <c:pt idx="13">
                  <c:v>41961</c:v>
                </c:pt>
                <c:pt idx="14">
                  <c:v>41960</c:v>
                </c:pt>
                <c:pt idx="15">
                  <c:v>41957</c:v>
                </c:pt>
                <c:pt idx="16">
                  <c:v>41956</c:v>
                </c:pt>
                <c:pt idx="17">
                  <c:v>41955</c:v>
                </c:pt>
                <c:pt idx="18">
                  <c:v>41954</c:v>
                </c:pt>
                <c:pt idx="19">
                  <c:v>41953</c:v>
                </c:pt>
                <c:pt idx="20">
                  <c:v>41950</c:v>
                </c:pt>
                <c:pt idx="21">
                  <c:v>41949</c:v>
                </c:pt>
                <c:pt idx="22">
                  <c:v>41948</c:v>
                </c:pt>
                <c:pt idx="23">
                  <c:v>41947</c:v>
                </c:pt>
                <c:pt idx="24">
                  <c:v>41946</c:v>
                </c:pt>
                <c:pt idx="25">
                  <c:v>41943</c:v>
                </c:pt>
                <c:pt idx="26">
                  <c:v>41942</c:v>
                </c:pt>
                <c:pt idx="27">
                  <c:v>41941</c:v>
                </c:pt>
                <c:pt idx="28">
                  <c:v>41940</c:v>
                </c:pt>
                <c:pt idx="29">
                  <c:v>41939</c:v>
                </c:pt>
                <c:pt idx="30">
                  <c:v>41936</c:v>
                </c:pt>
                <c:pt idx="31">
                  <c:v>41935</c:v>
                </c:pt>
                <c:pt idx="32">
                  <c:v>41934</c:v>
                </c:pt>
                <c:pt idx="33">
                  <c:v>41933</c:v>
                </c:pt>
                <c:pt idx="34">
                  <c:v>41932</c:v>
                </c:pt>
                <c:pt idx="35">
                  <c:v>41929</c:v>
                </c:pt>
                <c:pt idx="36">
                  <c:v>41928</c:v>
                </c:pt>
                <c:pt idx="37">
                  <c:v>41927</c:v>
                </c:pt>
                <c:pt idx="38">
                  <c:v>41926</c:v>
                </c:pt>
                <c:pt idx="39">
                  <c:v>41925</c:v>
                </c:pt>
                <c:pt idx="40">
                  <c:v>41922</c:v>
                </c:pt>
                <c:pt idx="41">
                  <c:v>41921</c:v>
                </c:pt>
                <c:pt idx="42">
                  <c:v>41920</c:v>
                </c:pt>
                <c:pt idx="43">
                  <c:v>41919</c:v>
                </c:pt>
                <c:pt idx="44">
                  <c:v>41918</c:v>
                </c:pt>
                <c:pt idx="45">
                  <c:v>41915</c:v>
                </c:pt>
                <c:pt idx="46">
                  <c:v>41914</c:v>
                </c:pt>
                <c:pt idx="47">
                  <c:v>41913</c:v>
                </c:pt>
                <c:pt idx="48">
                  <c:v>41912</c:v>
                </c:pt>
                <c:pt idx="49">
                  <c:v>41911</c:v>
                </c:pt>
                <c:pt idx="50">
                  <c:v>41908</c:v>
                </c:pt>
                <c:pt idx="51">
                  <c:v>41907</c:v>
                </c:pt>
                <c:pt idx="52">
                  <c:v>41906</c:v>
                </c:pt>
                <c:pt idx="53">
                  <c:v>41905</c:v>
                </c:pt>
                <c:pt idx="54">
                  <c:v>41904</c:v>
                </c:pt>
                <c:pt idx="55">
                  <c:v>41901</c:v>
                </c:pt>
                <c:pt idx="56">
                  <c:v>41900</c:v>
                </c:pt>
                <c:pt idx="57">
                  <c:v>41899</c:v>
                </c:pt>
                <c:pt idx="58">
                  <c:v>41898</c:v>
                </c:pt>
                <c:pt idx="59">
                  <c:v>41897</c:v>
                </c:pt>
                <c:pt idx="60">
                  <c:v>41894</c:v>
                </c:pt>
                <c:pt idx="61">
                  <c:v>41893</c:v>
                </c:pt>
                <c:pt idx="62">
                  <c:v>41892</c:v>
                </c:pt>
                <c:pt idx="63">
                  <c:v>41891</c:v>
                </c:pt>
                <c:pt idx="64">
                  <c:v>41890</c:v>
                </c:pt>
                <c:pt idx="65">
                  <c:v>41887</c:v>
                </c:pt>
                <c:pt idx="66">
                  <c:v>41886</c:v>
                </c:pt>
                <c:pt idx="67">
                  <c:v>41885</c:v>
                </c:pt>
                <c:pt idx="68">
                  <c:v>41884</c:v>
                </c:pt>
                <c:pt idx="69">
                  <c:v>41883</c:v>
                </c:pt>
                <c:pt idx="70">
                  <c:v>41880</c:v>
                </c:pt>
                <c:pt idx="71">
                  <c:v>41879</c:v>
                </c:pt>
                <c:pt idx="72">
                  <c:v>41878</c:v>
                </c:pt>
                <c:pt idx="73">
                  <c:v>41877</c:v>
                </c:pt>
                <c:pt idx="74">
                  <c:v>41876</c:v>
                </c:pt>
                <c:pt idx="75">
                  <c:v>41873</c:v>
                </c:pt>
                <c:pt idx="76">
                  <c:v>41872</c:v>
                </c:pt>
                <c:pt idx="77">
                  <c:v>41871</c:v>
                </c:pt>
                <c:pt idx="78">
                  <c:v>41870</c:v>
                </c:pt>
                <c:pt idx="79">
                  <c:v>41869</c:v>
                </c:pt>
                <c:pt idx="80">
                  <c:v>41866</c:v>
                </c:pt>
                <c:pt idx="81">
                  <c:v>41865</c:v>
                </c:pt>
                <c:pt idx="82">
                  <c:v>41864</c:v>
                </c:pt>
                <c:pt idx="83">
                  <c:v>41863</c:v>
                </c:pt>
                <c:pt idx="84">
                  <c:v>41862</c:v>
                </c:pt>
                <c:pt idx="85">
                  <c:v>41859</c:v>
                </c:pt>
                <c:pt idx="86">
                  <c:v>41858</c:v>
                </c:pt>
                <c:pt idx="87">
                  <c:v>41857</c:v>
                </c:pt>
                <c:pt idx="88">
                  <c:v>41856</c:v>
                </c:pt>
                <c:pt idx="89">
                  <c:v>41855</c:v>
                </c:pt>
                <c:pt idx="90">
                  <c:v>41852</c:v>
                </c:pt>
                <c:pt idx="91">
                  <c:v>41851</c:v>
                </c:pt>
                <c:pt idx="92">
                  <c:v>41850</c:v>
                </c:pt>
                <c:pt idx="93">
                  <c:v>41849</c:v>
                </c:pt>
                <c:pt idx="94">
                  <c:v>41848</c:v>
                </c:pt>
                <c:pt idx="95">
                  <c:v>41845</c:v>
                </c:pt>
                <c:pt idx="96">
                  <c:v>41844</c:v>
                </c:pt>
                <c:pt idx="97">
                  <c:v>41843</c:v>
                </c:pt>
                <c:pt idx="98">
                  <c:v>41842</c:v>
                </c:pt>
                <c:pt idx="99">
                  <c:v>41841</c:v>
                </c:pt>
                <c:pt idx="100">
                  <c:v>41838</c:v>
                </c:pt>
                <c:pt idx="101">
                  <c:v>41837</c:v>
                </c:pt>
                <c:pt idx="102">
                  <c:v>41836</c:v>
                </c:pt>
                <c:pt idx="103">
                  <c:v>41835</c:v>
                </c:pt>
                <c:pt idx="104">
                  <c:v>41834</c:v>
                </c:pt>
                <c:pt idx="105">
                  <c:v>41831</c:v>
                </c:pt>
                <c:pt idx="106">
                  <c:v>41830</c:v>
                </c:pt>
                <c:pt idx="107">
                  <c:v>41829</c:v>
                </c:pt>
                <c:pt idx="108">
                  <c:v>41828</c:v>
                </c:pt>
                <c:pt idx="109">
                  <c:v>41827</c:v>
                </c:pt>
                <c:pt idx="110">
                  <c:v>41824</c:v>
                </c:pt>
                <c:pt idx="111">
                  <c:v>41823</c:v>
                </c:pt>
                <c:pt idx="112">
                  <c:v>41822</c:v>
                </c:pt>
                <c:pt idx="113">
                  <c:v>41821</c:v>
                </c:pt>
                <c:pt idx="114">
                  <c:v>41820</c:v>
                </c:pt>
                <c:pt idx="115">
                  <c:v>41817</c:v>
                </c:pt>
                <c:pt idx="116">
                  <c:v>41816</c:v>
                </c:pt>
                <c:pt idx="117">
                  <c:v>41815</c:v>
                </c:pt>
                <c:pt idx="118">
                  <c:v>41814</c:v>
                </c:pt>
                <c:pt idx="119">
                  <c:v>41813</c:v>
                </c:pt>
                <c:pt idx="120">
                  <c:v>41810</c:v>
                </c:pt>
                <c:pt idx="121">
                  <c:v>41809</c:v>
                </c:pt>
                <c:pt idx="122">
                  <c:v>41808</c:v>
                </c:pt>
                <c:pt idx="123">
                  <c:v>41807</c:v>
                </c:pt>
                <c:pt idx="124">
                  <c:v>41806</c:v>
                </c:pt>
                <c:pt idx="125">
                  <c:v>41803</c:v>
                </c:pt>
                <c:pt idx="126">
                  <c:v>41802</c:v>
                </c:pt>
                <c:pt idx="127">
                  <c:v>41801</c:v>
                </c:pt>
                <c:pt idx="128">
                  <c:v>41800</c:v>
                </c:pt>
                <c:pt idx="129">
                  <c:v>41799</c:v>
                </c:pt>
                <c:pt idx="130">
                  <c:v>41796</c:v>
                </c:pt>
                <c:pt idx="131">
                  <c:v>41795</c:v>
                </c:pt>
                <c:pt idx="132">
                  <c:v>41794</c:v>
                </c:pt>
                <c:pt idx="133">
                  <c:v>41793</c:v>
                </c:pt>
                <c:pt idx="134">
                  <c:v>41792</c:v>
                </c:pt>
                <c:pt idx="135">
                  <c:v>41789</c:v>
                </c:pt>
                <c:pt idx="136">
                  <c:v>41788</c:v>
                </c:pt>
                <c:pt idx="137">
                  <c:v>41787</c:v>
                </c:pt>
                <c:pt idx="138">
                  <c:v>41786</c:v>
                </c:pt>
                <c:pt idx="139">
                  <c:v>41785</c:v>
                </c:pt>
                <c:pt idx="140">
                  <c:v>41782</c:v>
                </c:pt>
                <c:pt idx="141">
                  <c:v>41781</c:v>
                </c:pt>
                <c:pt idx="142">
                  <c:v>41780</c:v>
                </c:pt>
                <c:pt idx="143">
                  <c:v>41779</c:v>
                </c:pt>
                <c:pt idx="144">
                  <c:v>41778</c:v>
                </c:pt>
                <c:pt idx="145">
                  <c:v>41775</c:v>
                </c:pt>
                <c:pt idx="146">
                  <c:v>41774</c:v>
                </c:pt>
                <c:pt idx="147">
                  <c:v>41773</c:v>
                </c:pt>
                <c:pt idx="148">
                  <c:v>41772</c:v>
                </c:pt>
                <c:pt idx="149">
                  <c:v>41771</c:v>
                </c:pt>
                <c:pt idx="150">
                  <c:v>41768</c:v>
                </c:pt>
                <c:pt idx="151">
                  <c:v>41767</c:v>
                </c:pt>
                <c:pt idx="152">
                  <c:v>41766</c:v>
                </c:pt>
                <c:pt idx="153">
                  <c:v>41765</c:v>
                </c:pt>
                <c:pt idx="154">
                  <c:v>41764</c:v>
                </c:pt>
                <c:pt idx="155">
                  <c:v>41761</c:v>
                </c:pt>
                <c:pt idx="156">
                  <c:v>41760</c:v>
                </c:pt>
                <c:pt idx="157">
                  <c:v>41759</c:v>
                </c:pt>
                <c:pt idx="158">
                  <c:v>41758</c:v>
                </c:pt>
                <c:pt idx="159">
                  <c:v>41757</c:v>
                </c:pt>
                <c:pt idx="160">
                  <c:v>41754</c:v>
                </c:pt>
                <c:pt idx="161">
                  <c:v>41753</c:v>
                </c:pt>
                <c:pt idx="162">
                  <c:v>41752</c:v>
                </c:pt>
                <c:pt idx="163">
                  <c:v>41751</c:v>
                </c:pt>
                <c:pt idx="164">
                  <c:v>41750</c:v>
                </c:pt>
                <c:pt idx="165">
                  <c:v>41747</c:v>
                </c:pt>
                <c:pt idx="166">
                  <c:v>41746</c:v>
                </c:pt>
                <c:pt idx="167">
                  <c:v>41745</c:v>
                </c:pt>
                <c:pt idx="168">
                  <c:v>41744</c:v>
                </c:pt>
                <c:pt idx="169">
                  <c:v>41743</c:v>
                </c:pt>
                <c:pt idx="170">
                  <c:v>41740</c:v>
                </c:pt>
                <c:pt idx="171">
                  <c:v>41739</c:v>
                </c:pt>
                <c:pt idx="172">
                  <c:v>41738</c:v>
                </c:pt>
                <c:pt idx="173">
                  <c:v>41737</c:v>
                </c:pt>
                <c:pt idx="174">
                  <c:v>41736</c:v>
                </c:pt>
                <c:pt idx="175">
                  <c:v>41733</c:v>
                </c:pt>
                <c:pt idx="176">
                  <c:v>41732</c:v>
                </c:pt>
                <c:pt idx="177">
                  <c:v>41731</c:v>
                </c:pt>
                <c:pt idx="178">
                  <c:v>41730</c:v>
                </c:pt>
                <c:pt idx="179">
                  <c:v>41729</c:v>
                </c:pt>
                <c:pt idx="180">
                  <c:v>41726</c:v>
                </c:pt>
                <c:pt idx="181">
                  <c:v>41725</c:v>
                </c:pt>
                <c:pt idx="182">
                  <c:v>41724</c:v>
                </c:pt>
                <c:pt idx="183">
                  <c:v>41723</c:v>
                </c:pt>
                <c:pt idx="184">
                  <c:v>41722</c:v>
                </c:pt>
                <c:pt idx="185">
                  <c:v>41719</c:v>
                </c:pt>
                <c:pt idx="186">
                  <c:v>41718</c:v>
                </c:pt>
                <c:pt idx="187">
                  <c:v>41717</c:v>
                </c:pt>
                <c:pt idx="188">
                  <c:v>41716</c:v>
                </c:pt>
                <c:pt idx="189">
                  <c:v>41715</c:v>
                </c:pt>
                <c:pt idx="190">
                  <c:v>41712</c:v>
                </c:pt>
                <c:pt idx="191">
                  <c:v>41711</c:v>
                </c:pt>
                <c:pt idx="192">
                  <c:v>41710</c:v>
                </c:pt>
                <c:pt idx="193">
                  <c:v>41709</c:v>
                </c:pt>
                <c:pt idx="194">
                  <c:v>41708</c:v>
                </c:pt>
                <c:pt idx="195">
                  <c:v>41705</c:v>
                </c:pt>
                <c:pt idx="196">
                  <c:v>41704</c:v>
                </c:pt>
                <c:pt idx="197">
                  <c:v>41703</c:v>
                </c:pt>
                <c:pt idx="198">
                  <c:v>41702</c:v>
                </c:pt>
                <c:pt idx="199">
                  <c:v>41701</c:v>
                </c:pt>
                <c:pt idx="200">
                  <c:v>41698</c:v>
                </c:pt>
                <c:pt idx="201">
                  <c:v>41697</c:v>
                </c:pt>
                <c:pt idx="202">
                  <c:v>41696</c:v>
                </c:pt>
                <c:pt idx="203">
                  <c:v>41695</c:v>
                </c:pt>
                <c:pt idx="204">
                  <c:v>41694</c:v>
                </c:pt>
                <c:pt idx="205">
                  <c:v>41691</c:v>
                </c:pt>
                <c:pt idx="206">
                  <c:v>41690</c:v>
                </c:pt>
                <c:pt idx="207">
                  <c:v>41689</c:v>
                </c:pt>
                <c:pt idx="208">
                  <c:v>41688</c:v>
                </c:pt>
                <c:pt idx="209">
                  <c:v>41687</c:v>
                </c:pt>
                <c:pt idx="210">
                  <c:v>41684</c:v>
                </c:pt>
                <c:pt idx="211">
                  <c:v>41683</c:v>
                </c:pt>
                <c:pt idx="212">
                  <c:v>41682</c:v>
                </c:pt>
                <c:pt idx="213">
                  <c:v>41681</c:v>
                </c:pt>
                <c:pt idx="214">
                  <c:v>41680</c:v>
                </c:pt>
                <c:pt idx="215">
                  <c:v>41677</c:v>
                </c:pt>
                <c:pt idx="216">
                  <c:v>41676</c:v>
                </c:pt>
                <c:pt idx="217">
                  <c:v>41675</c:v>
                </c:pt>
                <c:pt idx="218">
                  <c:v>41674</c:v>
                </c:pt>
                <c:pt idx="219">
                  <c:v>41673</c:v>
                </c:pt>
                <c:pt idx="220">
                  <c:v>41670</c:v>
                </c:pt>
                <c:pt idx="221">
                  <c:v>41669</c:v>
                </c:pt>
                <c:pt idx="222">
                  <c:v>41668</c:v>
                </c:pt>
                <c:pt idx="223">
                  <c:v>41667</c:v>
                </c:pt>
                <c:pt idx="224">
                  <c:v>41666</c:v>
                </c:pt>
                <c:pt idx="225">
                  <c:v>41663</c:v>
                </c:pt>
                <c:pt idx="226">
                  <c:v>41662</c:v>
                </c:pt>
                <c:pt idx="227">
                  <c:v>41661</c:v>
                </c:pt>
                <c:pt idx="228">
                  <c:v>41660</c:v>
                </c:pt>
                <c:pt idx="229">
                  <c:v>41659</c:v>
                </c:pt>
                <c:pt idx="230">
                  <c:v>41656</c:v>
                </c:pt>
                <c:pt idx="231">
                  <c:v>41655</c:v>
                </c:pt>
                <c:pt idx="232">
                  <c:v>41654</c:v>
                </c:pt>
                <c:pt idx="233">
                  <c:v>41653</c:v>
                </c:pt>
                <c:pt idx="234">
                  <c:v>41652</c:v>
                </c:pt>
                <c:pt idx="235">
                  <c:v>41649</c:v>
                </c:pt>
                <c:pt idx="236">
                  <c:v>41648</c:v>
                </c:pt>
                <c:pt idx="237">
                  <c:v>41647</c:v>
                </c:pt>
                <c:pt idx="238">
                  <c:v>41646</c:v>
                </c:pt>
                <c:pt idx="239">
                  <c:v>41645</c:v>
                </c:pt>
                <c:pt idx="240">
                  <c:v>41642</c:v>
                </c:pt>
                <c:pt idx="241">
                  <c:v>41641</c:v>
                </c:pt>
                <c:pt idx="242">
                  <c:v>41640</c:v>
                </c:pt>
                <c:pt idx="243">
                  <c:v>41639</c:v>
                </c:pt>
                <c:pt idx="244">
                  <c:v>41638</c:v>
                </c:pt>
                <c:pt idx="245">
                  <c:v>41635</c:v>
                </c:pt>
                <c:pt idx="246">
                  <c:v>41634</c:v>
                </c:pt>
                <c:pt idx="247">
                  <c:v>41633</c:v>
                </c:pt>
                <c:pt idx="248">
                  <c:v>41632</c:v>
                </c:pt>
                <c:pt idx="249">
                  <c:v>41631</c:v>
                </c:pt>
                <c:pt idx="250">
                  <c:v>41628</c:v>
                </c:pt>
                <c:pt idx="251">
                  <c:v>41627</c:v>
                </c:pt>
                <c:pt idx="252">
                  <c:v>41626</c:v>
                </c:pt>
                <c:pt idx="253">
                  <c:v>41625</c:v>
                </c:pt>
                <c:pt idx="254">
                  <c:v>41624</c:v>
                </c:pt>
                <c:pt idx="255">
                  <c:v>41621</c:v>
                </c:pt>
                <c:pt idx="256">
                  <c:v>41620</c:v>
                </c:pt>
                <c:pt idx="257">
                  <c:v>41619</c:v>
                </c:pt>
                <c:pt idx="258">
                  <c:v>41618</c:v>
                </c:pt>
                <c:pt idx="259">
                  <c:v>41617</c:v>
                </c:pt>
                <c:pt idx="260">
                  <c:v>41614</c:v>
                </c:pt>
                <c:pt idx="261">
                  <c:v>41613</c:v>
                </c:pt>
                <c:pt idx="262">
                  <c:v>41612</c:v>
                </c:pt>
                <c:pt idx="263">
                  <c:v>41611</c:v>
                </c:pt>
                <c:pt idx="264">
                  <c:v>41610</c:v>
                </c:pt>
                <c:pt idx="265">
                  <c:v>41607</c:v>
                </c:pt>
                <c:pt idx="266">
                  <c:v>41606</c:v>
                </c:pt>
                <c:pt idx="267">
                  <c:v>41605</c:v>
                </c:pt>
                <c:pt idx="268">
                  <c:v>41604</c:v>
                </c:pt>
                <c:pt idx="269">
                  <c:v>41603</c:v>
                </c:pt>
                <c:pt idx="270">
                  <c:v>41600</c:v>
                </c:pt>
                <c:pt idx="271">
                  <c:v>41599</c:v>
                </c:pt>
                <c:pt idx="272">
                  <c:v>41598</c:v>
                </c:pt>
                <c:pt idx="273">
                  <c:v>41597</c:v>
                </c:pt>
                <c:pt idx="274">
                  <c:v>41596</c:v>
                </c:pt>
                <c:pt idx="275">
                  <c:v>41593</c:v>
                </c:pt>
                <c:pt idx="276">
                  <c:v>41592</c:v>
                </c:pt>
                <c:pt idx="277">
                  <c:v>41591</c:v>
                </c:pt>
                <c:pt idx="278">
                  <c:v>41590</c:v>
                </c:pt>
                <c:pt idx="279">
                  <c:v>41589</c:v>
                </c:pt>
                <c:pt idx="280">
                  <c:v>41586</c:v>
                </c:pt>
                <c:pt idx="281">
                  <c:v>41585</c:v>
                </c:pt>
                <c:pt idx="282">
                  <c:v>41584</c:v>
                </c:pt>
                <c:pt idx="283">
                  <c:v>41583</c:v>
                </c:pt>
                <c:pt idx="284">
                  <c:v>41582</c:v>
                </c:pt>
                <c:pt idx="285">
                  <c:v>41579</c:v>
                </c:pt>
                <c:pt idx="286">
                  <c:v>41578</c:v>
                </c:pt>
                <c:pt idx="287">
                  <c:v>41577</c:v>
                </c:pt>
                <c:pt idx="288">
                  <c:v>41576</c:v>
                </c:pt>
                <c:pt idx="289">
                  <c:v>41575</c:v>
                </c:pt>
                <c:pt idx="290">
                  <c:v>41572</c:v>
                </c:pt>
                <c:pt idx="291">
                  <c:v>41571</c:v>
                </c:pt>
                <c:pt idx="292">
                  <c:v>41570</c:v>
                </c:pt>
                <c:pt idx="293">
                  <c:v>41569</c:v>
                </c:pt>
                <c:pt idx="294">
                  <c:v>41568</c:v>
                </c:pt>
                <c:pt idx="295">
                  <c:v>41565</c:v>
                </c:pt>
                <c:pt idx="296">
                  <c:v>41564</c:v>
                </c:pt>
                <c:pt idx="297">
                  <c:v>41563</c:v>
                </c:pt>
                <c:pt idx="298">
                  <c:v>41562</c:v>
                </c:pt>
                <c:pt idx="299">
                  <c:v>41561</c:v>
                </c:pt>
                <c:pt idx="300">
                  <c:v>41558</c:v>
                </c:pt>
                <c:pt idx="301">
                  <c:v>41557</c:v>
                </c:pt>
                <c:pt idx="302">
                  <c:v>41556</c:v>
                </c:pt>
                <c:pt idx="303">
                  <c:v>41555</c:v>
                </c:pt>
                <c:pt idx="304">
                  <c:v>41554</c:v>
                </c:pt>
                <c:pt idx="305">
                  <c:v>41551</c:v>
                </c:pt>
                <c:pt idx="306">
                  <c:v>41550</c:v>
                </c:pt>
                <c:pt idx="307">
                  <c:v>41549</c:v>
                </c:pt>
                <c:pt idx="308">
                  <c:v>41548</c:v>
                </c:pt>
                <c:pt idx="309">
                  <c:v>41547</c:v>
                </c:pt>
                <c:pt idx="310">
                  <c:v>41544</c:v>
                </c:pt>
                <c:pt idx="311">
                  <c:v>41543</c:v>
                </c:pt>
                <c:pt idx="312">
                  <c:v>41542</c:v>
                </c:pt>
                <c:pt idx="313">
                  <c:v>41541</c:v>
                </c:pt>
                <c:pt idx="314">
                  <c:v>41540</c:v>
                </c:pt>
                <c:pt idx="315">
                  <c:v>41537</c:v>
                </c:pt>
                <c:pt idx="316">
                  <c:v>41536</c:v>
                </c:pt>
                <c:pt idx="317">
                  <c:v>41535</c:v>
                </c:pt>
                <c:pt idx="318">
                  <c:v>41534</c:v>
                </c:pt>
                <c:pt idx="319">
                  <c:v>41533</c:v>
                </c:pt>
                <c:pt idx="320">
                  <c:v>41530</c:v>
                </c:pt>
                <c:pt idx="321">
                  <c:v>41529</c:v>
                </c:pt>
                <c:pt idx="322">
                  <c:v>41528</c:v>
                </c:pt>
                <c:pt idx="323">
                  <c:v>41527</c:v>
                </c:pt>
                <c:pt idx="324">
                  <c:v>41526</c:v>
                </c:pt>
                <c:pt idx="325">
                  <c:v>41523</c:v>
                </c:pt>
                <c:pt idx="326">
                  <c:v>41522</c:v>
                </c:pt>
                <c:pt idx="327">
                  <c:v>41521</c:v>
                </c:pt>
                <c:pt idx="328">
                  <c:v>41520</c:v>
                </c:pt>
                <c:pt idx="329">
                  <c:v>41519</c:v>
                </c:pt>
                <c:pt idx="330">
                  <c:v>41516</c:v>
                </c:pt>
                <c:pt idx="331">
                  <c:v>41515</c:v>
                </c:pt>
                <c:pt idx="332">
                  <c:v>41514</c:v>
                </c:pt>
                <c:pt idx="333">
                  <c:v>41513</c:v>
                </c:pt>
                <c:pt idx="334">
                  <c:v>41512</c:v>
                </c:pt>
                <c:pt idx="335">
                  <c:v>41509</c:v>
                </c:pt>
                <c:pt idx="336">
                  <c:v>41508</c:v>
                </c:pt>
                <c:pt idx="337">
                  <c:v>41507</c:v>
                </c:pt>
                <c:pt idx="338">
                  <c:v>41506</c:v>
                </c:pt>
                <c:pt idx="339">
                  <c:v>41505</c:v>
                </c:pt>
                <c:pt idx="340">
                  <c:v>41502</c:v>
                </c:pt>
                <c:pt idx="341">
                  <c:v>41501</c:v>
                </c:pt>
                <c:pt idx="342">
                  <c:v>41500</c:v>
                </c:pt>
                <c:pt idx="343">
                  <c:v>41499</c:v>
                </c:pt>
                <c:pt idx="344">
                  <c:v>41498</c:v>
                </c:pt>
                <c:pt idx="345">
                  <c:v>41495</c:v>
                </c:pt>
                <c:pt idx="346">
                  <c:v>41494</c:v>
                </c:pt>
                <c:pt idx="347">
                  <c:v>41493</c:v>
                </c:pt>
                <c:pt idx="348">
                  <c:v>41492</c:v>
                </c:pt>
                <c:pt idx="349">
                  <c:v>41491</c:v>
                </c:pt>
                <c:pt idx="350">
                  <c:v>41488</c:v>
                </c:pt>
                <c:pt idx="351">
                  <c:v>41487</c:v>
                </c:pt>
                <c:pt idx="352">
                  <c:v>41486</c:v>
                </c:pt>
                <c:pt idx="353">
                  <c:v>41485</c:v>
                </c:pt>
                <c:pt idx="354">
                  <c:v>41484</c:v>
                </c:pt>
                <c:pt idx="355">
                  <c:v>41481</c:v>
                </c:pt>
                <c:pt idx="356">
                  <c:v>41480</c:v>
                </c:pt>
                <c:pt idx="357">
                  <c:v>41479</c:v>
                </c:pt>
                <c:pt idx="358">
                  <c:v>41478</c:v>
                </c:pt>
                <c:pt idx="359">
                  <c:v>41477</c:v>
                </c:pt>
                <c:pt idx="360">
                  <c:v>41474</c:v>
                </c:pt>
                <c:pt idx="361">
                  <c:v>41473</c:v>
                </c:pt>
                <c:pt idx="362">
                  <c:v>41472</c:v>
                </c:pt>
                <c:pt idx="363">
                  <c:v>41471</c:v>
                </c:pt>
                <c:pt idx="364">
                  <c:v>41470</c:v>
                </c:pt>
                <c:pt idx="365">
                  <c:v>41467</c:v>
                </c:pt>
                <c:pt idx="366">
                  <c:v>41466</c:v>
                </c:pt>
                <c:pt idx="367">
                  <c:v>41465</c:v>
                </c:pt>
                <c:pt idx="368">
                  <c:v>41464</c:v>
                </c:pt>
                <c:pt idx="369">
                  <c:v>41463</c:v>
                </c:pt>
                <c:pt idx="370">
                  <c:v>41460</c:v>
                </c:pt>
                <c:pt idx="371">
                  <c:v>41459</c:v>
                </c:pt>
                <c:pt idx="372">
                  <c:v>41458</c:v>
                </c:pt>
                <c:pt idx="373">
                  <c:v>41457</c:v>
                </c:pt>
                <c:pt idx="374">
                  <c:v>41456</c:v>
                </c:pt>
                <c:pt idx="375">
                  <c:v>41453</c:v>
                </c:pt>
                <c:pt idx="376">
                  <c:v>41452</c:v>
                </c:pt>
                <c:pt idx="377">
                  <c:v>41451</c:v>
                </c:pt>
                <c:pt idx="378">
                  <c:v>41450</c:v>
                </c:pt>
                <c:pt idx="379">
                  <c:v>41449</c:v>
                </c:pt>
                <c:pt idx="380">
                  <c:v>41446</c:v>
                </c:pt>
                <c:pt idx="381">
                  <c:v>41445</c:v>
                </c:pt>
                <c:pt idx="382">
                  <c:v>41444</c:v>
                </c:pt>
                <c:pt idx="383">
                  <c:v>41443</c:v>
                </c:pt>
                <c:pt idx="384">
                  <c:v>41442</c:v>
                </c:pt>
                <c:pt idx="385">
                  <c:v>41439</c:v>
                </c:pt>
                <c:pt idx="386">
                  <c:v>41438</c:v>
                </c:pt>
                <c:pt idx="387">
                  <c:v>41437</c:v>
                </c:pt>
                <c:pt idx="388">
                  <c:v>41436</c:v>
                </c:pt>
                <c:pt idx="389">
                  <c:v>41435</c:v>
                </c:pt>
                <c:pt idx="390">
                  <c:v>41432</c:v>
                </c:pt>
                <c:pt idx="391">
                  <c:v>41431</c:v>
                </c:pt>
                <c:pt idx="392">
                  <c:v>41430</c:v>
                </c:pt>
                <c:pt idx="393">
                  <c:v>41429</c:v>
                </c:pt>
                <c:pt idx="394">
                  <c:v>41428</c:v>
                </c:pt>
                <c:pt idx="395">
                  <c:v>41425</c:v>
                </c:pt>
                <c:pt idx="396">
                  <c:v>41424</c:v>
                </c:pt>
                <c:pt idx="397">
                  <c:v>41423</c:v>
                </c:pt>
                <c:pt idx="398">
                  <c:v>41422</c:v>
                </c:pt>
                <c:pt idx="399">
                  <c:v>41421</c:v>
                </c:pt>
                <c:pt idx="400">
                  <c:v>41418</c:v>
                </c:pt>
                <c:pt idx="401">
                  <c:v>41417</c:v>
                </c:pt>
                <c:pt idx="402">
                  <c:v>41416</c:v>
                </c:pt>
                <c:pt idx="403">
                  <c:v>41415</c:v>
                </c:pt>
                <c:pt idx="404">
                  <c:v>41414</c:v>
                </c:pt>
                <c:pt idx="405">
                  <c:v>41411</c:v>
                </c:pt>
                <c:pt idx="406">
                  <c:v>41410</c:v>
                </c:pt>
                <c:pt idx="407">
                  <c:v>41409</c:v>
                </c:pt>
                <c:pt idx="408">
                  <c:v>41408</c:v>
                </c:pt>
                <c:pt idx="409">
                  <c:v>41407</c:v>
                </c:pt>
                <c:pt idx="410">
                  <c:v>41404</c:v>
                </c:pt>
                <c:pt idx="411">
                  <c:v>41403</c:v>
                </c:pt>
                <c:pt idx="412">
                  <c:v>41402</c:v>
                </c:pt>
                <c:pt idx="413">
                  <c:v>41401</c:v>
                </c:pt>
                <c:pt idx="414">
                  <c:v>41400</c:v>
                </c:pt>
                <c:pt idx="415">
                  <c:v>41397</c:v>
                </c:pt>
                <c:pt idx="416">
                  <c:v>41396</c:v>
                </c:pt>
                <c:pt idx="417">
                  <c:v>41395</c:v>
                </c:pt>
                <c:pt idx="418">
                  <c:v>41394</c:v>
                </c:pt>
                <c:pt idx="419">
                  <c:v>41393</c:v>
                </c:pt>
                <c:pt idx="420">
                  <c:v>41390</c:v>
                </c:pt>
                <c:pt idx="421">
                  <c:v>41389</c:v>
                </c:pt>
                <c:pt idx="422">
                  <c:v>41388</c:v>
                </c:pt>
                <c:pt idx="423">
                  <c:v>41387</c:v>
                </c:pt>
                <c:pt idx="424">
                  <c:v>41386</c:v>
                </c:pt>
                <c:pt idx="425">
                  <c:v>41383</c:v>
                </c:pt>
                <c:pt idx="426">
                  <c:v>41382</c:v>
                </c:pt>
                <c:pt idx="427">
                  <c:v>41381</c:v>
                </c:pt>
                <c:pt idx="428">
                  <c:v>41380</c:v>
                </c:pt>
                <c:pt idx="429">
                  <c:v>41379</c:v>
                </c:pt>
                <c:pt idx="430">
                  <c:v>41376</c:v>
                </c:pt>
                <c:pt idx="431">
                  <c:v>41375</c:v>
                </c:pt>
                <c:pt idx="432">
                  <c:v>41374</c:v>
                </c:pt>
                <c:pt idx="433">
                  <c:v>41373</c:v>
                </c:pt>
                <c:pt idx="434">
                  <c:v>41372</c:v>
                </c:pt>
                <c:pt idx="435">
                  <c:v>41369</c:v>
                </c:pt>
                <c:pt idx="436">
                  <c:v>41368</c:v>
                </c:pt>
                <c:pt idx="437">
                  <c:v>41367</c:v>
                </c:pt>
                <c:pt idx="438">
                  <c:v>41366</c:v>
                </c:pt>
                <c:pt idx="439">
                  <c:v>41365</c:v>
                </c:pt>
                <c:pt idx="440">
                  <c:v>41362</c:v>
                </c:pt>
                <c:pt idx="441">
                  <c:v>41361</c:v>
                </c:pt>
                <c:pt idx="442">
                  <c:v>41360</c:v>
                </c:pt>
                <c:pt idx="443">
                  <c:v>41359</c:v>
                </c:pt>
                <c:pt idx="444">
                  <c:v>41358</c:v>
                </c:pt>
                <c:pt idx="445">
                  <c:v>41355</c:v>
                </c:pt>
                <c:pt idx="446">
                  <c:v>41354</c:v>
                </c:pt>
                <c:pt idx="447">
                  <c:v>41353</c:v>
                </c:pt>
                <c:pt idx="448">
                  <c:v>41352</c:v>
                </c:pt>
                <c:pt idx="449">
                  <c:v>41351</c:v>
                </c:pt>
                <c:pt idx="450">
                  <c:v>41348</c:v>
                </c:pt>
                <c:pt idx="451">
                  <c:v>41347</c:v>
                </c:pt>
                <c:pt idx="452">
                  <c:v>41346</c:v>
                </c:pt>
                <c:pt idx="453">
                  <c:v>41345</c:v>
                </c:pt>
                <c:pt idx="454">
                  <c:v>41344</c:v>
                </c:pt>
                <c:pt idx="455">
                  <c:v>41341</c:v>
                </c:pt>
                <c:pt idx="456">
                  <c:v>41340</c:v>
                </c:pt>
                <c:pt idx="457">
                  <c:v>41339</c:v>
                </c:pt>
                <c:pt idx="458">
                  <c:v>41338</c:v>
                </c:pt>
                <c:pt idx="459">
                  <c:v>41337</c:v>
                </c:pt>
                <c:pt idx="460">
                  <c:v>41334</c:v>
                </c:pt>
                <c:pt idx="461">
                  <c:v>41333</c:v>
                </c:pt>
                <c:pt idx="462">
                  <c:v>41332</c:v>
                </c:pt>
                <c:pt idx="463">
                  <c:v>41331</c:v>
                </c:pt>
                <c:pt idx="464">
                  <c:v>41330</c:v>
                </c:pt>
                <c:pt idx="465">
                  <c:v>41327</c:v>
                </c:pt>
                <c:pt idx="466">
                  <c:v>41326</c:v>
                </c:pt>
                <c:pt idx="467">
                  <c:v>41325</c:v>
                </c:pt>
                <c:pt idx="468">
                  <c:v>41324</c:v>
                </c:pt>
                <c:pt idx="469">
                  <c:v>41323</c:v>
                </c:pt>
                <c:pt idx="470">
                  <c:v>41320</c:v>
                </c:pt>
                <c:pt idx="471">
                  <c:v>41319</c:v>
                </c:pt>
                <c:pt idx="472">
                  <c:v>41318</c:v>
                </c:pt>
                <c:pt idx="473">
                  <c:v>41317</c:v>
                </c:pt>
                <c:pt idx="474">
                  <c:v>41316</c:v>
                </c:pt>
                <c:pt idx="475">
                  <c:v>41313</c:v>
                </c:pt>
                <c:pt idx="476">
                  <c:v>41312</c:v>
                </c:pt>
                <c:pt idx="477">
                  <c:v>41311</c:v>
                </c:pt>
                <c:pt idx="478">
                  <c:v>41310</c:v>
                </c:pt>
                <c:pt idx="479">
                  <c:v>41309</c:v>
                </c:pt>
                <c:pt idx="480">
                  <c:v>41306</c:v>
                </c:pt>
                <c:pt idx="481">
                  <c:v>41305</c:v>
                </c:pt>
                <c:pt idx="482">
                  <c:v>41304</c:v>
                </c:pt>
                <c:pt idx="483">
                  <c:v>41303</c:v>
                </c:pt>
                <c:pt idx="484">
                  <c:v>41302</c:v>
                </c:pt>
                <c:pt idx="485">
                  <c:v>41299</c:v>
                </c:pt>
                <c:pt idx="486">
                  <c:v>41298</c:v>
                </c:pt>
                <c:pt idx="487">
                  <c:v>41297</c:v>
                </c:pt>
                <c:pt idx="488">
                  <c:v>41296</c:v>
                </c:pt>
                <c:pt idx="489">
                  <c:v>41295</c:v>
                </c:pt>
                <c:pt idx="490">
                  <c:v>41292</c:v>
                </c:pt>
                <c:pt idx="491">
                  <c:v>41291</c:v>
                </c:pt>
                <c:pt idx="492">
                  <c:v>41290</c:v>
                </c:pt>
                <c:pt idx="493">
                  <c:v>41289</c:v>
                </c:pt>
                <c:pt idx="494">
                  <c:v>41288</c:v>
                </c:pt>
                <c:pt idx="495">
                  <c:v>41285</c:v>
                </c:pt>
                <c:pt idx="496">
                  <c:v>41284</c:v>
                </c:pt>
                <c:pt idx="497">
                  <c:v>41283</c:v>
                </c:pt>
                <c:pt idx="498">
                  <c:v>41282</c:v>
                </c:pt>
                <c:pt idx="499">
                  <c:v>41281</c:v>
                </c:pt>
                <c:pt idx="500">
                  <c:v>41278</c:v>
                </c:pt>
                <c:pt idx="501">
                  <c:v>41277</c:v>
                </c:pt>
                <c:pt idx="502">
                  <c:v>41276</c:v>
                </c:pt>
                <c:pt idx="503">
                  <c:v>41275</c:v>
                </c:pt>
                <c:pt idx="504">
                  <c:v>41274</c:v>
                </c:pt>
                <c:pt idx="505">
                  <c:v>41271</c:v>
                </c:pt>
                <c:pt idx="506">
                  <c:v>41270</c:v>
                </c:pt>
                <c:pt idx="507">
                  <c:v>41269</c:v>
                </c:pt>
                <c:pt idx="508">
                  <c:v>41268</c:v>
                </c:pt>
                <c:pt idx="509">
                  <c:v>41267</c:v>
                </c:pt>
                <c:pt idx="510">
                  <c:v>41264</c:v>
                </c:pt>
                <c:pt idx="511">
                  <c:v>41263</c:v>
                </c:pt>
                <c:pt idx="512">
                  <c:v>41262</c:v>
                </c:pt>
                <c:pt idx="513">
                  <c:v>41261</c:v>
                </c:pt>
                <c:pt idx="514">
                  <c:v>41260</c:v>
                </c:pt>
                <c:pt idx="515">
                  <c:v>41257</c:v>
                </c:pt>
                <c:pt idx="516">
                  <c:v>41256</c:v>
                </c:pt>
                <c:pt idx="517">
                  <c:v>41255</c:v>
                </c:pt>
                <c:pt idx="518">
                  <c:v>41254</c:v>
                </c:pt>
                <c:pt idx="519">
                  <c:v>41253</c:v>
                </c:pt>
                <c:pt idx="520">
                  <c:v>41250</c:v>
                </c:pt>
                <c:pt idx="521">
                  <c:v>41249</c:v>
                </c:pt>
                <c:pt idx="522">
                  <c:v>41248</c:v>
                </c:pt>
                <c:pt idx="523">
                  <c:v>41247</c:v>
                </c:pt>
                <c:pt idx="524">
                  <c:v>41246</c:v>
                </c:pt>
                <c:pt idx="525">
                  <c:v>41243</c:v>
                </c:pt>
                <c:pt idx="526">
                  <c:v>41242</c:v>
                </c:pt>
                <c:pt idx="527">
                  <c:v>41241</c:v>
                </c:pt>
                <c:pt idx="528">
                  <c:v>41240</c:v>
                </c:pt>
                <c:pt idx="529">
                  <c:v>41239</c:v>
                </c:pt>
                <c:pt idx="530">
                  <c:v>41236</c:v>
                </c:pt>
                <c:pt idx="531">
                  <c:v>41235</c:v>
                </c:pt>
                <c:pt idx="532">
                  <c:v>41234</c:v>
                </c:pt>
                <c:pt idx="533">
                  <c:v>41233</c:v>
                </c:pt>
                <c:pt idx="534">
                  <c:v>41232</c:v>
                </c:pt>
                <c:pt idx="535">
                  <c:v>41229</c:v>
                </c:pt>
                <c:pt idx="536">
                  <c:v>41228</c:v>
                </c:pt>
                <c:pt idx="537">
                  <c:v>41227</c:v>
                </c:pt>
                <c:pt idx="538">
                  <c:v>41226</c:v>
                </c:pt>
                <c:pt idx="539">
                  <c:v>41225</c:v>
                </c:pt>
                <c:pt idx="540">
                  <c:v>41222</c:v>
                </c:pt>
                <c:pt idx="541">
                  <c:v>41221</c:v>
                </c:pt>
                <c:pt idx="542">
                  <c:v>41220</c:v>
                </c:pt>
                <c:pt idx="543">
                  <c:v>41219</c:v>
                </c:pt>
                <c:pt idx="544">
                  <c:v>41218</c:v>
                </c:pt>
                <c:pt idx="545">
                  <c:v>41215</c:v>
                </c:pt>
                <c:pt idx="546">
                  <c:v>41214</c:v>
                </c:pt>
                <c:pt idx="547">
                  <c:v>41213</c:v>
                </c:pt>
                <c:pt idx="548">
                  <c:v>41212</c:v>
                </c:pt>
                <c:pt idx="549">
                  <c:v>41211</c:v>
                </c:pt>
                <c:pt idx="550">
                  <c:v>41208</c:v>
                </c:pt>
                <c:pt idx="551">
                  <c:v>41207</c:v>
                </c:pt>
                <c:pt idx="552">
                  <c:v>41206</c:v>
                </c:pt>
                <c:pt idx="553">
                  <c:v>41205</c:v>
                </c:pt>
                <c:pt idx="554">
                  <c:v>41204</c:v>
                </c:pt>
                <c:pt idx="555">
                  <c:v>41201</c:v>
                </c:pt>
                <c:pt idx="556">
                  <c:v>41200</c:v>
                </c:pt>
                <c:pt idx="557">
                  <c:v>41199</c:v>
                </c:pt>
                <c:pt idx="558">
                  <c:v>41198</c:v>
                </c:pt>
                <c:pt idx="559">
                  <c:v>41197</c:v>
                </c:pt>
                <c:pt idx="560">
                  <c:v>41194</c:v>
                </c:pt>
                <c:pt idx="561">
                  <c:v>41193</c:v>
                </c:pt>
                <c:pt idx="562">
                  <c:v>41192</c:v>
                </c:pt>
                <c:pt idx="563">
                  <c:v>41191</c:v>
                </c:pt>
                <c:pt idx="564">
                  <c:v>41190</c:v>
                </c:pt>
                <c:pt idx="565">
                  <c:v>41187</c:v>
                </c:pt>
                <c:pt idx="566">
                  <c:v>41186</c:v>
                </c:pt>
                <c:pt idx="567">
                  <c:v>41185</c:v>
                </c:pt>
                <c:pt idx="568">
                  <c:v>41184</c:v>
                </c:pt>
                <c:pt idx="569">
                  <c:v>41183</c:v>
                </c:pt>
                <c:pt idx="570">
                  <c:v>41180</c:v>
                </c:pt>
                <c:pt idx="571">
                  <c:v>41179</c:v>
                </c:pt>
                <c:pt idx="572">
                  <c:v>41178</c:v>
                </c:pt>
                <c:pt idx="573">
                  <c:v>41177</c:v>
                </c:pt>
                <c:pt idx="574">
                  <c:v>41176</c:v>
                </c:pt>
                <c:pt idx="575">
                  <c:v>41173</c:v>
                </c:pt>
                <c:pt idx="576">
                  <c:v>41172</c:v>
                </c:pt>
                <c:pt idx="577">
                  <c:v>41171</c:v>
                </c:pt>
                <c:pt idx="578">
                  <c:v>41170</c:v>
                </c:pt>
                <c:pt idx="579">
                  <c:v>41169</c:v>
                </c:pt>
                <c:pt idx="580">
                  <c:v>41166</c:v>
                </c:pt>
                <c:pt idx="581">
                  <c:v>41165</c:v>
                </c:pt>
                <c:pt idx="582">
                  <c:v>41164</c:v>
                </c:pt>
                <c:pt idx="583">
                  <c:v>41163</c:v>
                </c:pt>
                <c:pt idx="584">
                  <c:v>41162</c:v>
                </c:pt>
                <c:pt idx="585">
                  <c:v>41159</c:v>
                </c:pt>
                <c:pt idx="586">
                  <c:v>41158</c:v>
                </c:pt>
                <c:pt idx="587">
                  <c:v>41157</c:v>
                </c:pt>
                <c:pt idx="588">
                  <c:v>41156</c:v>
                </c:pt>
                <c:pt idx="589">
                  <c:v>41155</c:v>
                </c:pt>
                <c:pt idx="590">
                  <c:v>41152</c:v>
                </c:pt>
                <c:pt idx="591">
                  <c:v>41151</c:v>
                </c:pt>
                <c:pt idx="592">
                  <c:v>41150</c:v>
                </c:pt>
                <c:pt idx="593">
                  <c:v>41149</c:v>
                </c:pt>
                <c:pt idx="594">
                  <c:v>41148</c:v>
                </c:pt>
                <c:pt idx="595">
                  <c:v>41145</c:v>
                </c:pt>
                <c:pt idx="596">
                  <c:v>41144</c:v>
                </c:pt>
                <c:pt idx="597">
                  <c:v>41143</c:v>
                </c:pt>
                <c:pt idx="598">
                  <c:v>41142</c:v>
                </c:pt>
                <c:pt idx="599">
                  <c:v>41141</c:v>
                </c:pt>
                <c:pt idx="600">
                  <c:v>41138</c:v>
                </c:pt>
                <c:pt idx="601">
                  <c:v>41137</c:v>
                </c:pt>
                <c:pt idx="602">
                  <c:v>41136</c:v>
                </c:pt>
                <c:pt idx="603">
                  <c:v>41135</c:v>
                </c:pt>
                <c:pt idx="604">
                  <c:v>41134</c:v>
                </c:pt>
                <c:pt idx="605">
                  <c:v>41131</c:v>
                </c:pt>
                <c:pt idx="606">
                  <c:v>41130</c:v>
                </c:pt>
                <c:pt idx="607">
                  <c:v>41129</c:v>
                </c:pt>
                <c:pt idx="608">
                  <c:v>41128</c:v>
                </c:pt>
                <c:pt idx="609">
                  <c:v>41127</c:v>
                </c:pt>
                <c:pt idx="610">
                  <c:v>41124</c:v>
                </c:pt>
                <c:pt idx="611">
                  <c:v>41123</c:v>
                </c:pt>
                <c:pt idx="612">
                  <c:v>41122</c:v>
                </c:pt>
                <c:pt idx="613">
                  <c:v>41121</c:v>
                </c:pt>
                <c:pt idx="614">
                  <c:v>41120</c:v>
                </c:pt>
                <c:pt idx="615">
                  <c:v>41117</c:v>
                </c:pt>
                <c:pt idx="616">
                  <c:v>41116</c:v>
                </c:pt>
                <c:pt idx="617">
                  <c:v>41115</c:v>
                </c:pt>
                <c:pt idx="618">
                  <c:v>41114</c:v>
                </c:pt>
                <c:pt idx="619">
                  <c:v>41113</c:v>
                </c:pt>
                <c:pt idx="620">
                  <c:v>41110</c:v>
                </c:pt>
                <c:pt idx="621">
                  <c:v>41109</c:v>
                </c:pt>
                <c:pt idx="622">
                  <c:v>41108</c:v>
                </c:pt>
                <c:pt idx="623">
                  <c:v>41107</c:v>
                </c:pt>
                <c:pt idx="624">
                  <c:v>41106</c:v>
                </c:pt>
                <c:pt idx="625">
                  <c:v>41103</c:v>
                </c:pt>
                <c:pt idx="626">
                  <c:v>41102</c:v>
                </c:pt>
                <c:pt idx="627">
                  <c:v>41101</c:v>
                </c:pt>
                <c:pt idx="628">
                  <c:v>41100</c:v>
                </c:pt>
                <c:pt idx="629">
                  <c:v>41099</c:v>
                </c:pt>
                <c:pt idx="630">
                  <c:v>41096</c:v>
                </c:pt>
                <c:pt idx="631">
                  <c:v>41095</c:v>
                </c:pt>
                <c:pt idx="632">
                  <c:v>41094</c:v>
                </c:pt>
                <c:pt idx="633">
                  <c:v>41093</c:v>
                </c:pt>
                <c:pt idx="634">
                  <c:v>41092</c:v>
                </c:pt>
                <c:pt idx="635">
                  <c:v>41089</c:v>
                </c:pt>
                <c:pt idx="636">
                  <c:v>41088</c:v>
                </c:pt>
                <c:pt idx="637">
                  <c:v>41087</c:v>
                </c:pt>
                <c:pt idx="638">
                  <c:v>41086</c:v>
                </c:pt>
                <c:pt idx="639">
                  <c:v>41085</c:v>
                </c:pt>
                <c:pt idx="640">
                  <c:v>41082</c:v>
                </c:pt>
                <c:pt idx="641">
                  <c:v>41081</c:v>
                </c:pt>
                <c:pt idx="642">
                  <c:v>41080</c:v>
                </c:pt>
                <c:pt idx="643">
                  <c:v>41079</c:v>
                </c:pt>
                <c:pt idx="644">
                  <c:v>41078</c:v>
                </c:pt>
                <c:pt idx="645">
                  <c:v>41075</c:v>
                </c:pt>
                <c:pt idx="646">
                  <c:v>41074</c:v>
                </c:pt>
                <c:pt idx="647">
                  <c:v>41073</c:v>
                </c:pt>
                <c:pt idx="648">
                  <c:v>41072</c:v>
                </c:pt>
                <c:pt idx="649">
                  <c:v>41071</c:v>
                </c:pt>
                <c:pt idx="650">
                  <c:v>41068</c:v>
                </c:pt>
                <c:pt idx="651">
                  <c:v>41067</c:v>
                </c:pt>
                <c:pt idx="652">
                  <c:v>41066</c:v>
                </c:pt>
                <c:pt idx="653">
                  <c:v>41065</c:v>
                </c:pt>
                <c:pt idx="654">
                  <c:v>41064</c:v>
                </c:pt>
                <c:pt idx="655">
                  <c:v>41061</c:v>
                </c:pt>
                <c:pt idx="656">
                  <c:v>41060</c:v>
                </c:pt>
                <c:pt idx="657">
                  <c:v>41059</c:v>
                </c:pt>
                <c:pt idx="658">
                  <c:v>41058</c:v>
                </c:pt>
                <c:pt idx="659">
                  <c:v>41057</c:v>
                </c:pt>
                <c:pt idx="660">
                  <c:v>41054</c:v>
                </c:pt>
                <c:pt idx="661">
                  <c:v>41053</c:v>
                </c:pt>
                <c:pt idx="662">
                  <c:v>41052</c:v>
                </c:pt>
                <c:pt idx="663">
                  <c:v>41051</c:v>
                </c:pt>
                <c:pt idx="664">
                  <c:v>41050</c:v>
                </c:pt>
                <c:pt idx="665">
                  <c:v>41047</c:v>
                </c:pt>
                <c:pt idx="666">
                  <c:v>41046</c:v>
                </c:pt>
                <c:pt idx="667">
                  <c:v>41045</c:v>
                </c:pt>
                <c:pt idx="668">
                  <c:v>41044</c:v>
                </c:pt>
                <c:pt idx="669">
                  <c:v>41043</c:v>
                </c:pt>
                <c:pt idx="670">
                  <c:v>41040</c:v>
                </c:pt>
                <c:pt idx="671">
                  <c:v>41039</c:v>
                </c:pt>
                <c:pt idx="672">
                  <c:v>41038</c:v>
                </c:pt>
                <c:pt idx="673">
                  <c:v>41037</c:v>
                </c:pt>
                <c:pt idx="674">
                  <c:v>41036</c:v>
                </c:pt>
                <c:pt idx="675">
                  <c:v>41033</c:v>
                </c:pt>
                <c:pt idx="676">
                  <c:v>41032</c:v>
                </c:pt>
                <c:pt idx="677">
                  <c:v>41031</c:v>
                </c:pt>
                <c:pt idx="678">
                  <c:v>41030</c:v>
                </c:pt>
                <c:pt idx="679">
                  <c:v>41029</c:v>
                </c:pt>
                <c:pt idx="680">
                  <c:v>41026</c:v>
                </c:pt>
                <c:pt idx="681">
                  <c:v>41025</c:v>
                </c:pt>
                <c:pt idx="682">
                  <c:v>41024</c:v>
                </c:pt>
                <c:pt idx="683">
                  <c:v>41023</c:v>
                </c:pt>
                <c:pt idx="684">
                  <c:v>41022</c:v>
                </c:pt>
                <c:pt idx="685">
                  <c:v>41019</c:v>
                </c:pt>
                <c:pt idx="686">
                  <c:v>41018</c:v>
                </c:pt>
                <c:pt idx="687">
                  <c:v>41017</c:v>
                </c:pt>
                <c:pt idx="688">
                  <c:v>41016</c:v>
                </c:pt>
                <c:pt idx="689">
                  <c:v>41015</c:v>
                </c:pt>
                <c:pt idx="690">
                  <c:v>41012</c:v>
                </c:pt>
                <c:pt idx="691">
                  <c:v>41011</c:v>
                </c:pt>
                <c:pt idx="692">
                  <c:v>41010</c:v>
                </c:pt>
                <c:pt idx="693">
                  <c:v>41009</c:v>
                </c:pt>
                <c:pt idx="694">
                  <c:v>41008</c:v>
                </c:pt>
                <c:pt idx="695">
                  <c:v>41005</c:v>
                </c:pt>
                <c:pt idx="696">
                  <c:v>41004</c:v>
                </c:pt>
                <c:pt idx="697">
                  <c:v>41003</c:v>
                </c:pt>
                <c:pt idx="698">
                  <c:v>41002</c:v>
                </c:pt>
                <c:pt idx="699">
                  <c:v>41001</c:v>
                </c:pt>
                <c:pt idx="700">
                  <c:v>40998</c:v>
                </c:pt>
                <c:pt idx="701">
                  <c:v>40997</c:v>
                </c:pt>
                <c:pt idx="702">
                  <c:v>40996</c:v>
                </c:pt>
                <c:pt idx="703">
                  <c:v>40995</c:v>
                </c:pt>
                <c:pt idx="704">
                  <c:v>40994</c:v>
                </c:pt>
                <c:pt idx="705">
                  <c:v>40991</c:v>
                </c:pt>
                <c:pt idx="706">
                  <c:v>40990</c:v>
                </c:pt>
                <c:pt idx="707">
                  <c:v>40989</c:v>
                </c:pt>
                <c:pt idx="708">
                  <c:v>40988</c:v>
                </c:pt>
                <c:pt idx="709">
                  <c:v>40987</c:v>
                </c:pt>
                <c:pt idx="710">
                  <c:v>40984</c:v>
                </c:pt>
                <c:pt idx="711">
                  <c:v>40983</c:v>
                </c:pt>
                <c:pt idx="712">
                  <c:v>40982</c:v>
                </c:pt>
                <c:pt idx="713">
                  <c:v>40981</c:v>
                </c:pt>
                <c:pt idx="714">
                  <c:v>40980</c:v>
                </c:pt>
                <c:pt idx="715">
                  <c:v>40977</c:v>
                </c:pt>
                <c:pt idx="716">
                  <c:v>40976</c:v>
                </c:pt>
                <c:pt idx="717">
                  <c:v>40975</c:v>
                </c:pt>
                <c:pt idx="718">
                  <c:v>40974</c:v>
                </c:pt>
                <c:pt idx="719">
                  <c:v>40973</c:v>
                </c:pt>
                <c:pt idx="720">
                  <c:v>40970</c:v>
                </c:pt>
                <c:pt idx="721">
                  <c:v>40969</c:v>
                </c:pt>
                <c:pt idx="722">
                  <c:v>40968</c:v>
                </c:pt>
                <c:pt idx="723">
                  <c:v>40967</c:v>
                </c:pt>
                <c:pt idx="724">
                  <c:v>40966</c:v>
                </c:pt>
                <c:pt idx="725">
                  <c:v>40963</c:v>
                </c:pt>
                <c:pt idx="726">
                  <c:v>40962</c:v>
                </c:pt>
                <c:pt idx="727">
                  <c:v>40961</c:v>
                </c:pt>
                <c:pt idx="728">
                  <c:v>40960</c:v>
                </c:pt>
                <c:pt idx="729">
                  <c:v>40959</c:v>
                </c:pt>
                <c:pt idx="730">
                  <c:v>40956</c:v>
                </c:pt>
                <c:pt idx="731">
                  <c:v>40955</c:v>
                </c:pt>
                <c:pt idx="732">
                  <c:v>40954</c:v>
                </c:pt>
                <c:pt idx="733">
                  <c:v>40953</c:v>
                </c:pt>
                <c:pt idx="734">
                  <c:v>40952</c:v>
                </c:pt>
                <c:pt idx="735">
                  <c:v>40949</c:v>
                </c:pt>
                <c:pt idx="736">
                  <c:v>40948</c:v>
                </c:pt>
                <c:pt idx="737">
                  <c:v>40947</c:v>
                </c:pt>
                <c:pt idx="738">
                  <c:v>40946</c:v>
                </c:pt>
                <c:pt idx="739">
                  <c:v>40945</c:v>
                </c:pt>
                <c:pt idx="740">
                  <c:v>40942</c:v>
                </c:pt>
                <c:pt idx="741">
                  <c:v>40941</c:v>
                </c:pt>
                <c:pt idx="742">
                  <c:v>40940</c:v>
                </c:pt>
                <c:pt idx="743">
                  <c:v>40939</c:v>
                </c:pt>
                <c:pt idx="744">
                  <c:v>40938</c:v>
                </c:pt>
                <c:pt idx="745">
                  <c:v>40935</c:v>
                </c:pt>
                <c:pt idx="746">
                  <c:v>40934</c:v>
                </c:pt>
                <c:pt idx="747">
                  <c:v>40933</c:v>
                </c:pt>
                <c:pt idx="748">
                  <c:v>40932</c:v>
                </c:pt>
                <c:pt idx="749">
                  <c:v>40931</c:v>
                </c:pt>
                <c:pt idx="750">
                  <c:v>40928</c:v>
                </c:pt>
                <c:pt idx="751">
                  <c:v>40927</c:v>
                </c:pt>
                <c:pt idx="752">
                  <c:v>40926</c:v>
                </c:pt>
                <c:pt idx="753">
                  <c:v>40925</c:v>
                </c:pt>
                <c:pt idx="754">
                  <c:v>40924</c:v>
                </c:pt>
                <c:pt idx="755">
                  <c:v>40921</c:v>
                </c:pt>
                <c:pt idx="756">
                  <c:v>40920</c:v>
                </c:pt>
                <c:pt idx="757">
                  <c:v>40919</c:v>
                </c:pt>
                <c:pt idx="758">
                  <c:v>40918</c:v>
                </c:pt>
                <c:pt idx="759">
                  <c:v>40917</c:v>
                </c:pt>
                <c:pt idx="760">
                  <c:v>40914</c:v>
                </c:pt>
                <c:pt idx="761">
                  <c:v>40913</c:v>
                </c:pt>
                <c:pt idx="762">
                  <c:v>40912</c:v>
                </c:pt>
                <c:pt idx="763">
                  <c:v>40911</c:v>
                </c:pt>
                <c:pt idx="764">
                  <c:v>40910</c:v>
                </c:pt>
                <c:pt idx="765">
                  <c:v>40907</c:v>
                </c:pt>
                <c:pt idx="766">
                  <c:v>40906</c:v>
                </c:pt>
                <c:pt idx="767">
                  <c:v>40905</c:v>
                </c:pt>
                <c:pt idx="768">
                  <c:v>40904</c:v>
                </c:pt>
                <c:pt idx="769">
                  <c:v>40903</c:v>
                </c:pt>
                <c:pt idx="770">
                  <c:v>40900</c:v>
                </c:pt>
                <c:pt idx="771">
                  <c:v>40899</c:v>
                </c:pt>
                <c:pt idx="772">
                  <c:v>40898</c:v>
                </c:pt>
                <c:pt idx="773">
                  <c:v>40897</c:v>
                </c:pt>
                <c:pt idx="774">
                  <c:v>40896</c:v>
                </c:pt>
                <c:pt idx="775">
                  <c:v>40893</c:v>
                </c:pt>
                <c:pt idx="776">
                  <c:v>40892</c:v>
                </c:pt>
                <c:pt idx="777">
                  <c:v>40891</c:v>
                </c:pt>
                <c:pt idx="778">
                  <c:v>40890</c:v>
                </c:pt>
                <c:pt idx="779">
                  <c:v>40889</c:v>
                </c:pt>
                <c:pt idx="780">
                  <c:v>40886</c:v>
                </c:pt>
                <c:pt idx="781">
                  <c:v>40885</c:v>
                </c:pt>
                <c:pt idx="782">
                  <c:v>40884</c:v>
                </c:pt>
                <c:pt idx="783">
                  <c:v>40883</c:v>
                </c:pt>
                <c:pt idx="784">
                  <c:v>40882</c:v>
                </c:pt>
                <c:pt idx="785">
                  <c:v>40879</c:v>
                </c:pt>
                <c:pt idx="786">
                  <c:v>40878</c:v>
                </c:pt>
                <c:pt idx="787">
                  <c:v>40877</c:v>
                </c:pt>
                <c:pt idx="788">
                  <c:v>40876</c:v>
                </c:pt>
                <c:pt idx="789">
                  <c:v>40875</c:v>
                </c:pt>
                <c:pt idx="790">
                  <c:v>40872</c:v>
                </c:pt>
                <c:pt idx="791">
                  <c:v>40871</c:v>
                </c:pt>
                <c:pt idx="792">
                  <c:v>40870</c:v>
                </c:pt>
                <c:pt idx="793">
                  <c:v>40869</c:v>
                </c:pt>
                <c:pt idx="794">
                  <c:v>40868</c:v>
                </c:pt>
                <c:pt idx="795">
                  <c:v>40865</c:v>
                </c:pt>
                <c:pt idx="796">
                  <c:v>40864</c:v>
                </c:pt>
                <c:pt idx="797">
                  <c:v>40863</c:v>
                </c:pt>
                <c:pt idx="798">
                  <c:v>40862</c:v>
                </c:pt>
                <c:pt idx="799">
                  <c:v>40861</c:v>
                </c:pt>
                <c:pt idx="800">
                  <c:v>40858</c:v>
                </c:pt>
                <c:pt idx="801">
                  <c:v>40857</c:v>
                </c:pt>
                <c:pt idx="802">
                  <c:v>40856</c:v>
                </c:pt>
                <c:pt idx="803">
                  <c:v>40855</c:v>
                </c:pt>
                <c:pt idx="804">
                  <c:v>40854</c:v>
                </c:pt>
                <c:pt idx="805">
                  <c:v>40851</c:v>
                </c:pt>
                <c:pt idx="806">
                  <c:v>40850</c:v>
                </c:pt>
                <c:pt idx="807">
                  <c:v>40849</c:v>
                </c:pt>
                <c:pt idx="808">
                  <c:v>40848</c:v>
                </c:pt>
                <c:pt idx="809">
                  <c:v>40847</c:v>
                </c:pt>
                <c:pt idx="810">
                  <c:v>40844</c:v>
                </c:pt>
                <c:pt idx="811">
                  <c:v>40843</c:v>
                </c:pt>
                <c:pt idx="812">
                  <c:v>40842</c:v>
                </c:pt>
                <c:pt idx="813">
                  <c:v>40841</c:v>
                </c:pt>
                <c:pt idx="814">
                  <c:v>40840</c:v>
                </c:pt>
                <c:pt idx="815">
                  <c:v>40837</c:v>
                </c:pt>
                <c:pt idx="816">
                  <c:v>40836</c:v>
                </c:pt>
                <c:pt idx="817">
                  <c:v>40835</c:v>
                </c:pt>
                <c:pt idx="818">
                  <c:v>40834</c:v>
                </c:pt>
                <c:pt idx="819">
                  <c:v>40833</c:v>
                </c:pt>
                <c:pt idx="820">
                  <c:v>40830</c:v>
                </c:pt>
                <c:pt idx="821">
                  <c:v>40829</c:v>
                </c:pt>
                <c:pt idx="822">
                  <c:v>40828</c:v>
                </c:pt>
                <c:pt idx="823">
                  <c:v>40827</c:v>
                </c:pt>
                <c:pt idx="824">
                  <c:v>40826</c:v>
                </c:pt>
                <c:pt idx="825">
                  <c:v>40823</c:v>
                </c:pt>
                <c:pt idx="826">
                  <c:v>40822</c:v>
                </c:pt>
                <c:pt idx="827">
                  <c:v>40821</c:v>
                </c:pt>
                <c:pt idx="828">
                  <c:v>40820</c:v>
                </c:pt>
                <c:pt idx="829">
                  <c:v>40819</c:v>
                </c:pt>
                <c:pt idx="830">
                  <c:v>40816</c:v>
                </c:pt>
                <c:pt idx="831">
                  <c:v>40815</c:v>
                </c:pt>
                <c:pt idx="832">
                  <c:v>40814</c:v>
                </c:pt>
                <c:pt idx="833">
                  <c:v>40813</c:v>
                </c:pt>
                <c:pt idx="834">
                  <c:v>40812</c:v>
                </c:pt>
                <c:pt idx="835">
                  <c:v>40809</c:v>
                </c:pt>
              </c:numCache>
            </c:numRef>
          </c:cat>
          <c:val>
            <c:numRef>
              <c:f>'[Copy of Strategija radna tabela.xlsx]Eurobond'!$O$5:$O$275</c:f>
              <c:numCache>
                <c:formatCode>#,##0.000</c:formatCode>
                <c:ptCount val="271"/>
                <c:pt idx="0">
                  <c:v>106.313</c:v>
                </c:pt>
                <c:pt idx="1">
                  <c:v>106.36</c:v>
                </c:pt>
                <c:pt idx="2">
                  <c:v>106.352</c:v>
                </c:pt>
                <c:pt idx="3">
                  <c:v>106.372</c:v>
                </c:pt>
                <c:pt idx="4">
                  <c:v>106.42700000000001</c:v>
                </c:pt>
                <c:pt idx="5">
                  <c:v>106.482</c:v>
                </c:pt>
                <c:pt idx="6">
                  <c:v>106.474</c:v>
                </c:pt>
                <c:pt idx="7">
                  <c:v>106.471</c:v>
                </c:pt>
                <c:pt idx="8">
                  <c:v>106.486</c:v>
                </c:pt>
                <c:pt idx="9">
                  <c:v>106.53</c:v>
                </c:pt>
                <c:pt idx="10">
                  <c:v>106.55800000000001</c:v>
                </c:pt>
                <c:pt idx="11">
                  <c:v>106.518</c:v>
                </c:pt>
                <c:pt idx="12">
                  <c:v>106.592</c:v>
                </c:pt>
                <c:pt idx="13">
                  <c:v>106.834</c:v>
                </c:pt>
                <c:pt idx="14">
                  <c:v>106.919</c:v>
                </c:pt>
                <c:pt idx="15">
                  <c:v>106.92700000000001</c:v>
                </c:pt>
                <c:pt idx="16">
                  <c:v>106.873</c:v>
                </c:pt>
                <c:pt idx="17">
                  <c:v>106.795</c:v>
                </c:pt>
                <c:pt idx="18">
                  <c:v>106.511</c:v>
                </c:pt>
                <c:pt idx="19">
                  <c:v>106.26600000000001</c:v>
                </c:pt>
                <c:pt idx="20">
                  <c:v>106.217</c:v>
                </c:pt>
                <c:pt idx="21">
                  <c:v>106.136</c:v>
                </c:pt>
                <c:pt idx="22">
                  <c:v>106.315</c:v>
                </c:pt>
                <c:pt idx="23">
                  <c:v>106.30800000000001</c:v>
                </c:pt>
                <c:pt idx="24">
                  <c:v>106.34</c:v>
                </c:pt>
                <c:pt idx="25">
                  <c:v>106.372</c:v>
                </c:pt>
                <c:pt idx="26">
                  <c:v>106.373</c:v>
                </c:pt>
                <c:pt idx="27">
                  <c:v>106.226</c:v>
                </c:pt>
                <c:pt idx="28">
                  <c:v>106.318</c:v>
                </c:pt>
                <c:pt idx="29">
                  <c:v>106.24</c:v>
                </c:pt>
                <c:pt idx="30">
                  <c:v>106.149</c:v>
                </c:pt>
                <c:pt idx="31">
                  <c:v>106.069</c:v>
                </c:pt>
                <c:pt idx="32">
                  <c:v>106.17700000000001</c:v>
                </c:pt>
                <c:pt idx="33">
                  <c:v>106.145</c:v>
                </c:pt>
                <c:pt idx="34">
                  <c:v>106.005</c:v>
                </c:pt>
                <c:pt idx="35">
                  <c:v>105.535</c:v>
                </c:pt>
                <c:pt idx="36">
                  <c:v>105.139</c:v>
                </c:pt>
                <c:pt idx="37">
                  <c:v>104.37</c:v>
                </c:pt>
                <c:pt idx="38">
                  <c:v>104.563</c:v>
                </c:pt>
                <c:pt idx="39">
                  <c:v>104.39700000000001</c:v>
                </c:pt>
                <c:pt idx="40">
                  <c:v>104.22</c:v>
                </c:pt>
                <c:pt idx="41">
                  <c:v>104.321</c:v>
                </c:pt>
                <c:pt idx="42">
                  <c:v>104.64</c:v>
                </c:pt>
                <c:pt idx="43">
                  <c:v>104.126</c:v>
                </c:pt>
                <c:pt idx="44">
                  <c:v>104.05800000000001</c:v>
                </c:pt>
                <c:pt idx="45">
                  <c:v>103.98699999999999</c:v>
                </c:pt>
                <c:pt idx="46">
                  <c:v>103.902</c:v>
                </c:pt>
                <c:pt idx="47">
                  <c:v>104.053</c:v>
                </c:pt>
                <c:pt idx="48">
                  <c:v>104.446</c:v>
                </c:pt>
                <c:pt idx="49">
                  <c:v>104.59</c:v>
                </c:pt>
                <c:pt idx="50">
                  <c:v>104.627</c:v>
                </c:pt>
                <c:pt idx="51">
                  <c:v>105.185</c:v>
                </c:pt>
                <c:pt idx="52">
                  <c:v>105.932</c:v>
                </c:pt>
                <c:pt idx="53">
                  <c:v>106.251</c:v>
                </c:pt>
                <c:pt idx="54">
                  <c:v>106.248</c:v>
                </c:pt>
                <c:pt idx="55">
                  <c:v>106.23</c:v>
                </c:pt>
                <c:pt idx="56">
                  <c:v>106.122</c:v>
                </c:pt>
                <c:pt idx="57">
                  <c:v>105.9</c:v>
                </c:pt>
                <c:pt idx="58">
                  <c:v>105.967</c:v>
                </c:pt>
                <c:pt idx="59">
                  <c:v>105.923</c:v>
                </c:pt>
                <c:pt idx="60">
                  <c:v>105.89400000000001</c:v>
                </c:pt>
                <c:pt idx="61">
                  <c:v>106.02200000000001</c:v>
                </c:pt>
                <c:pt idx="62">
                  <c:v>106.437</c:v>
                </c:pt>
                <c:pt idx="63">
                  <c:v>106.39</c:v>
                </c:pt>
                <c:pt idx="64">
                  <c:v>106.764</c:v>
                </c:pt>
                <c:pt idx="65">
                  <c:v>106.82599999999999</c:v>
                </c:pt>
                <c:pt idx="66">
                  <c:v>106.53</c:v>
                </c:pt>
                <c:pt idx="67">
                  <c:v>106.527</c:v>
                </c:pt>
                <c:pt idx="68">
                  <c:v>106.331</c:v>
                </c:pt>
                <c:pt idx="69">
                  <c:v>106.395</c:v>
                </c:pt>
                <c:pt idx="70">
                  <c:v>106.40600000000001</c:v>
                </c:pt>
                <c:pt idx="71">
                  <c:v>106.428</c:v>
                </c:pt>
                <c:pt idx="72">
                  <c:v>106.404</c:v>
                </c:pt>
                <c:pt idx="73">
                  <c:v>106.624</c:v>
                </c:pt>
                <c:pt idx="74">
                  <c:v>106.304</c:v>
                </c:pt>
                <c:pt idx="75">
                  <c:v>106.15600000000001</c:v>
                </c:pt>
                <c:pt idx="76">
                  <c:v>106.26900000000001</c:v>
                </c:pt>
                <c:pt idx="77">
                  <c:v>106.626</c:v>
                </c:pt>
                <c:pt idx="78">
                  <c:v>106.854</c:v>
                </c:pt>
                <c:pt idx="79">
                  <c:v>106.989</c:v>
                </c:pt>
                <c:pt idx="80">
                  <c:v>107.044</c:v>
                </c:pt>
                <c:pt idx="81">
                  <c:v>107.089</c:v>
                </c:pt>
                <c:pt idx="82">
                  <c:v>106.364</c:v>
                </c:pt>
                <c:pt idx="83">
                  <c:v>105.965</c:v>
                </c:pt>
                <c:pt idx="84">
                  <c:v>105.64</c:v>
                </c:pt>
                <c:pt idx="85">
                  <c:v>105.21</c:v>
                </c:pt>
                <c:pt idx="86">
                  <c:v>104.836</c:v>
                </c:pt>
                <c:pt idx="87">
                  <c:v>104.92100000000001</c:v>
                </c:pt>
                <c:pt idx="88">
                  <c:v>104.98</c:v>
                </c:pt>
                <c:pt idx="89">
                  <c:v>105.63</c:v>
                </c:pt>
                <c:pt idx="90">
                  <c:v>105.876</c:v>
                </c:pt>
                <c:pt idx="91">
                  <c:v>105.985</c:v>
                </c:pt>
                <c:pt idx="92">
                  <c:v>106.658</c:v>
                </c:pt>
                <c:pt idx="93">
                  <c:v>107.327</c:v>
                </c:pt>
                <c:pt idx="94">
                  <c:v>107.393</c:v>
                </c:pt>
                <c:pt idx="95">
                  <c:v>107.13</c:v>
                </c:pt>
                <c:pt idx="96">
                  <c:v>107.18</c:v>
                </c:pt>
                <c:pt idx="97">
                  <c:v>107.13200000000001</c:v>
                </c:pt>
                <c:pt idx="98">
                  <c:v>106.666</c:v>
                </c:pt>
                <c:pt idx="99">
                  <c:v>105.996</c:v>
                </c:pt>
                <c:pt idx="100">
                  <c:v>105.735</c:v>
                </c:pt>
                <c:pt idx="101">
                  <c:v>105.64100000000001</c:v>
                </c:pt>
                <c:pt idx="102">
                  <c:v>105.628</c:v>
                </c:pt>
                <c:pt idx="103">
                  <c:v>106.07599999999999</c:v>
                </c:pt>
                <c:pt idx="104">
                  <c:v>105.922</c:v>
                </c:pt>
                <c:pt idx="105">
                  <c:v>106.114</c:v>
                </c:pt>
                <c:pt idx="106">
                  <c:v>106.65300000000001</c:v>
                </c:pt>
                <c:pt idx="107">
                  <c:v>106.46899999999999</c:v>
                </c:pt>
                <c:pt idx="108">
                  <c:v>106.703</c:v>
                </c:pt>
                <c:pt idx="109">
                  <c:v>106.884</c:v>
                </c:pt>
                <c:pt idx="110">
                  <c:v>106.881</c:v>
                </c:pt>
                <c:pt idx="111">
                  <c:v>106.884</c:v>
                </c:pt>
                <c:pt idx="112">
                  <c:v>106.89100000000001</c:v>
                </c:pt>
                <c:pt idx="113">
                  <c:v>106.94</c:v>
                </c:pt>
                <c:pt idx="114">
                  <c:v>106.965</c:v>
                </c:pt>
                <c:pt idx="115">
                  <c:v>106.797</c:v>
                </c:pt>
                <c:pt idx="116">
                  <c:v>106.536</c:v>
                </c:pt>
                <c:pt idx="117">
                  <c:v>106.402</c:v>
                </c:pt>
                <c:pt idx="118">
                  <c:v>107.56699999999999</c:v>
                </c:pt>
                <c:pt idx="119">
                  <c:v>107.595</c:v>
                </c:pt>
                <c:pt idx="120">
                  <c:v>107.57599999999999</c:v>
                </c:pt>
                <c:pt idx="121">
                  <c:v>107.72499999999999</c:v>
                </c:pt>
                <c:pt idx="122">
                  <c:v>108.009</c:v>
                </c:pt>
                <c:pt idx="123">
                  <c:v>108.105</c:v>
                </c:pt>
                <c:pt idx="124">
                  <c:v>108.142</c:v>
                </c:pt>
                <c:pt idx="125">
                  <c:v>108.233</c:v>
                </c:pt>
                <c:pt idx="126">
                  <c:v>108.417</c:v>
                </c:pt>
                <c:pt idx="127">
                  <c:v>108.605</c:v>
                </c:pt>
                <c:pt idx="128">
                  <c:v>108.586</c:v>
                </c:pt>
                <c:pt idx="129">
                  <c:v>108.542</c:v>
                </c:pt>
                <c:pt idx="130">
                  <c:v>108.60299999999999</c:v>
                </c:pt>
                <c:pt idx="131">
                  <c:v>108.43300000000001</c:v>
                </c:pt>
                <c:pt idx="132">
                  <c:v>107.804</c:v>
                </c:pt>
                <c:pt idx="133">
                  <c:v>107.679</c:v>
                </c:pt>
                <c:pt idx="134">
                  <c:v>107.911</c:v>
                </c:pt>
                <c:pt idx="135">
                  <c:v>108.197</c:v>
                </c:pt>
                <c:pt idx="136">
                  <c:v>108</c:v>
                </c:pt>
                <c:pt idx="137">
                  <c:v>107.845</c:v>
                </c:pt>
                <c:pt idx="138">
                  <c:v>107.473</c:v>
                </c:pt>
                <c:pt idx="139">
                  <c:v>106.905</c:v>
                </c:pt>
                <c:pt idx="140">
                  <c:v>106.643</c:v>
                </c:pt>
                <c:pt idx="141">
                  <c:v>106.63</c:v>
                </c:pt>
                <c:pt idx="142">
                  <c:v>106.53400000000001</c:v>
                </c:pt>
                <c:pt idx="143">
                  <c:v>106.672</c:v>
                </c:pt>
                <c:pt idx="144">
                  <c:v>106.97499999999999</c:v>
                </c:pt>
                <c:pt idx="145">
                  <c:v>107.23</c:v>
                </c:pt>
                <c:pt idx="146">
                  <c:v>107.45699999999999</c:v>
                </c:pt>
                <c:pt idx="147">
                  <c:v>107.747</c:v>
                </c:pt>
                <c:pt idx="148">
                  <c:v>107.639</c:v>
                </c:pt>
                <c:pt idx="149">
                  <c:v>107.42</c:v>
                </c:pt>
                <c:pt idx="150">
                  <c:v>107.239</c:v>
                </c:pt>
                <c:pt idx="151">
                  <c:v>107.096</c:v>
                </c:pt>
                <c:pt idx="152">
                  <c:v>106.919</c:v>
                </c:pt>
                <c:pt idx="153">
                  <c:v>106.693</c:v>
                </c:pt>
                <c:pt idx="154">
                  <c:v>106.191</c:v>
                </c:pt>
                <c:pt idx="155">
                  <c:v>105.79600000000001</c:v>
                </c:pt>
                <c:pt idx="156">
                  <c:v>105.80500000000001</c:v>
                </c:pt>
                <c:pt idx="157">
                  <c:v>105.514</c:v>
                </c:pt>
                <c:pt idx="158">
                  <c:v>105.43300000000001</c:v>
                </c:pt>
                <c:pt idx="159">
                  <c:v>105.179</c:v>
                </c:pt>
                <c:pt idx="160">
                  <c:v>104.819</c:v>
                </c:pt>
                <c:pt idx="161">
                  <c:v>104.83</c:v>
                </c:pt>
                <c:pt idx="162">
                  <c:v>105.02800000000001</c:v>
                </c:pt>
                <c:pt idx="163">
                  <c:v>105.05800000000001</c:v>
                </c:pt>
                <c:pt idx="164">
                  <c:v>105.306</c:v>
                </c:pt>
                <c:pt idx="165">
                  <c:v>105.583</c:v>
                </c:pt>
                <c:pt idx="166">
                  <c:v>105.438</c:v>
                </c:pt>
                <c:pt idx="167">
                  <c:v>105.366</c:v>
                </c:pt>
                <c:pt idx="168">
                  <c:v>105.404</c:v>
                </c:pt>
                <c:pt idx="169">
                  <c:v>105.6</c:v>
                </c:pt>
                <c:pt idx="170">
                  <c:v>105.77</c:v>
                </c:pt>
                <c:pt idx="171">
                  <c:v>105.864</c:v>
                </c:pt>
                <c:pt idx="172">
                  <c:v>105.923</c:v>
                </c:pt>
                <c:pt idx="173">
                  <c:v>105.685</c:v>
                </c:pt>
                <c:pt idx="174">
                  <c:v>105.73</c:v>
                </c:pt>
                <c:pt idx="175">
                  <c:v>105.637</c:v>
                </c:pt>
                <c:pt idx="176">
                  <c:v>105.643</c:v>
                </c:pt>
                <c:pt idx="177">
                  <c:v>105.48</c:v>
                </c:pt>
                <c:pt idx="178">
                  <c:v>105.708</c:v>
                </c:pt>
                <c:pt idx="179">
                  <c:v>105.8</c:v>
                </c:pt>
                <c:pt idx="180">
                  <c:v>106.06100000000001</c:v>
                </c:pt>
                <c:pt idx="181">
                  <c:v>106.05500000000001</c:v>
                </c:pt>
                <c:pt idx="182">
                  <c:v>105.961</c:v>
                </c:pt>
                <c:pt idx="183">
                  <c:v>105.898</c:v>
                </c:pt>
                <c:pt idx="184">
                  <c:v>105.857</c:v>
                </c:pt>
                <c:pt idx="185">
                  <c:v>105.751</c:v>
                </c:pt>
                <c:pt idx="186">
                  <c:v>105.777</c:v>
                </c:pt>
                <c:pt idx="187">
                  <c:v>105.82899999999999</c:v>
                </c:pt>
                <c:pt idx="188">
                  <c:v>106.004</c:v>
                </c:pt>
                <c:pt idx="189">
                  <c:v>105.723</c:v>
                </c:pt>
                <c:pt idx="190">
                  <c:v>105.589</c:v>
                </c:pt>
                <c:pt idx="191">
                  <c:v>105.059</c:v>
                </c:pt>
                <c:pt idx="192">
                  <c:v>105.279</c:v>
                </c:pt>
                <c:pt idx="193">
                  <c:v>105.22499999999999</c:v>
                </c:pt>
                <c:pt idx="194">
                  <c:v>105.617</c:v>
                </c:pt>
                <c:pt idx="195">
                  <c:v>105.35599999999999</c:v>
                </c:pt>
                <c:pt idx="196">
                  <c:v>105.664</c:v>
                </c:pt>
                <c:pt idx="197">
                  <c:v>106.018</c:v>
                </c:pt>
                <c:pt idx="198">
                  <c:v>105.54300000000001</c:v>
                </c:pt>
                <c:pt idx="199">
                  <c:v>105.193</c:v>
                </c:pt>
                <c:pt idx="200">
                  <c:v>105.10599999999999</c:v>
                </c:pt>
                <c:pt idx="201">
                  <c:v>105.893</c:v>
                </c:pt>
                <c:pt idx="202">
                  <c:v>105.64400000000001</c:v>
                </c:pt>
                <c:pt idx="203">
                  <c:v>105.459</c:v>
                </c:pt>
                <c:pt idx="204">
                  <c:v>105.447</c:v>
                </c:pt>
                <c:pt idx="205">
                  <c:v>105.176</c:v>
                </c:pt>
                <c:pt idx="206">
                  <c:v>104.967</c:v>
                </c:pt>
                <c:pt idx="207">
                  <c:v>104.577</c:v>
                </c:pt>
                <c:pt idx="208">
                  <c:v>104.47799999999999</c:v>
                </c:pt>
                <c:pt idx="209">
                  <c:v>104.483</c:v>
                </c:pt>
                <c:pt idx="210">
                  <c:v>104.375</c:v>
                </c:pt>
                <c:pt idx="211">
                  <c:v>104.124</c:v>
                </c:pt>
                <c:pt idx="212">
                  <c:v>103.983</c:v>
                </c:pt>
                <c:pt idx="213">
                  <c:v>104.449</c:v>
                </c:pt>
                <c:pt idx="214">
                  <c:v>104.86199999999999</c:v>
                </c:pt>
                <c:pt idx="215">
                  <c:v>105.089</c:v>
                </c:pt>
                <c:pt idx="216">
                  <c:v>105.14700000000001</c:v>
                </c:pt>
                <c:pt idx="217">
                  <c:v>104.663</c:v>
                </c:pt>
                <c:pt idx="218">
                  <c:v>104.203</c:v>
                </c:pt>
                <c:pt idx="219">
                  <c:v>103.495</c:v>
                </c:pt>
                <c:pt idx="220">
                  <c:v>102.483</c:v>
                </c:pt>
                <c:pt idx="221">
                  <c:v>102.155</c:v>
                </c:pt>
                <c:pt idx="222">
                  <c:v>102.349</c:v>
                </c:pt>
                <c:pt idx="223">
                  <c:v>102.729</c:v>
                </c:pt>
                <c:pt idx="224">
                  <c:v>103.33</c:v>
                </c:pt>
                <c:pt idx="225">
                  <c:v>103.229</c:v>
                </c:pt>
                <c:pt idx="226">
                  <c:v>103.395</c:v>
                </c:pt>
                <c:pt idx="227">
                  <c:v>104.461</c:v>
                </c:pt>
                <c:pt idx="228">
                  <c:v>104.88</c:v>
                </c:pt>
                <c:pt idx="229">
                  <c:v>104.756</c:v>
                </c:pt>
                <c:pt idx="230">
                  <c:v>104.791</c:v>
                </c:pt>
                <c:pt idx="231">
                  <c:v>104.82899999999999</c:v>
                </c:pt>
                <c:pt idx="232">
                  <c:v>105.04600000000001</c:v>
                </c:pt>
                <c:pt idx="233">
                  <c:v>104.72499999999999</c:v>
                </c:pt>
                <c:pt idx="234">
                  <c:v>104.01600000000001</c:v>
                </c:pt>
                <c:pt idx="235">
                  <c:v>103.616</c:v>
                </c:pt>
                <c:pt idx="236">
                  <c:v>103.373</c:v>
                </c:pt>
                <c:pt idx="237">
                  <c:v>102.953</c:v>
                </c:pt>
                <c:pt idx="238">
                  <c:v>102.991</c:v>
                </c:pt>
                <c:pt idx="239">
                  <c:v>102.82599999999999</c:v>
                </c:pt>
                <c:pt idx="240">
                  <c:v>102.532</c:v>
                </c:pt>
                <c:pt idx="241">
                  <c:v>101.95099999999999</c:v>
                </c:pt>
                <c:pt idx="242">
                  <c:v>101.837</c:v>
                </c:pt>
                <c:pt idx="243">
                  <c:v>101.744</c:v>
                </c:pt>
                <c:pt idx="244">
                  <c:v>101.739</c:v>
                </c:pt>
                <c:pt idx="245">
                  <c:v>101.721</c:v>
                </c:pt>
                <c:pt idx="246">
                  <c:v>101.63</c:v>
                </c:pt>
                <c:pt idx="247">
                  <c:v>101.625</c:v>
                </c:pt>
                <c:pt idx="248">
                  <c:v>101.627</c:v>
                </c:pt>
                <c:pt idx="249">
                  <c:v>101.705</c:v>
                </c:pt>
                <c:pt idx="250">
                  <c:v>101.721</c:v>
                </c:pt>
                <c:pt idx="251">
                  <c:v>101.691</c:v>
                </c:pt>
                <c:pt idx="252">
                  <c:v>101.616</c:v>
                </c:pt>
                <c:pt idx="253">
                  <c:v>101.521</c:v>
                </c:pt>
                <c:pt idx="254">
                  <c:v>101.471</c:v>
                </c:pt>
                <c:pt idx="255">
                  <c:v>101.428</c:v>
                </c:pt>
                <c:pt idx="256">
                  <c:v>101.30500000000001</c:v>
                </c:pt>
                <c:pt idx="257">
                  <c:v>101.30500000000001</c:v>
                </c:pt>
                <c:pt idx="258">
                  <c:v>101.416</c:v>
                </c:pt>
                <c:pt idx="259">
                  <c:v>101.423</c:v>
                </c:pt>
                <c:pt idx="260">
                  <c:v>101.226</c:v>
                </c:pt>
                <c:pt idx="261">
                  <c:v>101.051</c:v>
                </c:pt>
                <c:pt idx="262">
                  <c:v>100.941</c:v>
                </c:pt>
                <c:pt idx="263">
                  <c:v>100.839</c:v>
                </c:pt>
                <c:pt idx="264">
                  <c:v>100.88500000000001</c:v>
                </c:pt>
                <c:pt idx="265">
                  <c:v>100.871</c:v>
                </c:pt>
                <c:pt idx="266">
                  <c:v>101.13200000000001</c:v>
                </c:pt>
                <c:pt idx="267">
                  <c:v>101.095</c:v>
                </c:pt>
                <c:pt idx="268">
                  <c:v>101.123</c:v>
                </c:pt>
                <c:pt idx="269">
                  <c:v>101.166</c:v>
                </c:pt>
                <c:pt idx="270">
                  <c:v>101.34399999999999</c:v>
                </c:pt>
              </c:numCache>
            </c:numRef>
          </c:val>
        </c:ser>
        <c:dLbls>
          <c:showLegendKey val="0"/>
          <c:showVal val="0"/>
          <c:showCatName val="0"/>
          <c:showSerName val="0"/>
          <c:showPercent val="0"/>
          <c:showBubbleSize val="0"/>
        </c:dLbls>
        <c:axId val="353214432"/>
        <c:axId val="353214824"/>
      </c:areaChart>
      <c:lineChart>
        <c:grouping val="standard"/>
        <c:varyColors val="0"/>
        <c:ser>
          <c:idx val="1"/>
          <c:order val="1"/>
          <c:tx>
            <c:strRef>
              <c:f>'[Copy of Strategija radna tabela.xlsx]Eurobond'!$P$3</c:f>
              <c:strCache>
                <c:ptCount val="1"/>
                <c:pt idx="0">
                  <c:v>Средњи принос до доспећа</c:v>
                </c:pt>
              </c:strCache>
            </c:strRef>
          </c:tx>
          <c:spPr>
            <a:ln w="22225" cap="rnd">
              <a:solidFill>
                <a:srgbClr val="9BBB59">
                  <a:lumMod val="50000"/>
                </a:srgbClr>
              </a:solidFill>
              <a:round/>
            </a:ln>
            <a:effectLst/>
          </c:spPr>
          <c:marker>
            <c:symbol val="none"/>
          </c:marker>
          <c:cat>
            <c:numRef>
              <c:f>'[Copy of Strategija radna tabela.xlsx]Eurobond'!$N$6:$N$275;'[Copy of Strategija radna tabela.xlsx]Eurobond'!$P$6:$P$275</c:f>
              <c:numCache>
                <c:formatCode>m/d/yyyy</c:formatCode>
                <c:ptCount val="540"/>
                <c:pt idx="0">
                  <c:v>41978</c:v>
                </c:pt>
                <c:pt idx="1">
                  <c:v>41977</c:v>
                </c:pt>
                <c:pt idx="2">
                  <c:v>41976</c:v>
                </c:pt>
                <c:pt idx="3">
                  <c:v>41975</c:v>
                </c:pt>
                <c:pt idx="4">
                  <c:v>41974</c:v>
                </c:pt>
                <c:pt idx="5">
                  <c:v>41971</c:v>
                </c:pt>
                <c:pt idx="6">
                  <c:v>41970</c:v>
                </c:pt>
                <c:pt idx="7">
                  <c:v>41969</c:v>
                </c:pt>
                <c:pt idx="8">
                  <c:v>41968</c:v>
                </c:pt>
                <c:pt idx="9">
                  <c:v>41967</c:v>
                </c:pt>
                <c:pt idx="10">
                  <c:v>41964</c:v>
                </c:pt>
                <c:pt idx="11">
                  <c:v>41963</c:v>
                </c:pt>
                <c:pt idx="12">
                  <c:v>41962</c:v>
                </c:pt>
                <c:pt idx="13">
                  <c:v>41961</c:v>
                </c:pt>
                <c:pt idx="14">
                  <c:v>41960</c:v>
                </c:pt>
                <c:pt idx="15">
                  <c:v>41957</c:v>
                </c:pt>
                <c:pt idx="16">
                  <c:v>41956</c:v>
                </c:pt>
                <c:pt idx="17">
                  <c:v>41955</c:v>
                </c:pt>
                <c:pt idx="18">
                  <c:v>41954</c:v>
                </c:pt>
                <c:pt idx="19">
                  <c:v>41953</c:v>
                </c:pt>
                <c:pt idx="20">
                  <c:v>41950</c:v>
                </c:pt>
                <c:pt idx="21">
                  <c:v>41949</c:v>
                </c:pt>
                <c:pt idx="22">
                  <c:v>41948</c:v>
                </c:pt>
                <c:pt idx="23">
                  <c:v>41947</c:v>
                </c:pt>
                <c:pt idx="24">
                  <c:v>41946</c:v>
                </c:pt>
                <c:pt idx="25">
                  <c:v>41943</c:v>
                </c:pt>
                <c:pt idx="26">
                  <c:v>41942</c:v>
                </c:pt>
                <c:pt idx="27">
                  <c:v>41941</c:v>
                </c:pt>
                <c:pt idx="28">
                  <c:v>41940</c:v>
                </c:pt>
                <c:pt idx="29">
                  <c:v>41939</c:v>
                </c:pt>
                <c:pt idx="30">
                  <c:v>41936</c:v>
                </c:pt>
                <c:pt idx="31">
                  <c:v>41935</c:v>
                </c:pt>
                <c:pt idx="32">
                  <c:v>41934</c:v>
                </c:pt>
                <c:pt idx="33">
                  <c:v>41933</c:v>
                </c:pt>
                <c:pt idx="34">
                  <c:v>41932</c:v>
                </c:pt>
                <c:pt idx="35">
                  <c:v>41929</c:v>
                </c:pt>
                <c:pt idx="36">
                  <c:v>41928</c:v>
                </c:pt>
                <c:pt idx="37">
                  <c:v>41927</c:v>
                </c:pt>
                <c:pt idx="38">
                  <c:v>41926</c:v>
                </c:pt>
                <c:pt idx="39">
                  <c:v>41925</c:v>
                </c:pt>
                <c:pt idx="40">
                  <c:v>41922</c:v>
                </c:pt>
                <c:pt idx="41">
                  <c:v>41921</c:v>
                </c:pt>
                <c:pt idx="42">
                  <c:v>41920</c:v>
                </c:pt>
                <c:pt idx="43">
                  <c:v>41919</c:v>
                </c:pt>
                <c:pt idx="44">
                  <c:v>41918</c:v>
                </c:pt>
                <c:pt idx="45">
                  <c:v>41915</c:v>
                </c:pt>
                <c:pt idx="46">
                  <c:v>41914</c:v>
                </c:pt>
                <c:pt idx="47">
                  <c:v>41913</c:v>
                </c:pt>
                <c:pt idx="48">
                  <c:v>41912</c:v>
                </c:pt>
                <c:pt idx="49">
                  <c:v>41911</c:v>
                </c:pt>
                <c:pt idx="50">
                  <c:v>41908</c:v>
                </c:pt>
                <c:pt idx="51">
                  <c:v>41907</c:v>
                </c:pt>
                <c:pt idx="52">
                  <c:v>41906</c:v>
                </c:pt>
                <c:pt idx="53">
                  <c:v>41905</c:v>
                </c:pt>
                <c:pt idx="54">
                  <c:v>41904</c:v>
                </c:pt>
                <c:pt idx="55">
                  <c:v>41901</c:v>
                </c:pt>
                <c:pt idx="56">
                  <c:v>41900</c:v>
                </c:pt>
                <c:pt idx="57">
                  <c:v>41899</c:v>
                </c:pt>
                <c:pt idx="58">
                  <c:v>41898</c:v>
                </c:pt>
                <c:pt idx="59">
                  <c:v>41897</c:v>
                </c:pt>
                <c:pt idx="60">
                  <c:v>41894</c:v>
                </c:pt>
                <c:pt idx="61">
                  <c:v>41893</c:v>
                </c:pt>
                <c:pt idx="62">
                  <c:v>41892</c:v>
                </c:pt>
                <c:pt idx="63">
                  <c:v>41891</c:v>
                </c:pt>
                <c:pt idx="64">
                  <c:v>41890</c:v>
                </c:pt>
                <c:pt idx="65">
                  <c:v>41887</c:v>
                </c:pt>
                <c:pt idx="66">
                  <c:v>41886</c:v>
                </c:pt>
                <c:pt idx="67">
                  <c:v>41885</c:v>
                </c:pt>
                <c:pt idx="68">
                  <c:v>41884</c:v>
                </c:pt>
                <c:pt idx="69">
                  <c:v>41883</c:v>
                </c:pt>
                <c:pt idx="70">
                  <c:v>41880</c:v>
                </c:pt>
                <c:pt idx="71">
                  <c:v>41879</c:v>
                </c:pt>
                <c:pt idx="72">
                  <c:v>41878</c:v>
                </c:pt>
                <c:pt idx="73">
                  <c:v>41877</c:v>
                </c:pt>
                <c:pt idx="74">
                  <c:v>41876</c:v>
                </c:pt>
                <c:pt idx="75">
                  <c:v>41873</c:v>
                </c:pt>
                <c:pt idx="76">
                  <c:v>41872</c:v>
                </c:pt>
                <c:pt idx="77">
                  <c:v>41871</c:v>
                </c:pt>
                <c:pt idx="78">
                  <c:v>41870</c:v>
                </c:pt>
                <c:pt idx="79">
                  <c:v>41869</c:v>
                </c:pt>
                <c:pt idx="80">
                  <c:v>41866</c:v>
                </c:pt>
                <c:pt idx="81">
                  <c:v>41865</c:v>
                </c:pt>
                <c:pt idx="82">
                  <c:v>41864</c:v>
                </c:pt>
                <c:pt idx="83">
                  <c:v>41863</c:v>
                </c:pt>
                <c:pt idx="84">
                  <c:v>41862</c:v>
                </c:pt>
                <c:pt idx="85">
                  <c:v>41859</c:v>
                </c:pt>
                <c:pt idx="86">
                  <c:v>41858</c:v>
                </c:pt>
                <c:pt idx="87">
                  <c:v>41857</c:v>
                </c:pt>
                <c:pt idx="88">
                  <c:v>41856</c:v>
                </c:pt>
                <c:pt idx="89">
                  <c:v>41855</c:v>
                </c:pt>
                <c:pt idx="90">
                  <c:v>41852</c:v>
                </c:pt>
                <c:pt idx="91">
                  <c:v>41851</c:v>
                </c:pt>
                <c:pt idx="92">
                  <c:v>41850</c:v>
                </c:pt>
                <c:pt idx="93">
                  <c:v>41849</c:v>
                </c:pt>
                <c:pt idx="94">
                  <c:v>41848</c:v>
                </c:pt>
                <c:pt idx="95">
                  <c:v>41845</c:v>
                </c:pt>
                <c:pt idx="96">
                  <c:v>41844</c:v>
                </c:pt>
                <c:pt idx="97">
                  <c:v>41843</c:v>
                </c:pt>
                <c:pt idx="98">
                  <c:v>41842</c:v>
                </c:pt>
                <c:pt idx="99">
                  <c:v>41841</c:v>
                </c:pt>
                <c:pt idx="100">
                  <c:v>41838</c:v>
                </c:pt>
                <c:pt idx="101">
                  <c:v>41837</c:v>
                </c:pt>
                <c:pt idx="102">
                  <c:v>41836</c:v>
                </c:pt>
                <c:pt idx="103">
                  <c:v>41835</c:v>
                </c:pt>
                <c:pt idx="104">
                  <c:v>41834</c:v>
                </c:pt>
                <c:pt idx="105">
                  <c:v>41831</c:v>
                </c:pt>
                <c:pt idx="106">
                  <c:v>41830</c:v>
                </c:pt>
                <c:pt idx="107">
                  <c:v>41829</c:v>
                </c:pt>
                <c:pt idx="108">
                  <c:v>41828</c:v>
                </c:pt>
                <c:pt idx="109">
                  <c:v>41827</c:v>
                </c:pt>
                <c:pt idx="110">
                  <c:v>41824</c:v>
                </c:pt>
                <c:pt idx="111">
                  <c:v>41823</c:v>
                </c:pt>
                <c:pt idx="112">
                  <c:v>41822</c:v>
                </c:pt>
                <c:pt idx="113">
                  <c:v>41821</c:v>
                </c:pt>
                <c:pt idx="114">
                  <c:v>41820</c:v>
                </c:pt>
                <c:pt idx="115">
                  <c:v>41817</c:v>
                </c:pt>
                <c:pt idx="116">
                  <c:v>41816</c:v>
                </c:pt>
                <c:pt idx="117">
                  <c:v>41815</c:v>
                </c:pt>
                <c:pt idx="118">
                  <c:v>41814</c:v>
                </c:pt>
                <c:pt idx="119">
                  <c:v>41813</c:v>
                </c:pt>
                <c:pt idx="120">
                  <c:v>41810</c:v>
                </c:pt>
                <c:pt idx="121">
                  <c:v>41809</c:v>
                </c:pt>
                <c:pt idx="122">
                  <c:v>41808</c:v>
                </c:pt>
                <c:pt idx="123">
                  <c:v>41807</c:v>
                </c:pt>
                <c:pt idx="124">
                  <c:v>41806</c:v>
                </c:pt>
                <c:pt idx="125">
                  <c:v>41803</c:v>
                </c:pt>
                <c:pt idx="126">
                  <c:v>41802</c:v>
                </c:pt>
                <c:pt idx="127">
                  <c:v>41801</c:v>
                </c:pt>
                <c:pt idx="128">
                  <c:v>41800</c:v>
                </c:pt>
                <c:pt idx="129">
                  <c:v>41799</c:v>
                </c:pt>
                <c:pt idx="130">
                  <c:v>41796</c:v>
                </c:pt>
                <c:pt idx="131">
                  <c:v>41795</c:v>
                </c:pt>
                <c:pt idx="132">
                  <c:v>41794</c:v>
                </c:pt>
                <c:pt idx="133">
                  <c:v>41793</c:v>
                </c:pt>
                <c:pt idx="134">
                  <c:v>41792</c:v>
                </c:pt>
                <c:pt idx="135">
                  <c:v>41789</c:v>
                </c:pt>
                <c:pt idx="136">
                  <c:v>41788</c:v>
                </c:pt>
                <c:pt idx="137">
                  <c:v>41787</c:v>
                </c:pt>
                <c:pt idx="138">
                  <c:v>41786</c:v>
                </c:pt>
                <c:pt idx="139">
                  <c:v>41785</c:v>
                </c:pt>
                <c:pt idx="140">
                  <c:v>41782</c:v>
                </c:pt>
                <c:pt idx="141">
                  <c:v>41781</c:v>
                </c:pt>
                <c:pt idx="142">
                  <c:v>41780</c:v>
                </c:pt>
                <c:pt idx="143">
                  <c:v>41779</c:v>
                </c:pt>
                <c:pt idx="144">
                  <c:v>41778</c:v>
                </c:pt>
                <c:pt idx="145">
                  <c:v>41775</c:v>
                </c:pt>
                <c:pt idx="146">
                  <c:v>41774</c:v>
                </c:pt>
                <c:pt idx="147">
                  <c:v>41773</c:v>
                </c:pt>
                <c:pt idx="148">
                  <c:v>41772</c:v>
                </c:pt>
                <c:pt idx="149">
                  <c:v>41771</c:v>
                </c:pt>
                <c:pt idx="150">
                  <c:v>41768</c:v>
                </c:pt>
                <c:pt idx="151">
                  <c:v>41767</c:v>
                </c:pt>
                <c:pt idx="152">
                  <c:v>41766</c:v>
                </c:pt>
                <c:pt idx="153">
                  <c:v>41765</c:v>
                </c:pt>
                <c:pt idx="154">
                  <c:v>41764</c:v>
                </c:pt>
                <c:pt idx="155">
                  <c:v>41761</c:v>
                </c:pt>
                <c:pt idx="156">
                  <c:v>41760</c:v>
                </c:pt>
                <c:pt idx="157">
                  <c:v>41759</c:v>
                </c:pt>
                <c:pt idx="158">
                  <c:v>41758</c:v>
                </c:pt>
                <c:pt idx="159">
                  <c:v>41757</c:v>
                </c:pt>
                <c:pt idx="160">
                  <c:v>41754</c:v>
                </c:pt>
                <c:pt idx="161">
                  <c:v>41753</c:v>
                </c:pt>
                <c:pt idx="162">
                  <c:v>41752</c:v>
                </c:pt>
                <c:pt idx="163">
                  <c:v>41751</c:v>
                </c:pt>
                <c:pt idx="164">
                  <c:v>41750</c:v>
                </c:pt>
                <c:pt idx="165">
                  <c:v>41747</c:v>
                </c:pt>
                <c:pt idx="166">
                  <c:v>41746</c:v>
                </c:pt>
                <c:pt idx="167">
                  <c:v>41745</c:v>
                </c:pt>
                <c:pt idx="168">
                  <c:v>41744</c:v>
                </c:pt>
                <c:pt idx="169">
                  <c:v>41743</c:v>
                </c:pt>
                <c:pt idx="170">
                  <c:v>41740</c:v>
                </c:pt>
                <c:pt idx="171">
                  <c:v>41739</c:v>
                </c:pt>
                <c:pt idx="172">
                  <c:v>41738</c:v>
                </c:pt>
                <c:pt idx="173">
                  <c:v>41737</c:v>
                </c:pt>
                <c:pt idx="174">
                  <c:v>41736</c:v>
                </c:pt>
                <c:pt idx="175">
                  <c:v>41733</c:v>
                </c:pt>
                <c:pt idx="176">
                  <c:v>41732</c:v>
                </c:pt>
                <c:pt idx="177">
                  <c:v>41731</c:v>
                </c:pt>
                <c:pt idx="178">
                  <c:v>41730</c:v>
                </c:pt>
                <c:pt idx="179">
                  <c:v>41729</c:v>
                </c:pt>
                <c:pt idx="180">
                  <c:v>41726</c:v>
                </c:pt>
                <c:pt idx="181">
                  <c:v>41725</c:v>
                </c:pt>
                <c:pt idx="182">
                  <c:v>41724</c:v>
                </c:pt>
                <c:pt idx="183">
                  <c:v>41723</c:v>
                </c:pt>
                <c:pt idx="184">
                  <c:v>41722</c:v>
                </c:pt>
                <c:pt idx="185">
                  <c:v>41719</c:v>
                </c:pt>
                <c:pt idx="186">
                  <c:v>41718</c:v>
                </c:pt>
                <c:pt idx="187">
                  <c:v>41717</c:v>
                </c:pt>
                <c:pt idx="188">
                  <c:v>41716</c:v>
                </c:pt>
                <c:pt idx="189">
                  <c:v>41715</c:v>
                </c:pt>
                <c:pt idx="190">
                  <c:v>41712</c:v>
                </c:pt>
                <c:pt idx="191">
                  <c:v>41711</c:v>
                </c:pt>
                <c:pt idx="192">
                  <c:v>41710</c:v>
                </c:pt>
                <c:pt idx="193">
                  <c:v>41709</c:v>
                </c:pt>
                <c:pt idx="194">
                  <c:v>41708</c:v>
                </c:pt>
                <c:pt idx="195">
                  <c:v>41705</c:v>
                </c:pt>
                <c:pt idx="196">
                  <c:v>41704</c:v>
                </c:pt>
                <c:pt idx="197">
                  <c:v>41703</c:v>
                </c:pt>
                <c:pt idx="198">
                  <c:v>41702</c:v>
                </c:pt>
                <c:pt idx="199">
                  <c:v>41701</c:v>
                </c:pt>
                <c:pt idx="200">
                  <c:v>41698</c:v>
                </c:pt>
                <c:pt idx="201">
                  <c:v>41697</c:v>
                </c:pt>
                <c:pt idx="202">
                  <c:v>41696</c:v>
                </c:pt>
                <c:pt idx="203">
                  <c:v>41695</c:v>
                </c:pt>
                <c:pt idx="204">
                  <c:v>41694</c:v>
                </c:pt>
                <c:pt idx="205">
                  <c:v>41691</c:v>
                </c:pt>
                <c:pt idx="206">
                  <c:v>41690</c:v>
                </c:pt>
                <c:pt idx="207">
                  <c:v>41689</c:v>
                </c:pt>
                <c:pt idx="208">
                  <c:v>41688</c:v>
                </c:pt>
                <c:pt idx="209">
                  <c:v>41687</c:v>
                </c:pt>
                <c:pt idx="210">
                  <c:v>41684</c:v>
                </c:pt>
                <c:pt idx="211">
                  <c:v>41683</c:v>
                </c:pt>
                <c:pt idx="212">
                  <c:v>41682</c:v>
                </c:pt>
                <c:pt idx="213">
                  <c:v>41681</c:v>
                </c:pt>
                <c:pt idx="214">
                  <c:v>41680</c:v>
                </c:pt>
                <c:pt idx="215">
                  <c:v>41677</c:v>
                </c:pt>
                <c:pt idx="216">
                  <c:v>41676</c:v>
                </c:pt>
                <c:pt idx="217">
                  <c:v>41675</c:v>
                </c:pt>
                <c:pt idx="218">
                  <c:v>41674</c:v>
                </c:pt>
                <c:pt idx="219">
                  <c:v>41673</c:v>
                </c:pt>
                <c:pt idx="220">
                  <c:v>41670</c:v>
                </c:pt>
                <c:pt idx="221">
                  <c:v>41669</c:v>
                </c:pt>
                <c:pt idx="222">
                  <c:v>41668</c:v>
                </c:pt>
                <c:pt idx="223">
                  <c:v>41667</c:v>
                </c:pt>
                <c:pt idx="224">
                  <c:v>41666</c:v>
                </c:pt>
                <c:pt idx="225">
                  <c:v>41663</c:v>
                </c:pt>
                <c:pt idx="226">
                  <c:v>41662</c:v>
                </c:pt>
                <c:pt idx="227">
                  <c:v>41661</c:v>
                </c:pt>
                <c:pt idx="228">
                  <c:v>41660</c:v>
                </c:pt>
                <c:pt idx="229">
                  <c:v>41659</c:v>
                </c:pt>
                <c:pt idx="230">
                  <c:v>41656</c:v>
                </c:pt>
                <c:pt idx="231">
                  <c:v>41655</c:v>
                </c:pt>
                <c:pt idx="232">
                  <c:v>41654</c:v>
                </c:pt>
                <c:pt idx="233">
                  <c:v>41653</c:v>
                </c:pt>
                <c:pt idx="234">
                  <c:v>41652</c:v>
                </c:pt>
                <c:pt idx="235">
                  <c:v>41649</c:v>
                </c:pt>
                <c:pt idx="236">
                  <c:v>41648</c:v>
                </c:pt>
                <c:pt idx="237">
                  <c:v>41647</c:v>
                </c:pt>
                <c:pt idx="238">
                  <c:v>41646</c:v>
                </c:pt>
                <c:pt idx="239">
                  <c:v>41645</c:v>
                </c:pt>
                <c:pt idx="240">
                  <c:v>41642</c:v>
                </c:pt>
                <c:pt idx="241">
                  <c:v>41641</c:v>
                </c:pt>
                <c:pt idx="242">
                  <c:v>41640</c:v>
                </c:pt>
                <c:pt idx="243">
                  <c:v>41639</c:v>
                </c:pt>
                <c:pt idx="244">
                  <c:v>41638</c:v>
                </c:pt>
                <c:pt idx="245">
                  <c:v>41635</c:v>
                </c:pt>
                <c:pt idx="246">
                  <c:v>41634</c:v>
                </c:pt>
                <c:pt idx="247">
                  <c:v>41633</c:v>
                </c:pt>
                <c:pt idx="248">
                  <c:v>41632</c:v>
                </c:pt>
                <c:pt idx="249">
                  <c:v>41631</c:v>
                </c:pt>
                <c:pt idx="250">
                  <c:v>41628</c:v>
                </c:pt>
                <c:pt idx="251">
                  <c:v>41627</c:v>
                </c:pt>
                <c:pt idx="252">
                  <c:v>41626</c:v>
                </c:pt>
                <c:pt idx="253">
                  <c:v>41625</c:v>
                </c:pt>
                <c:pt idx="254">
                  <c:v>41624</c:v>
                </c:pt>
                <c:pt idx="255">
                  <c:v>41621</c:v>
                </c:pt>
                <c:pt idx="256">
                  <c:v>41620</c:v>
                </c:pt>
                <c:pt idx="257">
                  <c:v>41619</c:v>
                </c:pt>
                <c:pt idx="258">
                  <c:v>41618</c:v>
                </c:pt>
                <c:pt idx="259">
                  <c:v>41617</c:v>
                </c:pt>
                <c:pt idx="260">
                  <c:v>41614</c:v>
                </c:pt>
                <c:pt idx="261">
                  <c:v>41613</c:v>
                </c:pt>
                <c:pt idx="262">
                  <c:v>41612</c:v>
                </c:pt>
                <c:pt idx="263">
                  <c:v>41611</c:v>
                </c:pt>
                <c:pt idx="264">
                  <c:v>41610</c:v>
                </c:pt>
                <c:pt idx="265">
                  <c:v>41607</c:v>
                </c:pt>
                <c:pt idx="266">
                  <c:v>41606</c:v>
                </c:pt>
                <c:pt idx="267">
                  <c:v>41605</c:v>
                </c:pt>
                <c:pt idx="268">
                  <c:v>41604</c:v>
                </c:pt>
                <c:pt idx="269">
                  <c:v>41603</c:v>
                </c:pt>
                <c:pt idx="270" formatCode="#,##0.000">
                  <c:v>4.1269999999999998</c:v>
                </c:pt>
                <c:pt idx="271" formatCode="#,##0.000">
                  <c:v>4.13</c:v>
                </c:pt>
                <c:pt idx="272" formatCode="#,##0.000">
                  <c:v>4.1280000000000001</c:v>
                </c:pt>
                <c:pt idx="273" formatCode="#,##0.000">
                  <c:v>4.1150000000000002</c:v>
                </c:pt>
                <c:pt idx="274" formatCode="#,##0.000">
                  <c:v>4.101</c:v>
                </c:pt>
                <c:pt idx="275" formatCode="#,##0.000">
                  <c:v>4.1050000000000004</c:v>
                </c:pt>
                <c:pt idx="276" formatCode="#,##0.000">
                  <c:v>4.1059999999999999</c:v>
                </c:pt>
                <c:pt idx="277" formatCode="#,##0.000">
                  <c:v>4.1020000000000003</c:v>
                </c:pt>
                <c:pt idx="278" formatCode="#,##0.000">
                  <c:v>4.0940000000000003</c:v>
                </c:pt>
                <c:pt idx="279" formatCode="#,##0.000">
                  <c:v>4.0890000000000004</c:v>
                </c:pt>
                <c:pt idx="280" formatCode="#,##0.000">
                  <c:v>4.0999999999999996</c:v>
                </c:pt>
                <c:pt idx="281" formatCode="#,##0.000">
                  <c:v>4.0819999999999999</c:v>
                </c:pt>
                <c:pt idx="282" formatCode="#,##0.000">
                  <c:v>4.0220000000000002</c:v>
                </c:pt>
                <c:pt idx="283" formatCode="#,##0.000">
                  <c:v>4.0010000000000003</c:v>
                </c:pt>
                <c:pt idx="284" formatCode="#,##0.000">
                  <c:v>4</c:v>
                </c:pt>
                <c:pt idx="285" formatCode="#,##0.000">
                  <c:v>4.0149999999999997</c:v>
                </c:pt>
                <c:pt idx="286" formatCode="#,##0.000">
                  <c:v>4.0369999999999999</c:v>
                </c:pt>
                <c:pt idx="287" formatCode="#,##0.000">
                  <c:v>4.1139999999999999</c:v>
                </c:pt>
                <c:pt idx="288" formatCode="#,##0.000">
                  <c:v>4.1779999999999999</c:v>
                </c:pt>
                <c:pt idx="289" formatCode="#,##0.000">
                  <c:v>4.1909999999999998</c:v>
                </c:pt>
                <c:pt idx="290" formatCode="#,##0.000">
                  <c:v>4.2130000000000001</c:v>
                </c:pt>
                <c:pt idx="291" formatCode="#,##0.000">
                  <c:v>4.1689999999999996</c:v>
                </c:pt>
                <c:pt idx="292" formatCode="#,##0.000">
                  <c:v>4.1740000000000004</c:v>
                </c:pt>
                <c:pt idx="293" formatCode="#,##0.000">
                  <c:v>4.1660000000000004</c:v>
                </c:pt>
                <c:pt idx="294" formatCode="#,##0.000">
                  <c:v>4.1589999999999998</c:v>
                </c:pt>
                <c:pt idx="295" formatCode="#,##0.000">
                  <c:v>4.16</c:v>
                </c:pt>
                <c:pt idx="296" formatCode="#,##0.000">
                  <c:v>4.1989999999999998</c:v>
                </c:pt>
                <c:pt idx="297" formatCode="#,##0.000">
                  <c:v>4.1779999999999999</c:v>
                </c:pt>
                <c:pt idx="298" formatCode="#,##0.000">
                  <c:v>4.1980000000000004</c:v>
                </c:pt>
                <c:pt idx="299" formatCode="#,##0.000">
                  <c:v>4.2229999999999999</c:v>
                </c:pt>
                <c:pt idx="300" formatCode="#,##0.000">
                  <c:v>4.2439999999999998</c:v>
                </c:pt>
                <c:pt idx="301" formatCode="#,##0.000">
                  <c:v>4.2169999999999996</c:v>
                </c:pt>
                <c:pt idx="302" formatCode="#,##0.000">
                  <c:v>4.2279999999999998</c:v>
                </c:pt>
                <c:pt idx="303" formatCode="#,##0.000">
                  <c:v>4.266</c:v>
                </c:pt>
                <c:pt idx="304" formatCode="#,##0.000">
                  <c:v>4.3879999999999999</c:v>
                </c:pt>
                <c:pt idx="305" formatCode="#,##0.000">
                  <c:v>4.492</c:v>
                </c:pt>
                <c:pt idx="306" formatCode="#,##0.000">
                  <c:v>4.694</c:v>
                </c:pt>
                <c:pt idx="307" formatCode="#,##0.000">
                  <c:v>4.6459999999999999</c:v>
                </c:pt>
                <c:pt idx="308" formatCode="#,##0.000">
                  <c:v>4.6899999999999995</c:v>
                </c:pt>
                <c:pt idx="309" formatCode="#,##0.000">
                  <c:v>4.7370000000000001</c:v>
                </c:pt>
                <c:pt idx="310" formatCode="#,##0.000">
                  <c:v>4.71</c:v>
                </c:pt>
                <c:pt idx="311" formatCode="#,##0.000">
                  <c:v>4.6280000000000001</c:v>
                </c:pt>
                <c:pt idx="312" formatCode="#,##0.000">
                  <c:v>4.7649999999999997</c:v>
                </c:pt>
                <c:pt idx="313" formatCode="#,##0.000">
                  <c:v>4.7830000000000004</c:v>
                </c:pt>
                <c:pt idx="314" formatCode="#,##0.000">
                  <c:v>4.8029999999999999</c:v>
                </c:pt>
                <c:pt idx="315" formatCode="#,##0.000">
                  <c:v>4.8250000000000002</c:v>
                </c:pt>
                <c:pt idx="316" formatCode="#,##0.000">
                  <c:v>4.7859999999999996</c:v>
                </c:pt>
                <c:pt idx="317" formatCode="#,##0.000">
                  <c:v>4.6840000000000002</c:v>
                </c:pt>
                <c:pt idx="318" formatCode="#,##0.000">
                  <c:v>4.649</c:v>
                </c:pt>
                <c:pt idx="319" formatCode="#,##0.000">
                  <c:v>4.6399999999999997</c:v>
                </c:pt>
                <c:pt idx="320" formatCode="#,##0.000">
                  <c:v>4.4960000000000004</c:v>
                </c:pt>
                <c:pt idx="321" formatCode="#,##0.000">
                  <c:v>4.306</c:v>
                </c:pt>
                <c:pt idx="322" formatCode="#,##0.000">
                  <c:v>4.2249999999999996</c:v>
                </c:pt>
                <c:pt idx="323" formatCode="#,##0.000">
                  <c:v>4.2290000000000001</c:v>
                </c:pt>
                <c:pt idx="324" formatCode="#,##0.000">
                  <c:v>4.234</c:v>
                </c:pt>
                <c:pt idx="325" formatCode="#,##0.000">
                  <c:v>4.2629999999999999</c:v>
                </c:pt>
                <c:pt idx="326" formatCode="#,##0.000">
                  <c:v>4.32</c:v>
                </c:pt>
                <c:pt idx="327" formatCode="#,##0.000">
                  <c:v>4.3040000000000003</c:v>
                </c:pt>
                <c:pt idx="328" formatCode="#,##0.000">
                  <c:v>4.3179999999999996</c:v>
                </c:pt>
                <c:pt idx="329" formatCode="#,##0.000">
                  <c:v>4.3259999999999996</c:v>
                </c:pt>
                <c:pt idx="330" formatCode="#,##0.000">
                  <c:v>4.2949999999999999</c:v>
                </c:pt>
                <c:pt idx="331" formatCode="#,##0.000">
                  <c:v>4.1909999999999998</c:v>
                </c:pt>
                <c:pt idx="332" formatCode="#,##0.000">
                  <c:v>4.2039999999999997</c:v>
                </c:pt>
                <c:pt idx="333" formatCode="#,##0.000">
                  <c:v>4.1130000000000004</c:v>
                </c:pt>
                <c:pt idx="334" formatCode="#,##0.000">
                  <c:v>4.0979999999999999</c:v>
                </c:pt>
                <c:pt idx="335" formatCode="#,##0.000">
                  <c:v>4.173</c:v>
                </c:pt>
                <c:pt idx="336" formatCode="#,##0.000">
                  <c:v>4.1749999999999998</c:v>
                </c:pt>
                <c:pt idx="337" formatCode="#,##0.000">
                  <c:v>4.2249999999999996</c:v>
                </c:pt>
                <c:pt idx="338" formatCode="#,##0.000">
                  <c:v>4.2119999999999997</c:v>
                </c:pt>
                <c:pt idx="339" formatCode="#,##0.000">
                  <c:v>4.21</c:v>
                </c:pt>
                <c:pt idx="340" formatCode="#,##0.000">
                  <c:v>4.2050000000000001</c:v>
                </c:pt>
                <c:pt idx="341" formatCode="#,##0.000">
                  <c:v>4.2119999999999997</c:v>
                </c:pt>
                <c:pt idx="342" formatCode="#,##0.000">
                  <c:v>4.1580000000000004</c:v>
                </c:pt>
                <c:pt idx="343" formatCode="#,##0.000">
                  <c:v>4.24</c:v>
                </c:pt>
                <c:pt idx="344" formatCode="#,##0.000">
                  <c:v>4.2780000000000005</c:v>
                </c:pt>
                <c:pt idx="345" formatCode="#,##0.000">
                  <c:v>4.2510000000000003</c:v>
                </c:pt>
                <c:pt idx="346" formatCode="#,##0.000">
                  <c:v>4.1630000000000003</c:v>
                </c:pt>
                <c:pt idx="347" formatCode="#,##0.000">
                  <c:v>4.1079999999999997</c:v>
                </c:pt>
                <c:pt idx="348" formatCode="#,##0.000">
                  <c:v>4.077</c:v>
                </c:pt>
                <c:pt idx="349" formatCode="#,##0.000">
                  <c:v>4.0650000000000004</c:v>
                </c:pt>
                <c:pt idx="350" formatCode="#,##0.000">
                  <c:v>4.0549999999999997</c:v>
                </c:pt>
                <c:pt idx="351" formatCode="#,##0.000">
                  <c:v>4.2350000000000003</c:v>
                </c:pt>
                <c:pt idx="352" formatCode="#,##0.000">
                  <c:v>4.335</c:v>
                </c:pt>
                <c:pt idx="353" formatCode="#,##0.000">
                  <c:v>4.4180000000000001</c:v>
                </c:pt>
                <c:pt idx="354" formatCode="#,##0.000">
                  <c:v>4.5270000000000001</c:v>
                </c:pt>
                <c:pt idx="355" formatCode="#,##0.000">
                  <c:v>4.6210000000000004</c:v>
                </c:pt>
                <c:pt idx="356" formatCode="#,##0.000">
                  <c:v>4.601</c:v>
                </c:pt>
                <c:pt idx="357" formatCode="#,##0.000">
                  <c:v>4.5869999999999997</c:v>
                </c:pt>
                <c:pt idx="358" formatCode="#,##0.000">
                  <c:v>4.4269999999999996</c:v>
                </c:pt>
                <c:pt idx="359" formatCode="#,##0.000">
                  <c:v>4.367</c:v>
                </c:pt>
                <c:pt idx="360" formatCode="#,##0.000">
                  <c:v>4.34</c:v>
                </c:pt>
                <c:pt idx="361" formatCode="#,##0.000">
                  <c:v>4.1760000000000002</c:v>
                </c:pt>
                <c:pt idx="362" formatCode="#,##0.000">
                  <c:v>4.0129999999999999</c:v>
                </c:pt>
                <c:pt idx="363" formatCode="#,##0.000">
                  <c:v>4</c:v>
                </c:pt>
                <c:pt idx="364" formatCode="#,##0.000">
                  <c:v>4.0650000000000004</c:v>
                </c:pt>
                <c:pt idx="365" formatCode="#,##0.000">
                  <c:v>4.0529999999999999</c:v>
                </c:pt>
                <c:pt idx="366" formatCode="#,##0.000">
                  <c:v>4.0659999999999998</c:v>
                </c:pt>
                <c:pt idx="367" formatCode="#,##0.000">
                  <c:v>4.18</c:v>
                </c:pt>
                <c:pt idx="368" formatCode="#,##0.000">
                  <c:v>4.3469999999999995</c:v>
                </c:pt>
                <c:pt idx="369" formatCode="#,##0.000">
                  <c:v>4.4119999999999999</c:v>
                </c:pt>
                <c:pt idx="370" formatCode="#,##0.000">
                  <c:v>4.4359999999999999</c:v>
                </c:pt>
                <c:pt idx="371" formatCode="#,##0.000">
                  <c:v>4.4400000000000004</c:v>
                </c:pt>
                <c:pt idx="372" formatCode="#,##0.000">
                  <c:v>4.3310000000000004</c:v>
                </c:pt>
                <c:pt idx="373" formatCode="#,##0.000">
                  <c:v>4.3719999999999999</c:v>
                </c:pt>
                <c:pt idx="374" formatCode="#,##0.000">
                  <c:v>4.3259999999999996</c:v>
                </c:pt>
                <c:pt idx="375" formatCode="#,##0.000">
                  <c:v>4.1950000000000003</c:v>
                </c:pt>
                <c:pt idx="376" formatCode="#,##0.000">
                  <c:v>4.2409999999999997</c:v>
                </c:pt>
                <c:pt idx="377" formatCode="#,##0.000">
                  <c:v>4.1849999999999996</c:v>
                </c:pt>
                <c:pt idx="378" formatCode="#,##0.000">
                  <c:v>4.1440000000000001</c:v>
                </c:pt>
                <c:pt idx="379" formatCode="#,##0.000">
                  <c:v>4.1459999999999999</c:v>
                </c:pt>
                <c:pt idx="380" formatCode="#,##0.000">
                  <c:v>4.1459999999999999</c:v>
                </c:pt>
                <c:pt idx="381" formatCode="#,##0.000">
                  <c:v>4.1440000000000001</c:v>
                </c:pt>
                <c:pt idx="382" formatCode="#,##0.000">
                  <c:v>4.1340000000000003</c:v>
                </c:pt>
                <c:pt idx="383" formatCode="#,##0.000">
                  <c:v>4.1289999999999996</c:v>
                </c:pt>
                <c:pt idx="384" formatCode="#,##0.000">
                  <c:v>4.173</c:v>
                </c:pt>
                <c:pt idx="385" formatCode="#,##0.000">
                  <c:v>4.2370000000000001</c:v>
                </c:pt>
                <c:pt idx="386" formatCode="#,##0.000">
                  <c:v>4.2699999999999996</c:v>
                </c:pt>
                <c:pt idx="387" formatCode="#,##0.000">
                  <c:v>3.992</c:v>
                </c:pt>
                <c:pt idx="388" formatCode="#,##0.000">
                  <c:v>3.988</c:v>
                </c:pt>
                <c:pt idx="389" formatCode="#,##0.000">
                  <c:v>3.9939999999999998</c:v>
                </c:pt>
                <c:pt idx="390" formatCode="#,##0.000">
                  <c:v>3.9590000000000001</c:v>
                </c:pt>
                <c:pt idx="391" formatCode="#,##0.000">
                  <c:v>3.8929999999999998</c:v>
                </c:pt>
                <c:pt idx="392" formatCode="#,##0.000">
                  <c:v>3.8719999999999999</c:v>
                </c:pt>
                <c:pt idx="393" formatCode="#,##0.000">
                  <c:v>3.8660000000000001</c:v>
                </c:pt>
                <c:pt idx="394" formatCode="#,##0.000">
                  <c:v>3.8460000000000001</c:v>
                </c:pt>
                <c:pt idx="395" formatCode="#,##0.000">
                  <c:v>3.8040000000000003</c:v>
                </c:pt>
                <c:pt idx="396" formatCode="#,##0.000">
                  <c:v>3.7610000000000001</c:v>
                </c:pt>
                <c:pt idx="397" formatCode="#,##0.000">
                  <c:v>3.7669999999999999</c:v>
                </c:pt>
                <c:pt idx="398" formatCode="#,##0.000">
                  <c:v>3.7810000000000001</c:v>
                </c:pt>
                <c:pt idx="399" formatCode="#,##0.000">
                  <c:v>3.7679999999999998</c:v>
                </c:pt>
                <c:pt idx="400" formatCode="#,##0.000">
                  <c:v>3.8079999999999998</c:v>
                </c:pt>
                <c:pt idx="401" formatCode="#,##0.000">
                  <c:v>3.9569999999999999</c:v>
                </c:pt>
                <c:pt idx="402" formatCode="#,##0.000">
                  <c:v>3.9870000000000001</c:v>
                </c:pt>
                <c:pt idx="403" formatCode="#,##0.000">
                  <c:v>3.9359999999999999</c:v>
                </c:pt>
                <c:pt idx="404" formatCode="#,##0.000">
                  <c:v>3.87</c:v>
                </c:pt>
                <c:pt idx="405" formatCode="#,##0.000">
                  <c:v>3.9169999999999998</c:v>
                </c:pt>
                <c:pt idx="406" formatCode="#,##0.000">
                  <c:v>3.9550000000000001</c:v>
                </c:pt>
                <c:pt idx="407" formatCode="#,##0.000">
                  <c:v>4.0430000000000001</c:v>
                </c:pt>
                <c:pt idx="408" formatCode="#,##0.000">
                  <c:v>4.1790000000000003</c:v>
                </c:pt>
                <c:pt idx="409" formatCode="#,##0.000">
                  <c:v>4.2409999999999997</c:v>
                </c:pt>
                <c:pt idx="410" formatCode="#,##0.000">
                  <c:v>4.2439999999999998</c:v>
                </c:pt>
                <c:pt idx="411" formatCode="#,##0.000">
                  <c:v>4.2679999999999998</c:v>
                </c:pt>
                <c:pt idx="412" formatCode="#,##0.000">
                  <c:v>4.2359999999999998</c:v>
                </c:pt>
                <c:pt idx="413" formatCode="#,##0.000">
                  <c:v>4.1680000000000001</c:v>
                </c:pt>
                <c:pt idx="414" formatCode="#,##0.000">
                  <c:v>4.109</c:v>
                </c:pt>
                <c:pt idx="415" formatCode="#,##0.000">
                  <c:v>4.0570000000000004</c:v>
                </c:pt>
                <c:pt idx="416" formatCode="#,##0.000">
                  <c:v>3.9910000000000001</c:v>
                </c:pt>
                <c:pt idx="417" formatCode="#,##0.000">
                  <c:v>4.0170000000000003</c:v>
                </c:pt>
                <c:pt idx="418" formatCode="#,##0.000">
                  <c:v>4.07</c:v>
                </c:pt>
                <c:pt idx="419" formatCode="#,##0.000">
                  <c:v>4.1139999999999999</c:v>
                </c:pt>
                <c:pt idx="420" formatCode="#,##0.000">
                  <c:v>4.1479999999999997</c:v>
                </c:pt>
                <c:pt idx="421" formatCode="#,##0.000">
                  <c:v>4.1900000000000004</c:v>
                </c:pt>
                <c:pt idx="422" formatCode="#,##0.000">
                  <c:v>4.2439999999999998</c:v>
                </c:pt>
                <c:pt idx="423" formatCode="#,##0.000">
                  <c:v>4.3639999999999999</c:v>
                </c:pt>
                <c:pt idx="424" formatCode="#,##0.000">
                  <c:v>4.4580000000000002</c:v>
                </c:pt>
                <c:pt idx="425" formatCode="#,##0.000">
                  <c:v>4.4569999999999999</c:v>
                </c:pt>
                <c:pt idx="426" formatCode="#,##0.000">
                  <c:v>4.5259999999999998</c:v>
                </c:pt>
                <c:pt idx="427" formatCode="#,##0.000">
                  <c:v>4.5460000000000003</c:v>
                </c:pt>
                <c:pt idx="428" formatCode="#,##0.000">
                  <c:v>4.6079999999999997</c:v>
                </c:pt>
                <c:pt idx="429" formatCode="#,##0.000">
                  <c:v>4.694</c:v>
                </c:pt>
                <c:pt idx="430" formatCode="#,##0.000">
                  <c:v>4.6920000000000002</c:v>
                </c:pt>
                <c:pt idx="431" formatCode="#,##0.000">
                  <c:v>4.6459999999999999</c:v>
                </c:pt>
                <c:pt idx="432" formatCode="#,##0.000">
                  <c:v>4.6390000000000002</c:v>
                </c:pt>
                <c:pt idx="433" formatCode="#,##0.000">
                  <c:v>4.5830000000000002</c:v>
                </c:pt>
                <c:pt idx="434" formatCode="#,##0.000">
                  <c:v>4.5179999999999998</c:v>
                </c:pt>
                <c:pt idx="435" formatCode="#,##0.000">
                  <c:v>4.5529999999999999</c:v>
                </c:pt>
                <c:pt idx="436" formatCode="#,##0.000">
                  <c:v>4.57</c:v>
                </c:pt>
                <c:pt idx="437" formatCode="#,##0.000">
                  <c:v>4.5620000000000003</c:v>
                </c:pt>
                <c:pt idx="438" formatCode="#,##0.000">
                  <c:v>4.516</c:v>
                </c:pt>
                <c:pt idx="439" formatCode="#,##0.000">
                  <c:v>4.4790000000000001</c:v>
                </c:pt>
                <c:pt idx="440" formatCode="#,##0.000">
                  <c:v>4.4580000000000002</c:v>
                </c:pt>
                <c:pt idx="441" formatCode="#,##0.000">
                  <c:v>4.4450000000000003</c:v>
                </c:pt>
                <c:pt idx="442" formatCode="#,##0.000">
                  <c:v>4.5010000000000003</c:v>
                </c:pt>
                <c:pt idx="443" formatCode="#,##0.000">
                  <c:v>4.4930000000000003</c:v>
                </c:pt>
                <c:pt idx="444" formatCode="#,##0.000">
                  <c:v>4.5149999999999997</c:v>
                </c:pt>
                <c:pt idx="445" formatCode="#,##0.000">
                  <c:v>4.5140000000000002</c:v>
                </c:pt>
                <c:pt idx="446" formatCode="#,##0.000">
                  <c:v>4.5529999999999999</c:v>
                </c:pt>
                <c:pt idx="447" formatCode="#,##0.000">
                  <c:v>4.5010000000000003</c:v>
                </c:pt>
                <c:pt idx="448" formatCode="#,##0.000">
                  <c:v>4.4809999999999999</c:v>
                </c:pt>
                <c:pt idx="449" formatCode="#,##0.000">
                  <c:v>4.4219999999999997</c:v>
                </c:pt>
                <c:pt idx="450" formatCode="#,##0.000">
                  <c:v>4.4240000000000004</c:v>
                </c:pt>
                <c:pt idx="451" formatCode="#,##0.000">
                  <c:v>4.4459999999999997</c:v>
                </c:pt>
                <c:pt idx="452" formatCode="#,##0.000">
                  <c:v>4.4619999999999997</c:v>
                </c:pt>
                <c:pt idx="453" formatCode="#,##0.000">
                  <c:v>4.4719999999999995</c:v>
                </c:pt>
                <c:pt idx="454" formatCode="#,##0.000">
                  <c:v>4.4980000000000002</c:v>
                </c:pt>
                <c:pt idx="455" formatCode="#,##0.000">
                  <c:v>4.492</c:v>
                </c:pt>
                <c:pt idx="456" formatCode="#,##0.000">
                  <c:v>4.4809999999999999</c:v>
                </c:pt>
                <c:pt idx="457" formatCode="#,##0.000">
                  <c:v>4.4409999999999998</c:v>
                </c:pt>
                <c:pt idx="458" formatCode="#,##0.000">
                  <c:v>4.508</c:v>
                </c:pt>
                <c:pt idx="459" formatCode="#,##0.000">
                  <c:v>4.54</c:v>
                </c:pt>
                <c:pt idx="460" formatCode="#,##0.000">
                  <c:v>4.6630000000000003</c:v>
                </c:pt>
                <c:pt idx="461" formatCode="#,##0.000">
                  <c:v>4.6129999999999995</c:v>
                </c:pt>
                <c:pt idx="462" formatCode="#,##0.000">
                  <c:v>4.6260000000000003</c:v>
                </c:pt>
                <c:pt idx="463" formatCode="#,##0.000">
                  <c:v>4.5380000000000003</c:v>
                </c:pt>
                <c:pt idx="464" formatCode="#,##0.000">
                  <c:v>4.5979999999999999</c:v>
                </c:pt>
                <c:pt idx="465" formatCode="#,##0.000">
                  <c:v>4.5280000000000005</c:v>
                </c:pt>
                <c:pt idx="466" formatCode="#,##0.000">
                  <c:v>4.4480000000000004</c:v>
                </c:pt>
                <c:pt idx="467" formatCode="#,##0.000">
                  <c:v>4.5570000000000004</c:v>
                </c:pt>
                <c:pt idx="468" formatCode="#,##0.000">
                  <c:v>4.6399999999999997</c:v>
                </c:pt>
                <c:pt idx="469" formatCode="#,##0.000">
                  <c:v>4.66</c:v>
                </c:pt>
                <c:pt idx="470" formatCode="#,##0.000">
                  <c:v>4.4800000000000004</c:v>
                </c:pt>
                <c:pt idx="471" formatCode="#,##0.000">
                  <c:v>4.5380000000000003</c:v>
                </c:pt>
                <c:pt idx="472" formatCode="#,##0.000">
                  <c:v>4.5809999999999995</c:v>
                </c:pt>
                <c:pt idx="473" formatCode="#,##0.000">
                  <c:v>4.5869999999999997</c:v>
                </c:pt>
                <c:pt idx="474" formatCode="#,##0.000">
                  <c:v>4.6500000000000004</c:v>
                </c:pt>
                <c:pt idx="475" formatCode="#,##0.000">
                  <c:v>4.6980000000000004</c:v>
                </c:pt>
                <c:pt idx="476" formatCode="#,##0.000">
                  <c:v>4.7889999999999997</c:v>
                </c:pt>
                <c:pt idx="477" formatCode="#,##0.000">
                  <c:v>4.8120000000000003</c:v>
                </c:pt>
                <c:pt idx="478" formatCode="#,##0.000">
                  <c:v>4.8129999999999997</c:v>
                </c:pt>
                <c:pt idx="479" formatCode="#,##0.000">
                  <c:v>4.8380000000000001</c:v>
                </c:pt>
                <c:pt idx="480" formatCode="#,##0.000">
                  <c:v>4.8959999999999999</c:v>
                </c:pt>
                <c:pt idx="481" formatCode="#,##0.000">
                  <c:v>4.9290000000000003</c:v>
                </c:pt>
                <c:pt idx="482" formatCode="#,##0.000">
                  <c:v>4.8220000000000001</c:v>
                </c:pt>
                <c:pt idx="483" formatCode="#,##0.000">
                  <c:v>4.7300000000000004</c:v>
                </c:pt>
                <c:pt idx="484" formatCode="#,##0.000">
                  <c:v>4.6779999999999999</c:v>
                </c:pt>
                <c:pt idx="485" formatCode="#,##0.000">
                  <c:v>4.6660000000000004</c:v>
                </c:pt>
                <c:pt idx="486" formatCode="#,##0.000">
                  <c:v>4.7770000000000001</c:v>
                </c:pt>
                <c:pt idx="487" formatCode="#,##0.000">
                  <c:v>4.883</c:v>
                </c:pt>
                <c:pt idx="488" formatCode="#,##0.000">
                  <c:v>5.0469999999999997</c:v>
                </c:pt>
                <c:pt idx="489" formatCode="#,##0.000">
                  <c:v>5.2830000000000004</c:v>
                </c:pt>
                <c:pt idx="490" formatCode="#,##0.000">
                  <c:v>5.36</c:v>
                </c:pt>
                <c:pt idx="491" formatCode="#,##0.000">
                  <c:v>5.3150000000000004</c:v>
                </c:pt>
                <c:pt idx="492" formatCode="#,##0.000">
                  <c:v>5.2270000000000003</c:v>
                </c:pt>
                <c:pt idx="493" formatCode="#,##0.000">
                  <c:v>5.0880000000000001</c:v>
                </c:pt>
                <c:pt idx="494" formatCode="#,##0.000">
                  <c:v>5.1120000000000001</c:v>
                </c:pt>
                <c:pt idx="495" formatCode="#,##0.000">
                  <c:v>5.0739999999999998</c:v>
                </c:pt>
                <c:pt idx="496" formatCode="#,##0.000">
                  <c:v>4.83</c:v>
                </c:pt>
                <c:pt idx="497" formatCode="#,##0.000">
                  <c:v>4.7350000000000003</c:v>
                </c:pt>
                <c:pt idx="498" formatCode="#,##0.000">
                  <c:v>4.7649999999999997</c:v>
                </c:pt>
                <c:pt idx="499" formatCode="#,##0.000">
                  <c:v>4.758</c:v>
                </c:pt>
                <c:pt idx="500" formatCode="#,##0.000">
                  <c:v>4.7489999999999997</c:v>
                </c:pt>
                <c:pt idx="501" formatCode="#,##0.000">
                  <c:v>4.7009999999999996</c:v>
                </c:pt>
                <c:pt idx="502" formatCode="#,##0.000">
                  <c:v>4.774</c:v>
                </c:pt>
                <c:pt idx="503" formatCode="#,##0.000">
                  <c:v>4.9370000000000003</c:v>
                </c:pt>
                <c:pt idx="504" formatCode="#,##0.000">
                  <c:v>5.0289999999999999</c:v>
                </c:pt>
                <c:pt idx="505" formatCode="#,##0.000">
                  <c:v>5.085</c:v>
                </c:pt>
                <c:pt idx="506" formatCode="#,##0.000">
                  <c:v>5.1820000000000004</c:v>
                </c:pt>
                <c:pt idx="507" formatCode="#,##0.000">
                  <c:v>5.173</c:v>
                </c:pt>
                <c:pt idx="508" formatCode="#,##0.000">
                  <c:v>5.2119999999999997</c:v>
                </c:pt>
                <c:pt idx="509" formatCode="#,##0.000">
                  <c:v>5.28</c:v>
                </c:pt>
                <c:pt idx="510" formatCode="#,##0.000">
                  <c:v>5.415</c:v>
                </c:pt>
                <c:pt idx="511" formatCode="#,##0.000">
                  <c:v>5.4420000000000002</c:v>
                </c:pt>
                <c:pt idx="512" formatCode="#,##0.000">
                  <c:v>5.4640000000000004</c:v>
                </c:pt>
                <c:pt idx="513" formatCode="#,##0.000">
                  <c:v>5.4649999999999999</c:v>
                </c:pt>
                <c:pt idx="514" formatCode="#,##0.000">
                  <c:v>5.47</c:v>
                </c:pt>
                <c:pt idx="515" formatCode="#,##0.000">
                  <c:v>5.4909999999999997</c:v>
                </c:pt>
                <c:pt idx="516" formatCode="#,##0.000">
                  <c:v>5.4930000000000003</c:v>
                </c:pt>
                <c:pt idx="517" formatCode="#,##0.000">
                  <c:v>5.492</c:v>
                </c:pt>
                <c:pt idx="518" formatCode="#,##0.000">
                  <c:v>5.4740000000000002</c:v>
                </c:pt>
                <c:pt idx="519" formatCode="#,##0.000">
                  <c:v>5.4710000000000001</c:v>
                </c:pt>
                <c:pt idx="520" formatCode="#,##0.000">
                  <c:v>5.4779999999999998</c:v>
                </c:pt>
                <c:pt idx="521" formatCode="#,##0.000">
                  <c:v>5.4960000000000004</c:v>
                </c:pt>
                <c:pt idx="522" formatCode="#,##0.000">
                  <c:v>5.5179999999999998</c:v>
                </c:pt>
                <c:pt idx="523" formatCode="#,##0.000">
                  <c:v>5.5309999999999997</c:v>
                </c:pt>
                <c:pt idx="524" formatCode="#,##0.000">
                  <c:v>5.5410000000000004</c:v>
                </c:pt>
                <c:pt idx="525" formatCode="#,##0.000">
                  <c:v>5.569</c:v>
                </c:pt>
                <c:pt idx="526" formatCode="#,##0.000">
                  <c:v>5.57</c:v>
                </c:pt>
                <c:pt idx="527" formatCode="#,##0.000">
                  <c:v>5.5440000000000005</c:v>
                </c:pt>
                <c:pt idx="528" formatCode="#,##0.000">
                  <c:v>5.5430000000000001</c:v>
                </c:pt>
                <c:pt idx="529" formatCode="#,##0.000">
                  <c:v>5.5890000000000004</c:v>
                </c:pt>
                <c:pt idx="530" formatCode="#,##0.000">
                  <c:v>5.63</c:v>
                </c:pt>
                <c:pt idx="531" formatCode="#,##0.000">
                  <c:v>5.6550000000000002</c:v>
                </c:pt>
                <c:pt idx="532" formatCode="#,##0.000">
                  <c:v>5.6790000000000003</c:v>
                </c:pt>
                <c:pt idx="533" formatCode="#,##0.000">
                  <c:v>5.6690000000000005</c:v>
                </c:pt>
                <c:pt idx="534" formatCode="#,##0.000">
                  <c:v>5.6719999999999997</c:v>
                </c:pt>
                <c:pt idx="535" formatCode="#,##0.000">
                  <c:v>5.6120000000000001</c:v>
                </c:pt>
                <c:pt idx="536" formatCode="#,##0.000">
                  <c:v>5.6210000000000004</c:v>
                </c:pt>
                <c:pt idx="537" formatCode="#,##0.000">
                  <c:v>5.6139999999999999</c:v>
                </c:pt>
                <c:pt idx="538" formatCode="#,##0.000">
                  <c:v>5.6040000000000001</c:v>
                </c:pt>
                <c:pt idx="539" formatCode="#,##0.000">
                  <c:v>5.5629999999999997</c:v>
                </c:pt>
              </c:numCache>
            </c:numRef>
          </c:cat>
          <c:val>
            <c:numRef>
              <c:f>'[Copy of Strategija radna tabela.xlsx]Eurobond'!$P$6:$P$275</c:f>
              <c:numCache>
                <c:formatCode>#,##0.000</c:formatCode>
                <c:ptCount val="270"/>
                <c:pt idx="0">
                  <c:v>4.1269999999999998</c:v>
                </c:pt>
                <c:pt idx="1">
                  <c:v>4.13</c:v>
                </c:pt>
                <c:pt idx="2">
                  <c:v>4.1280000000000001</c:v>
                </c:pt>
                <c:pt idx="3">
                  <c:v>4.1150000000000002</c:v>
                </c:pt>
                <c:pt idx="4">
                  <c:v>4.101</c:v>
                </c:pt>
                <c:pt idx="5">
                  <c:v>4.1050000000000004</c:v>
                </c:pt>
                <c:pt idx="6">
                  <c:v>4.1059999999999999</c:v>
                </c:pt>
                <c:pt idx="7">
                  <c:v>4.1020000000000003</c:v>
                </c:pt>
                <c:pt idx="8">
                  <c:v>4.0940000000000003</c:v>
                </c:pt>
                <c:pt idx="9">
                  <c:v>4.0890000000000004</c:v>
                </c:pt>
                <c:pt idx="10">
                  <c:v>4.0999999999999996</c:v>
                </c:pt>
                <c:pt idx="11">
                  <c:v>4.0819999999999999</c:v>
                </c:pt>
                <c:pt idx="12">
                  <c:v>4.0220000000000002</c:v>
                </c:pt>
                <c:pt idx="13">
                  <c:v>4.0010000000000003</c:v>
                </c:pt>
                <c:pt idx="14">
                  <c:v>4</c:v>
                </c:pt>
                <c:pt idx="15">
                  <c:v>4.0149999999999997</c:v>
                </c:pt>
                <c:pt idx="16">
                  <c:v>4.0369999999999999</c:v>
                </c:pt>
                <c:pt idx="17">
                  <c:v>4.1139999999999999</c:v>
                </c:pt>
                <c:pt idx="18">
                  <c:v>4.1779999999999999</c:v>
                </c:pt>
                <c:pt idx="19">
                  <c:v>4.1909999999999998</c:v>
                </c:pt>
                <c:pt idx="20">
                  <c:v>4.2130000000000001</c:v>
                </c:pt>
                <c:pt idx="21">
                  <c:v>4.1689999999999996</c:v>
                </c:pt>
                <c:pt idx="22">
                  <c:v>4.1740000000000004</c:v>
                </c:pt>
                <c:pt idx="23">
                  <c:v>4.1660000000000004</c:v>
                </c:pt>
                <c:pt idx="24">
                  <c:v>4.1589999999999998</c:v>
                </c:pt>
                <c:pt idx="25">
                  <c:v>4.16</c:v>
                </c:pt>
                <c:pt idx="26">
                  <c:v>4.1989999999999998</c:v>
                </c:pt>
                <c:pt idx="27">
                  <c:v>4.1779999999999999</c:v>
                </c:pt>
                <c:pt idx="28">
                  <c:v>4.1980000000000004</c:v>
                </c:pt>
                <c:pt idx="29">
                  <c:v>4.2229999999999999</c:v>
                </c:pt>
                <c:pt idx="30">
                  <c:v>4.2439999999999998</c:v>
                </c:pt>
                <c:pt idx="31">
                  <c:v>4.2169999999999996</c:v>
                </c:pt>
                <c:pt idx="32">
                  <c:v>4.2279999999999998</c:v>
                </c:pt>
                <c:pt idx="33">
                  <c:v>4.266</c:v>
                </c:pt>
                <c:pt idx="34">
                  <c:v>4.3879999999999999</c:v>
                </c:pt>
                <c:pt idx="35">
                  <c:v>4.492</c:v>
                </c:pt>
                <c:pt idx="36">
                  <c:v>4.694</c:v>
                </c:pt>
                <c:pt idx="37">
                  <c:v>4.6459999999999999</c:v>
                </c:pt>
                <c:pt idx="38">
                  <c:v>4.6899999999999995</c:v>
                </c:pt>
                <c:pt idx="39">
                  <c:v>4.7370000000000001</c:v>
                </c:pt>
                <c:pt idx="40">
                  <c:v>4.71</c:v>
                </c:pt>
                <c:pt idx="41">
                  <c:v>4.6280000000000001</c:v>
                </c:pt>
                <c:pt idx="42">
                  <c:v>4.7649999999999997</c:v>
                </c:pt>
                <c:pt idx="43">
                  <c:v>4.7830000000000004</c:v>
                </c:pt>
                <c:pt idx="44">
                  <c:v>4.8029999999999999</c:v>
                </c:pt>
                <c:pt idx="45">
                  <c:v>4.8250000000000002</c:v>
                </c:pt>
                <c:pt idx="46">
                  <c:v>4.7859999999999996</c:v>
                </c:pt>
                <c:pt idx="47">
                  <c:v>4.6840000000000002</c:v>
                </c:pt>
                <c:pt idx="48">
                  <c:v>4.649</c:v>
                </c:pt>
                <c:pt idx="49">
                  <c:v>4.6399999999999997</c:v>
                </c:pt>
                <c:pt idx="50">
                  <c:v>4.4960000000000004</c:v>
                </c:pt>
                <c:pt idx="51">
                  <c:v>4.306</c:v>
                </c:pt>
                <c:pt idx="52">
                  <c:v>4.2249999999999996</c:v>
                </c:pt>
                <c:pt idx="53">
                  <c:v>4.2290000000000001</c:v>
                </c:pt>
                <c:pt idx="54">
                  <c:v>4.234</c:v>
                </c:pt>
                <c:pt idx="55">
                  <c:v>4.2629999999999999</c:v>
                </c:pt>
                <c:pt idx="56">
                  <c:v>4.32</c:v>
                </c:pt>
                <c:pt idx="57">
                  <c:v>4.3040000000000003</c:v>
                </c:pt>
                <c:pt idx="58">
                  <c:v>4.3179999999999996</c:v>
                </c:pt>
                <c:pt idx="59">
                  <c:v>4.3259999999999996</c:v>
                </c:pt>
                <c:pt idx="60">
                  <c:v>4.2949999999999999</c:v>
                </c:pt>
                <c:pt idx="61">
                  <c:v>4.1909999999999998</c:v>
                </c:pt>
                <c:pt idx="62">
                  <c:v>4.2039999999999997</c:v>
                </c:pt>
                <c:pt idx="63">
                  <c:v>4.1130000000000004</c:v>
                </c:pt>
                <c:pt idx="64">
                  <c:v>4.0979999999999999</c:v>
                </c:pt>
                <c:pt idx="65">
                  <c:v>4.173</c:v>
                </c:pt>
                <c:pt idx="66">
                  <c:v>4.1749999999999998</c:v>
                </c:pt>
                <c:pt idx="67">
                  <c:v>4.2249999999999996</c:v>
                </c:pt>
                <c:pt idx="68">
                  <c:v>4.2119999999999997</c:v>
                </c:pt>
                <c:pt idx="69">
                  <c:v>4.21</c:v>
                </c:pt>
                <c:pt idx="70">
                  <c:v>4.2050000000000001</c:v>
                </c:pt>
                <c:pt idx="71">
                  <c:v>4.2119999999999997</c:v>
                </c:pt>
                <c:pt idx="72">
                  <c:v>4.1580000000000004</c:v>
                </c:pt>
                <c:pt idx="73">
                  <c:v>4.24</c:v>
                </c:pt>
                <c:pt idx="74">
                  <c:v>4.2780000000000005</c:v>
                </c:pt>
                <c:pt idx="75">
                  <c:v>4.2510000000000003</c:v>
                </c:pt>
                <c:pt idx="76">
                  <c:v>4.1630000000000003</c:v>
                </c:pt>
                <c:pt idx="77">
                  <c:v>4.1079999999999997</c:v>
                </c:pt>
                <c:pt idx="78">
                  <c:v>4.077</c:v>
                </c:pt>
                <c:pt idx="79">
                  <c:v>4.0650000000000004</c:v>
                </c:pt>
                <c:pt idx="80">
                  <c:v>4.0549999999999997</c:v>
                </c:pt>
                <c:pt idx="81">
                  <c:v>4.2350000000000003</c:v>
                </c:pt>
                <c:pt idx="82">
                  <c:v>4.335</c:v>
                </c:pt>
                <c:pt idx="83">
                  <c:v>4.4180000000000001</c:v>
                </c:pt>
                <c:pt idx="84">
                  <c:v>4.5270000000000001</c:v>
                </c:pt>
                <c:pt idx="85">
                  <c:v>4.6210000000000004</c:v>
                </c:pt>
                <c:pt idx="86">
                  <c:v>4.601</c:v>
                </c:pt>
                <c:pt idx="87">
                  <c:v>4.5869999999999997</c:v>
                </c:pt>
                <c:pt idx="88">
                  <c:v>4.4269999999999996</c:v>
                </c:pt>
                <c:pt idx="89">
                  <c:v>4.367</c:v>
                </c:pt>
                <c:pt idx="90">
                  <c:v>4.34</c:v>
                </c:pt>
                <c:pt idx="91">
                  <c:v>4.1760000000000002</c:v>
                </c:pt>
                <c:pt idx="92">
                  <c:v>4.0129999999999999</c:v>
                </c:pt>
                <c:pt idx="93">
                  <c:v>4</c:v>
                </c:pt>
                <c:pt idx="94">
                  <c:v>4.0650000000000004</c:v>
                </c:pt>
                <c:pt idx="95">
                  <c:v>4.0529999999999999</c:v>
                </c:pt>
                <c:pt idx="96">
                  <c:v>4.0659999999999998</c:v>
                </c:pt>
                <c:pt idx="97">
                  <c:v>4.18</c:v>
                </c:pt>
                <c:pt idx="98">
                  <c:v>4.3469999999999995</c:v>
                </c:pt>
                <c:pt idx="99">
                  <c:v>4.4119999999999999</c:v>
                </c:pt>
                <c:pt idx="100">
                  <c:v>4.4359999999999999</c:v>
                </c:pt>
                <c:pt idx="101">
                  <c:v>4.4400000000000004</c:v>
                </c:pt>
                <c:pt idx="102">
                  <c:v>4.3310000000000004</c:v>
                </c:pt>
                <c:pt idx="103">
                  <c:v>4.3719999999999999</c:v>
                </c:pt>
                <c:pt idx="104">
                  <c:v>4.3259999999999996</c:v>
                </c:pt>
                <c:pt idx="105">
                  <c:v>4.1950000000000003</c:v>
                </c:pt>
                <c:pt idx="106">
                  <c:v>4.2409999999999997</c:v>
                </c:pt>
                <c:pt idx="107">
                  <c:v>4.1849999999999996</c:v>
                </c:pt>
                <c:pt idx="108">
                  <c:v>4.1440000000000001</c:v>
                </c:pt>
                <c:pt idx="109">
                  <c:v>4.1459999999999999</c:v>
                </c:pt>
                <c:pt idx="110">
                  <c:v>4.1459999999999999</c:v>
                </c:pt>
                <c:pt idx="111">
                  <c:v>4.1440000000000001</c:v>
                </c:pt>
                <c:pt idx="112">
                  <c:v>4.1340000000000003</c:v>
                </c:pt>
                <c:pt idx="113">
                  <c:v>4.1289999999999996</c:v>
                </c:pt>
                <c:pt idx="114">
                  <c:v>4.173</c:v>
                </c:pt>
                <c:pt idx="115">
                  <c:v>4.2370000000000001</c:v>
                </c:pt>
                <c:pt idx="116">
                  <c:v>4.2699999999999996</c:v>
                </c:pt>
                <c:pt idx="117">
                  <c:v>3.992</c:v>
                </c:pt>
                <c:pt idx="118">
                  <c:v>3.988</c:v>
                </c:pt>
                <c:pt idx="119">
                  <c:v>3.9939999999999998</c:v>
                </c:pt>
                <c:pt idx="120">
                  <c:v>3.9590000000000001</c:v>
                </c:pt>
                <c:pt idx="121">
                  <c:v>3.8929999999999998</c:v>
                </c:pt>
                <c:pt idx="122">
                  <c:v>3.8719999999999999</c:v>
                </c:pt>
                <c:pt idx="123">
                  <c:v>3.8660000000000001</c:v>
                </c:pt>
                <c:pt idx="124">
                  <c:v>3.8460000000000001</c:v>
                </c:pt>
                <c:pt idx="125">
                  <c:v>3.8040000000000003</c:v>
                </c:pt>
                <c:pt idx="126">
                  <c:v>3.7610000000000001</c:v>
                </c:pt>
                <c:pt idx="127">
                  <c:v>3.7669999999999999</c:v>
                </c:pt>
                <c:pt idx="128">
                  <c:v>3.7810000000000001</c:v>
                </c:pt>
                <c:pt idx="129">
                  <c:v>3.7679999999999998</c:v>
                </c:pt>
                <c:pt idx="130">
                  <c:v>3.8079999999999998</c:v>
                </c:pt>
                <c:pt idx="131">
                  <c:v>3.9569999999999999</c:v>
                </c:pt>
                <c:pt idx="132">
                  <c:v>3.9870000000000001</c:v>
                </c:pt>
                <c:pt idx="133">
                  <c:v>3.9359999999999999</c:v>
                </c:pt>
                <c:pt idx="134">
                  <c:v>3.87</c:v>
                </c:pt>
                <c:pt idx="135">
                  <c:v>3.9169999999999998</c:v>
                </c:pt>
                <c:pt idx="136">
                  <c:v>3.9550000000000001</c:v>
                </c:pt>
                <c:pt idx="137">
                  <c:v>4.0430000000000001</c:v>
                </c:pt>
                <c:pt idx="138">
                  <c:v>4.1790000000000003</c:v>
                </c:pt>
                <c:pt idx="139">
                  <c:v>4.2409999999999997</c:v>
                </c:pt>
                <c:pt idx="140">
                  <c:v>4.2439999999999998</c:v>
                </c:pt>
                <c:pt idx="141">
                  <c:v>4.2679999999999998</c:v>
                </c:pt>
                <c:pt idx="142">
                  <c:v>4.2359999999999998</c:v>
                </c:pt>
                <c:pt idx="143">
                  <c:v>4.1680000000000001</c:v>
                </c:pt>
                <c:pt idx="144">
                  <c:v>4.109</c:v>
                </c:pt>
                <c:pt idx="145">
                  <c:v>4.0570000000000004</c:v>
                </c:pt>
                <c:pt idx="146">
                  <c:v>3.9910000000000001</c:v>
                </c:pt>
                <c:pt idx="147">
                  <c:v>4.0170000000000003</c:v>
                </c:pt>
                <c:pt idx="148">
                  <c:v>4.07</c:v>
                </c:pt>
                <c:pt idx="149">
                  <c:v>4.1139999999999999</c:v>
                </c:pt>
                <c:pt idx="150">
                  <c:v>4.1479999999999997</c:v>
                </c:pt>
                <c:pt idx="151">
                  <c:v>4.1900000000000004</c:v>
                </c:pt>
                <c:pt idx="152">
                  <c:v>4.2439999999999998</c:v>
                </c:pt>
                <c:pt idx="153">
                  <c:v>4.3639999999999999</c:v>
                </c:pt>
                <c:pt idx="154">
                  <c:v>4.4580000000000002</c:v>
                </c:pt>
                <c:pt idx="155">
                  <c:v>4.4569999999999999</c:v>
                </c:pt>
                <c:pt idx="156">
                  <c:v>4.5259999999999998</c:v>
                </c:pt>
                <c:pt idx="157">
                  <c:v>4.5460000000000003</c:v>
                </c:pt>
                <c:pt idx="158">
                  <c:v>4.6079999999999997</c:v>
                </c:pt>
                <c:pt idx="159">
                  <c:v>4.694</c:v>
                </c:pt>
                <c:pt idx="160">
                  <c:v>4.6920000000000002</c:v>
                </c:pt>
                <c:pt idx="161">
                  <c:v>4.6459999999999999</c:v>
                </c:pt>
                <c:pt idx="162">
                  <c:v>4.6390000000000002</c:v>
                </c:pt>
                <c:pt idx="163">
                  <c:v>4.5830000000000002</c:v>
                </c:pt>
                <c:pt idx="164">
                  <c:v>4.5179999999999998</c:v>
                </c:pt>
                <c:pt idx="165">
                  <c:v>4.5529999999999999</c:v>
                </c:pt>
                <c:pt idx="166">
                  <c:v>4.57</c:v>
                </c:pt>
                <c:pt idx="167">
                  <c:v>4.5620000000000003</c:v>
                </c:pt>
                <c:pt idx="168">
                  <c:v>4.516</c:v>
                </c:pt>
                <c:pt idx="169">
                  <c:v>4.4790000000000001</c:v>
                </c:pt>
                <c:pt idx="170">
                  <c:v>4.4580000000000002</c:v>
                </c:pt>
                <c:pt idx="171">
                  <c:v>4.4450000000000003</c:v>
                </c:pt>
                <c:pt idx="172">
                  <c:v>4.5010000000000003</c:v>
                </c:pt>
                <c:pt idx="173">
                  <c:v>4.4930000000000003</c:v>
                </c:pt>
                <c:pt idx="174">
                  <c:v>4.5149999999999997</c:v>
                </c:pt>
                <c:pt idx="175">
                  <c:v>4.5140000000000002</c:v>
                </c:pt>
                <c:pt idx="176">
                  <c:v>4.5529999999999999</c:v>
                </c:pt>
                <c:pt idx="177">
                  <c:v>4.5010000000000003</c:v>
                </c:pt>
                <c:pt idx="178">
                  <c:v>4.4809999999999999</c:v>
                </c:pt>
                <c:pt idx="179">
                  <c:v>4.4219999999999997</c:v>
                </c:pt>
                <c:pt idx="180">
                  <c:v>4.4240000000000004</c:v>
                </c:pt>
                <c:pt idx="181">
                  <c:v>4.4459999999999997</c:v>
                </c:pt>
                <c:pt idx="182">
                  <c:v>4.4619999999999997</c:v>
                </c:pt>
                <c:pt idx="183">
                  <c:v>4.4719999999999995</c:v>
                </c:pt>
                <c:pt idx="184">
                  <c:v>4.4980000000000002</c:v>
                </c:pt>
                <c:pt idx="185">
                  <c:v>4.492</c:v>
                </c:pt>
                <c:pt idx="186">
                  <c:v>4.4809999999999999</c:v>
                </c:pt>
                <c:pt idx="187">
                  <c:v>4.4409999999999998</c:v>
                </c:pt>
                <c:pt idx="188">
                  <c:v>4.508</c:v>
                </c:pt>
                <c:pt idx="189">
                  <c:v>4.54</c:v>
                </c:pt>
                <c:pt idx="190">
                  <c:v>4.6630000000000003</c:v>
                </c:pt>
                <c:pt idx="191">
                  <c:v>4.6129999999999995</c:v>
                </c:pt>
                <c:pt idx="192">
                  <c:v>4.6260000000000003</c:v>
                </c:pt>
                <c:pt idx="193">
                  <c:v>4.5380000000000003</c:v>
                </c:pt>
                <c:pt idx="194">
                  <c:v>4.5979999999999999</c:v>
                </c:pt>
                <c:pt idx="195">
                  <c:v>4.5280000000000005</c:v>
                </c:pt>
                <c:pt idx="196">
                  <c:v>4.4480000000000004</c:v>
                </c:pt>
                <c:pt idx="197">
                  <c:v>4.5570000000000004</c:v>
                </c:pt>
                <c:pt idx="198">
                  <c:v>4.6399999999999997</c:v>
                </c:pt>
                <c:pt idx="199">
                  <c:v>4.66</c:v>
                </c:pt>
                <c:pt idx="200">
                  <c:v>4.4800000000000004</c:v>
                </c:pt>
                <c:pt idx="201">
                  <c:v>4.5380000000000003</c:v>
                </c:pt>
                <c:pt idx="202">
                  <c:v>4.5809999999999995</c:v>
                </c:pt>
                <c:pt idx="203">
                  <c:v>4.5869999999999997</c:v>
                </c:pt>
                <c:pt idx="204">
                  <c:v>4.6500000000000004</c:v>
                </c:pt>
                <c:pt idx="205">
                  <c:v>4.6980000000000004</c:v>
                </c:pt>
                <c:pt idx="206">
                  <c:v>4.7889999999999997</c:v>
                </c:pt>
                <c:pt idx="207">
                  <c:v>4.8120000000000003</c:v>
                </c:pt>
                <c:pt idx="208">
                  <c:v>4.8129999999999997</c:v>
                </c:pt>
                <c:pt idx="209">
                  <c:v>4.8380000000000001</c:v>
                </c:pt>
                <c:pt idx="210">
                  <c:v>4.8959999999999999</c:v>
                </c:pt>
                <c:pt idx="211">
                  <c:v>4.9290000000000003</c:v>
                </c:pt>
                <c:pt idx="212">
                  <c:v>4.8220000000000001</c:v>
                </c:pt>
                <c:pt idx="213">
                  <c:v>4.7300000000000004</c:v>
                </c:pt>
                <c:pt idx="214">
                  <c:v>4.6779999999999999</c:v>
                </c:pt>
                <c:pt idx="215">
                  <c:v>4.6660000000000004</c:v>
                </c:pt>
                <c:pt idx="216">
                  <c:v>4.7770000000000001</c:v>
                </c:pt>
                <c:pt idx="217">
                  <c:v>4.883</c:v>
                </c:pt>
                <c:pt idx="218">
                  <c:v>5.0469999999999997</c:v>
                </c:pt>
                <c:pt idx="219">
                  <c:v>5.2830000000000004</c:v>
                </c:pt>
                <c:pt idx="220">
                  <c:v>5.36</c:v>
                </c:pt>
                <c:pt idx="221">
                  <c:v>5.3150000000000004</c:v>
                </c:pt>
                <c:pt idx="222">
                  <c:v>5.2270000000000003</c:v>
                </c:pt>
                <c:pt idx="223">
                  <c:v>5.0880000000000001</c:v>
                </c:pt>
                <c:pt idx="224">
                  <c:v>5.1120000000000001</c:v>
                </c:pt>
                <c:pt idx="225">
                  <c:v>5.0739999999999998</c:v>
                </c:pt>
                <c:pt idx="226">
                  <c:v>4.83</c:v>
                </c:pt>
                <c:pt idx="227">
                  <c:v>4.7350000000000003</c:v>
                </c:pt>
                <c:pt idx="228">
                  <c:v>4.7649999999999997</c:v>
                </c:pt>
                <c:pt idx="229">
                  <c:v>4.758</c:v>
                </c:pt>
                <c:pt idx="230">
                  <c:v>4.7489999999999997</c:v>
                </c:pt>
                <c:pt idx="231">
                  <c:v>4.7009999999999996</c:v>
                </c:pt>
                <c:pt idx="232">
                  <c:v>4.774</c:v>
                </c:pt>
                <c:pt idx="233">
                  <c:v>4.9370000000000003</c:v>
                </c:pt>
                <c:pt idx="234">
                  <c:v>5.0289999999999999</c:v>
                </c:pt>
                <c:pt idx="235">
                  <c:v>5.085</c:v>
                </c:pt>
                <c:pt idx="236">
                  <c:v>5.1820000000000004</c:v>
                </c:pt>
                <c:pt idx="237">
                  <c:v>5.173</c:v>
                </c:pt>
                <c:pt idx="238">
                  <c:v>5.2119999999999997</c:v>
                </c:pt>
                <c:pt idx="239">
                  <c:v>5.28</c:v>
                </c:pt>
                <c:pt idx="240">
                  <c:v>5.415</c:v>
                </c:pt>
                <c:pt idx="241">
                  <c:v>5.4420000000000002</c:v>
                </c:pt>
                <c:pt idx="242">
                  <c:v>5.4640000000000004</c:v>
                </c:pt>
                <c:pt idx="243">
                  <c:v>5.4649999999999999</c:v>
                </c:pt>
                <c:pt idx="244">
                  <c:v>5.47</c:v>
                </c:pt>
                <c:pt idx="245">
                  <c:v>5.4909999999999997</c:v>
                </c:pt>
                <c:pt idx="246">
                  <c:v>5.4930000000000003</c:v>
                </c:pt>
                <c:pt idx="247">
                  <c:v>5.492</c:v>
                </c:pt>
                <c:pt idx="248">
                  <c:v>5.4740000000000002</c:v>
                </c:pt>
                <c:pt idx="249">
                  <c:v>5.4710000000000001</c:v>
                </c:pt>
                <c:pt idx="250">
                  <c:v>5.4779999999999998</c:v>
                </c:pt>
                <c:pt idx="251">
                  <c:v>5.4960000000000004</c:v>
                </c:pt>
                <c:pt idx="252">
                  <c:v>5.5179999999999998</c:v>
                </c:pt>
                <c:pt idx="253">
                  <c:v>5.5309999999999997</c:v>
                </c:pt>
                <c:pt idx="254">
                  <c:v>5.5410000000000004</c:v>
                </c:pt>
                <c:pt idx="255">
                  <c:v>5.569</c:v>
                </c:pt>
                <c:pt idx="256">
                  <c:v>5.57</c:v>
                </c:pt>
                <c:pt idx="257">
                  <c:v>5.5440000000000005</c:v>
                </c:pt>
                <c:pt idx="258">
                  <c:v>5.5430000000000001</c:v>
                </c:pt>
                <c:pt idx="259">
                  <c:v>5.5890000000000004</c:v>
                </c:pt>
                <c:pt idx="260">
                  <c:v>5.63</c:v>
                </c:pt>
                <c:pt idx="261">
                  <c:v>5.6550000000000002</c:v>
                </c:pt>
                <c:pt idx="262">
                  <c:v>5.6790000000000003</c:v>
                </c:pt>
                <c:pt idx="263">
                  <c:v>5.6690000000000005</c:v>
                </c:pt>
                <c:pt idx="264">
                  <c:v>5.6719999999999997</c:v>
                </c:pt>
                <c:pt idx="265">
                  <c:v>5.6120000000000001</c:v>
                </c:pt>
                <c:pt idx="266">
                  <c:v>5.6210000000000004</c:v>
                </c:pt>
                <c:pt idx="267">
                  <c:v>5.6139999999999999</c:v>
                </c:pt>
                <c:pt idx="268">
                  <c:v>5.6040000000000001</c:v>
                </c:pt>
                <c:pt idx="269">
                  <c:v>5.5629999999999997</c:v>
                </c:pt>
              </c:numCache>
            </c:numRef>
          </c:val>
          <c:smooth val="0"/>
        </c:ser>
        <c:dLbls>
          <c:showLegendKey val="0"/>
          <c:showVal val="0"/>
          <c:showCatName val="0"/>
          <c:showSerName val="0"/>
          <c:showPercent val="0"/>
          <c:showBubbleSize val="0"/>
        </c:dLbls>
        <c:marker val="1"/>
        <c:smooth val="0"/>
        <c:axId val="353215608"/>
        <c:axId val="353215216"/>
      </c:lineChart>
      <c:dateAx>
        <c:axId val="353214432"/>
        <c:scaling>
          <c:orientation val="minMax"/>
          <c:max val="41943"/>
          <c:min val="41613"/>
        </c:scaling>
        <c:delete val="0"/>
        <c:axPos val="b"/>
        <c:majorGridlines>
          <c:spPr>
            <a:ln w="9525" cap="flat" cmpd="sng" algn="ctr">
              <a:solidFill>
                <a:srgbClr val="EEECE1">
                  <a:lumMod val="90000"/>
                </a:srgbClr>
              </a:solidFill>
              <a:round/>
            </a:ln>
            <a:effectLst/>
          </c:spPr>
        </c:majorGridlines>
        <c:minorGridlines>
          <c:spPr>
            <a:ln w="9525" cap="flat" cmpd="sng" algn="ctr">
              <a:noFill/>
              <a:round/>
            </a:ln>
            <a:effectLst/>
          </c:spPr>
        </c:minorGridlines>
        <c:numFmt formatCode="dd\.mm\.yyyy" sourceLinked="0"/>
        <c:majorTickMark val="out"/>
        <c:minorTickMark val="none"/>
        <c:tickLblPos val="nextTo"/>
        <c:spPr>
          <a:pattFill prst="pct5">
            <a:fgClr>
              <a:sysClr val="window" lastClr="FFFFFF"/>
            </a:fgClr>
            <a:bgClr>
              <a:sysClr val="window" lastClr="FFFFFF"/>
            </a:bgClr>
          </a:pattFill>
          <a:ln w="9525" cap="flat" cmpd="sng" algn="ctr">
            <a:noFill/>
            <a:round/>
          </a:ln>
          <a:effectLst/>
        </c:spPr>
        <c:txPr>
          <a:bodyPr rot="-2700000" spcFirstLastPara="1" vertOverflow="ellipsis" wrap="square" anchor="ctr" anchorCtr="1"/>
          <a:lstStyle/>
          <a:p>
            <a:pPr>
              <a:defRPr lang="sr-Latn-RS" sz="900" b="0" i="0" u="none" strike="noStrike" kern="1200" cap="none" spc="0" normalizeH="0" baseline="0">
                <a:solidFill>
                  <a:schemeClr val="tx1">
                    <a:lumMod val="65000"/>
                    <a:lumOff val="35000"/>
                  </a:schemeClr>
                </a:solidFill>
                <a:latin typeface="+mj-lt"/>
                <a:ea typeface="+mn-ea"/>
                <a:cs typeface="+mn-cs"/>
              </a:defRPr>
            </a:pPr>
            <a:endParaRPr lang="en-US"/>
          </a:p>
        </c:txPr>
        <c:crossAx val="353214824"/>
        <c:crosses val="autoZero"/>
        <c:auto val="0"/>
        <c:lblOffset val="100"/>
        <c:baseTimeUnit val="days"/>
        <c:majorUnit val="15"/>
        <c:majorTimeUnit val="days"/>
      </c:dateAx>
      <c:valAx>
        <c:axId val="353214824"/>
        <c:scaling>
          <c:orientation val="minMax"/>
          <c:max val="110"/>
          <c:min val="100"/>
        </c:scaling>
        <c:delete val="0"/>
        <c:axPos val="l"/>
        <c:majorGridlines>
          <c:spPr>
            <a:ln w="9525" cap="flat" cmpd="sng" algn="ctr">
              <a:solidFill>
                <a:srgbClr val="EEECE1">
                  <a:lumMod val="90000"/>
                </a:srgbClr>
              </a:solidFill>
              <a:round/>
            </a:ln>
            <a:effectLst/>
          </c:spPr>
        </c:majorGridlines>
        <c:minorGridlines>
          <c:spPr>
            <a:ln w="9525" cap="flat" cmpd="sng" algn="ctr">
              <a:solidFill>
                <a:schemeClr val="tx1">
                  <a:lumMod val="5000"/>
                  <a:lumOff val="95000"/>
                </a:schemeClr>
              </a:solidFill>
              <a:round/>
            </a:ln>
            <a:effectLst/>
          </c:spPr>
        </c:minorGridlines>
        <c:numFmt formatCode="#,##0\ [$$-540A]" sourceLinked="0"/>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crossAx val="353214432"/>
        <c:crosses val="autoZero"/>
        <c:crossBetween val="between"/>
        <c:majorUnit val="1"/>
      </c:valAx>
      <c:valAx>
        <c:axId val="353215216"/>
        <c:scaling>
          <c:orientation val="minMax"/>
          <c:max val="6"/>
          <c:min val="3.5"/>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RS" sz="900" b="0" i="0" u="none" strike="noStrike" kern="1200" cap="all" baseline="0">
                    <a:solidFill>
                      <a:schemeClr val="tx1">
                        <a:lumMod val="65000"/>
                        <a:lumOff val="35000"/>
                      </a:schemeClr>
                    </a:solidFill>
                    <a:latin typeface="+mj-lt"/>
                    <a:ea typeface="+mn-ea"/>
                    <a:cs typeface="+mn-cs"/>
                  </a:defRPr>
                </a:pPr>
                <a:r>
                  <a:rPr lang="x-none"/>
                  <a:t>У процентима</a:t>
                </a: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crossAx val="353215608"/>
        <c:crosses val="max"/>
        <c:crossBetween val="between"/>
        <c:majorUnit val="0.25"/>
      </c:valAx>
      <c:dateAx>
        <c:axId val="353215608"/>
        <c:scaling>
          <c:orientation val="minMax"/>
        </c:scaling>
        <c:delete val="1"/>
        <c:axPos val="b"/>
        <c:numFmt formatCode="m/d/yyyy" sourceLinked="1"/>
        <c:majorTickMark val="out"/>
        <c:minorTickMark val="none"/>
        <c:tickLblPos val="none"/>
        <c:crossAx val="353215216"/>
        <c:crosses val="autoZero"/>
        <c:auto val="1"/>
        <c:lblOffset val="100"/>
        <c:baseTimeUnit val="days"/>
      </c:dateAx>
      <c:spPr>
        <a:solidFill>
          <a:srgbClr val="9BBB59">
            <a:lumMod val="20000"/>
            <a:lumOff val="80000"/>
          </a:srgbClr>
        </a:solidFill>
        <a:ln>
          <a:noFill/>
        </a:ln>
        <a:effectLst/>
      </c:spPr>
    </c:plotArea>
    <c:legend>
      <c:legendPos val="t"/>
      <c:layout>
        <c:manualLayout>
          <c:xMode val="edge"/>
          <c:yMode val="edge"/>
          <c:x val="0.50688449161246152"/>
          <c:y val="1.5307516339869291E-2"/>
          <c:w val="0.38970909505876988"/>
          <c:h val="0.12639352109316063"/>
        </c:manualLayout>
      </c:layout>
      <c:overlay val="0"/>
      <c:spPr>
        <a:noFill/>
        <a:ln>
          <a:noFill/>
        </a:ln>
        <a:effectLst/>
      </c:spPr>
      <c:txPr>
        <a:bodyPr rot="0" spcFirstLastPara="1" vertOverflow="ellipsis" vert="horz" wrap="square" anchor="ctr" anchorCtr="1"/>
        <a:lstStyle/>
        <a:p>
          <a:pPr>
            <a:defRPr lang="sr-Latn-RS" sz="900" b="0" i="0" u="none" strike="noStrike" kern="1200" baseline="0">
              <a:solidFill>
                <a:schemeClr val="tx1">
                  <a:lumMod val="65000"/>
                  <a:lumOff val="35000"/>
                </a:schemeClr>
              </a:solidFill>
              <a:latin typeface="+mj-lt"/>
              <a:ea typeface="+mn-ea"/>
              <a:cs typeface="+mn-cs"/>
            </a:defRPr>
          </a:pPr>
          <a:endParaRPr lang="en-US"/>
        </a:p>
      </c:txPr>
    </c:legend>
    <c:plotVisOnly val="1"/>
    <c:dispBlanksAs val="zero"/>
    <c:showDLblsOverMax val="0"/>
  </c:chart>
  <c:spPr>
    <a:solidFill>
      <a:sysClr val="window" lastClr="FFFFFF"/>
    </a:solidFill>
    <a:ln w="9525" cap="flat" cmpd="sng" algn="ctr">
      <a:noFill/>
      <a:round/>
    </a:ln>
    <a:effectLst/>
  </c:spPr>
  <c:txPr>
    <a:bodyPr/>
    <a:lstStyle/>
    <a:p>
      <a:pPr>
        <a:defRPr sz="900">
          <a:latin typeface="+mj-lt"/>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561215836236565E-2"/>
          <c:y val="3.5711846485860829E-2"/>
          <c:w val="0.88742532801861118"/>
          <c:h val="0.84267221568440343"/>
        </c:manualLayout>
      </c:layout>
      <c:barChart>
        <c:barDir val="col"/>
        <c:grouping val="stacked"/>
        <c:varyColors val="0"/>
        <c:ser>
          <c:idx val="0"/>
          <c:order val="0"/>
          <c:tx>
            <c:strRef>
              <c:f>'Stanje i struktura javnog duga'!$AS$29</c:f>
              <c:strCache>
                <c:ptCount val="1"/>
                <c:pt idx="0">
                  <c:v>EUR</c:v>
                </c:pt>
              </c:strCache>
            </c:strRef>
          </c:tx>
          <c:spPr>
            <a:solidFill>
              <a:srgbClr val="9BBB59">
                <a:lumMod val="75000"/>
              </a:srgbClr>
            </a:solidFill>
            <a:ln>
              <a:noFill/>
            </a:ln>
            <a:effectLst/>
          </c:spPr>
          <c:invertIfNegative val="0"/>
          <c:dLbls>
            <c:dLbl>
              <c:idx val="0"/>
              <c:tx>
                <c:rich>
                  <a:bodyPr/>
                  <a:lstStyle/>
                  <a:p>
                    <a:r>
                      <a:rPr lang="en-US">
                        <a:ln w="10160">
                          <a:noFill/>
                          <a:prstDash val="solid"/>
                        </a:ln>
                        <a:effectLst/>
                      </a:rPr>
                      <a:t>57,2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duga'!$AW$25,'Stanje i struktura javnog duga'!$AY$25,'Stanje i struktura javnog duga'!$BA$25,'Stanje i struktura javnog duga'!$BC$25)</c:f>
              <c:strCache>
                <c:ptCount val="4"/>
                <c:pt idx="0">
                  <c:v>2011</c:v>
                </c:pt>
                <c:pt idx="1">
                  <c:v>2012</c:v>
                </c:pt>
                <c:pt idx="2">
                  <c:v>2013</c:v>
                </c:pt>
                <c:pt idx="3">
                  <c:v>2014/X</c:v>
                </c:pt>
              </c:strCache>
            </c:strRef>
          </c:cat>
          <c:val>
            <c:numRef>
              <c:f>('Stanje i struktura javnog duga'!$AX$29,'Stanje i struktura javnog duga'!$AZ$29,'Stanje i struktura javnog duga'!$BB$29,'Stanje i struktura javnog duga'!$BD$29)</c:f>
              <c:numCache>
                <c:formatCode>#,##0.0</c:formatCode>
                <c:ptCount val="4"/>
                <c:pt idx="0">
                  <c:v>57.257588616197786</c:v>
                </c:pt>
                <c:pt idx="1">
                  <c:v>51.309185629864842</c:v>
                </c:pt>
                <c:pt idx="2">
                  <c:v>46.413492766575132</c:v>
                </c:pt>
                <c:pt idx="3">
                  <c:v>42.257666956114306</c:v>
                </c:pt>
              </c:numCache>
            </c:numRef>
          </c:val>
        </c:ser>
        <c:ser>
          <c:idx val="1"/>
          <c:order val="1"/>
          <c:tx>
            <c:strRef>
              <c:f>'Stanje i struktura javnog duga'!$AS$30</c:f>
              <c:strCache>
                <c:ptCount val="1"/>
                <c:pt idx="0">
                  <c:v>USD</c:v>
                </c:pt>
              </c:strCache>
            </c:strRef>
          </c:tx>
          <c:spPr>
            <a:solidFill>
              <a:srgbClr val="9BBB59">
                <a:lumMod val="60000"/>
                <a:lumOff val="40000"/>
              </a:srgbClr>
            </a:solidFill>
            <a:ln>
              <a:noFill/>
            </a:ln>
            <a:effectLst/>
          </c:spPr>
          <c:invertIfNegative val="0"/>
          <c:dLbls>
            <c:spPr>
              <a:noFill/>
              <a:ln w="0">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duga'!$AW$25,'Stanje i struktura javnog duga'!$AY$25,'Stanje i struktura javnog duga'!$BA$25,'Stanje i struktura javnog duga'!$BC$25)</c:f>
              <c:strCache>
                <c:ptCount val="4"/>
                <c:pt idx="0">
                  <c:v>2011</c:v>
                </c:pt>
                <c:pt idx="1">
                  <c:v>2012</c:v>
                </c:pt>
                <c:pt idx="2">
                  <c:v>2013</c:v>
                </c:pt>
                <c:pt idx="3">
                  <c:v>2014/X</c:v>
                </c:pt>
              </c:strCache>
            </c:strRef>
          </c:cat>
          <c:val>
            <c:numRef>
              <c:f>('Stanje i struktura javnog duga'!$AX$30,'Stanje i struktura javnog duga'!$AZ$30,'Stanje i struktura javnog duga'!$BB$30,'Stanje i struktura javnog duga'!$BD$30)</c:f>
              <c:numCache>
                <c:formatCode>#,##0.0</c:formatCode>
                <c:ptCount val="4"/>
                <c:pt idx="0">
                  <c:v>17.688760925037947</c:v>
                </c:pt>
                <c:pt idx="1">
                  <c:v>22.016834802649356</c:v>
                </c:pt>
                <c:pt idx="2">
                  <c:v>27.094238773675965</c:v>
                </c:pt>
                <c:pt idx="3">
                  <c:v>30.139903507555498</c:v>
                </c:pt>
              </c:numCache>
            </c:numRef>
          </c:val>
        </c:ser>
        <c:ser>
          <c:idx val="2"/>
          <c:order val="2"/>
          <c:tx>
            <c:strRef>
              <c:f>'Stanje i struktura javnog duga'!$AS$32</c:f>
              <c:strCache>
                <c:ptCount val="1"/>
                <c:pt idx="0">
                  <c:v>RSD</c:v>
                </c:pt>
              </c:strCache>
            </c:strRef>
          </c:tx>
          <c:spPr>
            <a:solidFill>
              <a:srgbClr val="8064A2">
                <a:lumMod val="75000"/>
              </a:srgbClr>
            </a:solidFill>
            <a:ln>
              <a:noFill/>
            </a:ln>
            <a:effectLst/>
          </c:spPr>
          <c:invertIfNegative val="0"/>
          <c:dLbls>
            <c:dLbl>
              <c:idx val="0"/>
              <c:tx>
                <c:rich>
                  <a:bodyPr/>
                  <a:lstStyle/>
                  <a:p>
                    <a:r>
                      <a:rPr lang="en-US">
                        <a:ln>
                          <a:noFill/>
                        </a:ln>
                        <a:solidFill>
                          <a:schemeClr val="accent3">
                            <a:lumMod val="60000"/>
                            <a:lumOff val="40000"/>
                          </a:schemeClr>
                        </a:solidFill>
                        <a:effectLst/>
                      </a:rPr>
                      <a:t>16,5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n>
                          <a:noFill/>
                        </a:ln>
                        <a:solidFill>
                          <a:schemeClr val="accent3">
                            <a:lumMod val="60000"/>
                            <a:lumOff val="40000"/>
                          </a:schemeClr>
                        </a:solidFill>
                        <a:effectLst/>
                      </a:rPr>
                      <a:t>16,3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duga'!$AW$25,'Stanje i struktura javnog duga'!$AY$25,'Stanje i struktura javnog duga'!$BA$25,'Stanje i struktura javnog duga'!$BC$25)</c:f>
              <c:strCache>
                <c:ptCount val="4"/>
                <c:pt idx="0">
                  <c:v>2011</c:v>
                </c:pt>
                <c:pt idx="1">
                  <c:v>2012</c:v>
                </c:pt>
                <c:pt idx="2">
                  <c:v>2013</c:v>
                </c:pt>
                <c:pt idx="3">
                  <c:v>2014/X</c:v>
                </c:pt>
              </c:strCache>
            </c:strRef>
          </c:cat>
          <c:val>
            <c:numRef>
              <c:f>('Stanje i struktura javnog duga'!$AX$32,'Stanje i struktura javnog duga'!$AZ$32,'Stanje i struktura javnog duga'!$BB$32,'Stanje i struktura javnog duga'!$BD$32)</c:f>
              <c:numCache>
                <c:formatCode>#,##0.0</c:formatCode>
                <c:ptCount val="4"/>
                <c:pt idx="0">
                  <c:v>16.427371144849452</c:v>
                </c:pt>
                <c:pt idx="1">
                  <c:v>19.490870355457425</c:v>
                </c:pt>
                <c:pt idx="2">
                  <c:v>20.536226509985834</c:v>
                </c:pt>
                <c:pt idx="3">
                  <c:v>22.181091047276986</c:v>
                </c:pt>
              </c:numCache>
            </c:numRef>
          </c:val>
        </c:ser>
        <c:ser>
          <c:idx val="3"/>
          <c:order val="3"/>
          <c:tx>
            <c:strRef>
              <c:f>'Stanje i struktura javnog duga'!$AS$28</c:f>
              <c:strCache>
                <c:ptCount val="1"/>
                <c:pt idx="0">
                  <c:v>SDR</c:v>
                </c:pt>
              </c:strCache>
            </c:strRef>
          </c:tx>
          <c:spPr>
            <a:solidFill>
              <a:schemeClr val="accent1">
                <a:tint val="77000"/>
              </a:schemeClr>
            </a:solid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duga'!$AW$25,'Stanje i struktura javnog duga'!$AY$25,'Stanje i struktura javnog duga'!$BA$25,'Stanje i struktura javnog duga'!$BC$25)</c:f>
              <c:strCache>
                <c:ptCount val="4"/>
                <c:pt idx="0">
                  <c:v>2011</c:v>
                </c:pt>
                <c:pt idx="1">
                  <c:v>2012</c:v>
                </c:pt>
                <c:pt idx="2">
                  <c:v>2013</c:v>
                </c:pt>
                <c:pt idx="3">
                  <c:v>2014/X</c:v>
                </c:pt>
              </c:strCache>
            </c:strRef>
          </c:cat>
          <c:val>
            <c:numRef>
              <c:f>('Stanje i struktura javnog duga'!$AX$28,'Stanje i struktura javnog duga'!$AZ$28,'Stanje i struktura javnog duga'!$BB$28,'Stanje i struktura javnog duga'!$BD$28)</c:f>
              <c:numCache>
                <c:formatCode>#,##0.0</c:formatCode>
                <c:ptCount val="4"/>
                <c:pt idx="0">
                  <c:v>6.4883006046471392</c:v>
                </c:pt>
                <c:pt idx="1">
                  <c:v>5.4053497414929268</c:v>
                </c:pt>
                <c:pt idx="2">
                  <c:v>4.4997453709762132</c:v>
                </c:pt>
                <c:pt idx="3">
                  <c:v>4.1807999686755926</c:v>
                </c:pt>
              </c:numCache>
            </c:numRef>
          </c:val>
        </c:ser>
        <c:ser>
          <c:idx val="4"/>
          <c:order val="4"/>
          <c:tx>
            <c:strRef>
              <c:f>'Stanje i struktura javnog duga'!$AS$36</c:f>
              <c:strCache>
                <c:ptCount val="1"/>
                <c:pt idx="0">
                  <c:v>Остало</c:v>
                </c:pt>
              </c:strCache>
            </c:strRef>
          </c:tx>
          <c:spPr>
            <a:solidFill>
              <a:sysClr val="windowText" lastClr="000000">
                <a:lumMod val="75000"/>
                <a:lumOff val="25000"/>
              </a:sysClr>
            </a:solidFill>
            <a:ln>
              <a:noFill/>
            </a:ln>
            <a:effectLst/>
          </c:spPr>
          <c:invertIfNegative val="0"/>
          <c:dLbls>
            <c:dLbl>
              <c:idx val="0"/>
              <c:layout>
                <c:manualLayout>
                  <c:x val="-2.2844894498859672E-3"/>
                  <c:y val="-2.2420636872187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844894498859464E-3"/>
                  <c:y val="-1.92176887475892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2176887475892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494403810312545E-3"/>
                  <c:y val="-1.85511224567772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duga'!$AW$25,'Stanje i struktura javnog duga'!$AY$25,'Stanje i struktura javnog duga'!$BA$25,'Stanje i struktura javnog duga'!$BC$25)</c:f>
              <c:strCache>
                <c:ptCount val="4"/>
                <c:pt idx="0">
                  <c:v>2011</c:v>
                </c:pt>
                <c:pt idx="1">
                  <c:v>2012</c:v>
                </c:pt>
                <c:pt idx="2">
                  <c:v>2013</c:v>
                </c:pt>
                <c:pt idx="3">
                  <c:v>2014/X</c:v>
                </c:pt>
              </c:strCache>
            </c:strRef>
          </c:cat>
          <c:val>
            <c:numRef>
              <c:f>('Stanje i struktura javnog duga'!$AX$36,'Stanje i struktura javnog duga'!$AZ$36,'Stanje i struktura javnog duga'!$BB$36,'Stanje i struktura javnog duga'!$BD$36)</c:f>
              <c:numCache>
                <c:formatCode>#,##0.0</c:formatCode>
                <c:ptCount val="4"/>
                <c:pt idx="0">
                  <c:v>2.1379787092676814</c:v>
                </c:pt>
                <c:pt idx="1">
                  <c:v>1.7777594705354516</c:v>
                </c:pt>
                <c:pt idx="2">
                  <c:v>1.4562965787868611</c:v>
                </c:pt>
                <c:pt idx="3">
                  <c:v>1.2405385203776116</c:v>
                </c:pt>
              </c:numCache>
            </c:numRef>
          </c:val>
        </c:ser>
        <c:dLbls>
          <c:showLegendKey val="0"/>
          <c:showVal val="0"/>
          <c:showCatName val="0"/>
          <c:showSerName val="0"/>
          <c:showPercent val="0"/>
          <c:showBubbleSize val="0"/>
        </c:dLbls>
        <c:gapWidth val="150"/>
        <c:overlap val="100"/>
        <c:axId val="353216392"/>
        <c:axId val="353216784"/>
      </c:barChart>
      <c:catAx>
        <c:axId val="353216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53216784"/>
        <c:crosses val="autoZero"/>
        <c:auto val="0"/>
        <c:lblAlgn val="ctr"/>
        <c:lblOffset val="100"/>
        <c:noMultiLvlLbl val="0"/>
      </c:catAx>
      <c:valAx>
        <c:axId val="353216784"/>
        <c:scaling>
          <c:orientation val="minMax"/>
          <c:max val="100"/>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x-none"/>
                  <a:t>У процентима</a:t>
                </a:r>
              </a:p>
            </c:rich>
          </c:tx>
          <c:layout>
            <c:manualLayout>
              <c:xMode val="edge"/>
              <c:yMode val="edge"/>
              <c:x val="1.6792507100995941E-3"/>
              <c:y val="0.33020613769432688"/>
            </c:manualLayout>
          </c:layout>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53216392"/>
        <c:crosses val="autoZero"/>
        <c:crossBetween val="between"/>
      </c:valAx>
      <c:spPr>
        <a:solidFill>
          <a:srgbClr val="9BBB59">
            <a:lumMod val="20000"/>
            <a:lumOff val="80000"/>
          </a:srgbClr>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a:solidFill>
            <a:schemeClr val="bg1">
              <a:lumMod val="50000"/>
            </a:schemeClr>
          </a:solidFill>
          <a:latin typeface="+mj-lt"/>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863116040040498E-2"/>
          <c:y val="5.1334702258727022E-2"/>
          <c:w val="0.88075726240969165"/>
          <c:h val="0.81411952661928111"/>
        </c:manualLayout>
      </c:layout>
      <c:barChart>
        <c:barDir val="col"/>
        <c:grouping val="stacked"/>
        <c:varyColors val="0"/>
        <c:ser>
          <c:idx val="1"/>
          <c:order val="0"/>
          <c:tx>
            <c:strRef>
              <c:f>'Kamatna struktura'!$G$6</c:f>
              <c:strCache>
                <c:ptCount val="1"/>
                <c:pt idx="0">
                  <c:v>Фиксне каматне стопе</c:v>
                </c:pt>
              </c:strCache>
            </c:strRef>
          </c:tx>
          <c:spPr>
            <a:solidFill>
              <a:srgbClr val="9BBB59">
                <a:lumMod val="75000"/>
              </a:srgbClr>
            </a:solidFill>
            <a:ln>
              <a:noFill/>
            </a:ln>
            <a:effectLst/>
          </c:spPr>
          <c:invertIfNegative val="0"/>
          <c:dLbls>
            <c:dLbl>
              <c:idx val="0"/>
              <c:tx>
                <c:rich>
                  <a:bodyPr/>
                  <a:lstStyle/>
                  <a:p>
                    <a:r>
                      <a:rPr lang="en-US" b="0" baseline="0">
                        <a:ln>
                          <a:noFill/>
                        </a:ln>
                        <a:solidFill>
                          <a:schemeClr val="bg1">
                            <a:lumMod val="50000"/>
                          </a:schemeClr>
                        </a:solidFill>
                        <a:effectLst/>
                      </a:rPr>
                      <a:t>68,2%</a:t>
                    </a:r>
                    <a:endParaRPr lang="en-US">
                      <a:solidFill>
                        <a:schemeClr val="bg1">
                          <a:lumMod val="50000"/>
                        </a:schemeClr>
                      </a:solidFill>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b="1">
                    <a:solidFill>
                      <a:schemeClr val="bg1">
                        <a:lumMod val="5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'Kamatna struktura'!$I$4:$L$4</c:f>
              <c:strCache>
                <c:ptCount val="4"/>
                <c:pt idx="0">
                  <c:v>2011</c:v>
                </c:pt>
                <c:pt idx="1">
                  <c:v>2012</c:v>
                </c:pt>
                <c:pt idx="2">
                  <c:v>2013</c:v>
                </c:pt>
                <c:pt idx="3">
                  <c:v>2014/X</c:v>
                </c:pt>
              </c:strCache>
            </c:strRef>
          </c:cat>
          <c:val>
            <c:numRef>
              <c:f>'Kamatna struktura'!$I$6:$L$6</c:f>
              <c:numCache>
                <c:formatCode>0.0%</c:formatCode>
                <c:ptCount val="4"/>
                <c:pt idx="0">
                  <c:v>0.6825764392390159</c:v>
                </c:pt>
                <c:pt idx="1">
                  <c:v>0.7102575313505981</c:v>
                </c:pt>
                <c:pt idx="2">
                  <c:v>0.73119831152384973</c:v>
                </c:pt>
                <c:pt idx="3">
                  <c:v>0.76309076433121026</c:v>
                </c:pt>
              </c:numCache>
            </c:numRef>
          </c:val>
        </c:ser>
        <c:ser>
          <c:idx val="0"/>
          <c:order val="1"/>
          <c:tx>
            <c:strRef>
              <c:f>'Kamatna struktura'!$G$5</c:f>
              <c:strCache>
                <c:ptCount val="1"/>
                <c:pt idx="0">
                  <c:v>Варијабилне каматне стопе</c:v>
                </c:pt>
              </c:strCache>
            </c:strRef>
          </c:tx>
          <c:spPr>
            <a:solidFill>
              <a:srgbClr val="9BBB59">
                <a:lumMod val="60000"/>
                <a:lumOff val="40000"/>
              </a:srgbClr>
            </a:solidFill>
            <a:ln>
              <a:noFill/>
            </a:ln>
            <a:effectLst/>
          </c:spPr>
          <c:invertIfNegative val="0"/>
          <c:dLbls>
            <c:dLbl>
              <c:idx val="0"/>
              <c:tx>
                <c:rich>
                  <a:bodyPr/>
                  <a:lstStyle/>
                  <a:p>
                    <a:r>
                      <a:rPr lang="en-US" baseline="0">
                        <a:ln w="10160">
                          <a:noFill/>
                          <a:prstDash val="solid"/>
                        </a:ln>
                        <a:solidFill>
                          <a:schemeClr val="tx1">
                            <a:lumMod val="75000"/>
                            <a:lumOff val="25000"/>
                          </a:schemeClr>
                        </a:solidFill>
                        <a:effectLst/>
                      </a:rPr>
                      <a:t>31,8%</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b="1">
                    <a:solidFill>
                      <a:schemeClr val="bg1">
                        <a:lumMod val="5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'Kamatna struktura'!$I$4:$L$4</c:f>
              <c:strCache>
                <c:ptCount val="4"/>
                <c:pt idx="0">
                  <c:v>2011</c:v>
                </c:pt>
                <c:pt idx="1">
                  <c:v>2012</c:v>
                </c:pt>
                <c:pt idx="2">
                  <c:v>2013</c:v>
                </c:pt>
                <c:pt idx="3">
                  <c:v>2014/X</c:v>
                </c:pt>
              </c:strCache>
            </c:strRef>
          </c:cat>
          <c:val>
            <c:numRef>
              <c:f>'Kamatna struktura'!$I$5:$L$5</c:f>
              <c:numCache>
                <c:formatCode>0.0%</c:formatCode>
                <c:ptCount val="4"/>
                <c:pt idx="0">
                  <c:v>0.31742356076098405</c:v>
                </c:pt>
                <c:pt idx="1">
                  <c:v>0.28974246864940179</c:v>
                </c:pt>
                <c:pt idx="2">
                  <c:v>0.26880168847615027</c:v>
                </c:pt>
                <c:pt idx="3">
                  <c:v>0.2369092356687898</c:v>
                </c:pt>
              </c:numCache>
            </c:numRef>
          </c:val>
        </c:ser>
        <c:dLbls>
          <c:showLegendKey val="0"/>
          <c:showVal val="0"/>
          <c:showCatName val="0"/>
          <c:showSerName val="0"/>
          <c:showPercent val="0"/>
          <c:showBubbleSize val="0"/>
        </c:dLbls>
        <c:gapWidth val="150"/>
        <c:overlap val="100"/>
        <c:axId val="353217568"/>
        <c:axId val="353217960"/>
      </c:barChart>
      <c:catAx>
        <c:axId val="3532175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53217960"/>
        <c:crosses val="autoZero"/>
        <c:auto val="1"/>
        <c:lblAlgn val="ctr"/>
        <c:lblOffset val="100"/>
        <c:noMultiLvlLbl val="0"/>
      </c:catAx>
      <c:valAx>
        <c:axId val="353217960"/>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53217568"/>
        <c:crosses val="autoZero"/>
        <c:crossBetween val="between"/>
      </c:valAx>
      <c:spPr>
        <a:solidFill>
          <a:srgbClr val="9BBB59">
            <a:lumMod val="20000"/>
            <a:lumOff val="80000"/>
          </a:srgbClr>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i="0" baseline="0">
          <a:solidFill>
            <a:schemeClr val="bg1">
              <a:lumMod val="50000"/>
            </a:schemeClr>
          </a:solidFill>
          <a:latin typeface="Cambria" pitchFamily="18"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86259541984732"/>
          <c:y val="2.9227557411274859E-2"/>
          <c:w val="0.8454198473282446"/>
          <c:h val="0.80921463640574365"/>
        </c:manualLayout>
      </c:layout>
      <c:barChart>
        <c:barDir val="col"/>
        <c:grouping val="stacked"/>
        <c:varyColors val="0"/>
        <c:ser>
          <c:idx val="0"/>
          <c:order val="0"/>
          <c:tx>
            <c:strRef>
              <c:f>'[Copy of Strategija radna tabela (3).xlsx]Kamatna struktura'!$Q$4</c:f>
              <c:strCache>
                <c:ptCount val="1"/>
                <c:pt idx="0">
                  <c:v>ЕУРИБОР и ЛИБОР на EUR</c:v>
                </c:pt>
              </c:strCache>
            </c:strRef>
          </c:tx>
          <c:spPr>
            <a:solidFill>
              <a:srgbClr val="77933C"/>
            </a:solidFill>
            <a:ln>
              <a:noFill/>
            </a:ln>
            <a:effectLst/>
          </c:spPr>
          <c:invertIfNegative val="0"/>
          <c:dLbls>
            <c:spPr>
              <a:noFill/>
              <a:ln>
                <a:noFill/>
              </a:ln>
              <a:effectLst/>
            </c:spPr>
            <c:txPr>
              <a:bodyPr rot="0" vert="horz"/>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Strategija radna tabela (3).xlsx]Kamatna struktura'!$S$3:$V$3</c:f>
              <c:strCache>
                <c:ptCount val="4"/>
                <c:pt idx="0">
                  <c:v>2011</c:v>
                </c:pt>
                <c:pt idx="1">
                  <c:v>2012</c:v>
                </c:pt>
                <c:pt idx="2">
                  <c:v>2013</c:v>
                </c:pt>
                <c:pt idx="3">
                  <c:v>2014/X</c:v>
                </c:pt>
              </c:strCache>
            </c:strRef>
          </c:cat>
          <c:val>
            <c:numRef>
              <c:f>'[Copy of Strategija radna tabela (3).xlsx]Kamatna struktura'!$S$4:$V$4</c:f>
              <c:numCache>
                <c:formatCode>0.0%</c:formatCode>
                <c:ptCount val="4"/>
                <c:pt idx="0">
                  <c:v>0.73074895007363916</c:v>
                </c:pt>
                <c:pt idx="1">
                  <c:v>0.72946096699892715</c:v>
                </c:pt>
                <c:pt idx="2">
                  <c:v>0.70280591565963846</c:v>
                </c:pt>
                <c:pt idx="3">
                  <c:v>0.64069941369257377</c:v>
                </c:pt>
              </c:numCache>
            </c:numRef>
          </c:val>
        </c:ser>
        <c:ser>
          <c:idx val="1"/>
          <c:order val="1"/>
          <c:tx>
            <c:strRef>
              <c:f>'[Copy of Strategija radna tabela (3).xlsx]Kamatna struktura'!$Q$5</c:f>
              <c:strCache>
                <c:ptCount val="1"/>
                <c:pt idx="0">
                  <c:v>ЛИБОР на USD</c:v>
                </c:pt>
              </c:strCache>
            </c:strRef>
          </c:tx>
          <c:spPr>
            <a:solidFill>
              <a:srgbClr val="9BBB59">
                <a:lumMod val="60000"/>
                <a:lumOff val="40000"/>
              </a:srgbClr>
            </a:solid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Strategija radna tabela (3).xlsx]Kamatna struktura'!$S$3:$V$3</c:f>
              <c:strCache>
                <c:ptCount val="4"/>
                <c:pt idx="0">
                  <c:v>2011</c:v>
                </c:pt>
                <c:pt idx="1">
                  <c:v>2012</c:v>
                </c:pt>
                <c:pt idx="2">
                  <c:v>2013</c:v>
                </c:pt>
                <c:pt idx="3">
                  <c:v>2014/X</c:v>
                </c:pt>
              </c:strCache>
            </c:strRef>
          </c:cat>
          <c:val>
            <c:numRef>
              <c:f>'[Copy of Strategija radna tabela (3).xlsx]Kamatna struktura'!$S$5:$V$5</c:f>
              <c:numCache>
                <c:formatCode>0.0%</c:formatCode>
                <c:ptCount val="4"/>
                <c:pt idx="0">
                  <c:v>0.11354068435363736</c:v>
                </c:pt>
                <c:pt idx="1">
                  <c:v>0.11006125785808925</c:v>
                </c:pt>
                <c:pt idx="2">
                  <c:v>9.7476751563149749E-2</c:v>
                </c:pt>
                <c:pt idx="3">
                  <c:v>0.10295169986011715</c:v>
                </c:pt>
              </c:numCache>
            </c:numRef>
          </c:val>
        </c:ser>
        <c:ser>
          <c:idx val="2"/>
          <c:order val="2"/>
          <c:tx>
            <c:strRef>
              <c:f>'[Copy of Strategija radna tabela (3).xlsx]Kamatna struktura'!$Q$6</c:f>
              <c:strCache>
                <c:ptCount val="1"/>
                <c:pt idx="0">
                  <c:v>ЛИБОР на CHF</c:v>
                </c:pt>
              </c:strCache>
            </c:strRef>
          </c:tx>
          <c:spPr>
            <a:solidFill>
              <a:srgbClr val="8064A2">
                <a:lumMod val="75000"/>
              </a:srgbClr>
            </a:solidFill>
            <a:ln>
              <a:noFill/>
            </a:ln>
            <a:effectLst/>
          </c:spPr>
          <c:invertIfNegative val="0"/>
          <c:dLbls>
            <c:dLbl>
              <c:idx val="0"/>
              <c:layout>
                <c:manualLayout>
                  <c:x val="7.1884057971014492E-2"/>
                  <c:y val="-3.137254901960798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92753623188406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565217391304349E-2"/>
                  <c:y val="-3.137254901960784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565217391304349E-2"/>
                  <c:y val="-2.875783772164516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Strategija radna tabela (3).xlsx]Kamatna struktura'!$S$3:$V$3</c:f>
              <c:strCache>
                <c:ptCount val="4"/>
                <c:pt idx="0">
                  <c:v>2011</c:v>
                </c:pt>
                <c:pt idx="1">
                  <c:v>2012</c:v>
                </c:pt>
                <c:pt idx="2">
                  <c:v>2013</c:v>
                </c:pt>
                <c:pt idx="3">
                  <c:v>2014/X</c:v>
                </c:pt>
              </c:strCache>
            </c:strRef>
          </c:cat>
          <c:val>
            <c:numRef>
              <c:f>'[Copy of Strategija radna tabela (3).xlsx]Kamatna struktura'!$S$6:$V$6</c:f>
              <c:numCache>
                <c:formatCode>0.0%</c:formatCode>
                <c:ptCount val="4"/>
                <c:pt idx="0">
                  <c:v>2.0733516273272908E-2</c:v>
                </c:pt>
                <c:pt idx="1">
                  <c:v>1.8839314408141402E-2</c:v>
                </c:pt>
                <c:pt idx="2">
                  <c:v>1.6909232414015773E-2</c:v>
                </c:pt>
                <c:pt idx="3">
                  <c:v>1.6992028132252347E-2</c:v>
                </c:pt>
              </c:numCache>
            </c:numRef>
          </c:val>
        </c:ser>
        <c:ser>
          <c:idx val="3"/>
          <c:order val="3"/>
          <c:tx>
            <c:strRef>
              <c:f>'[Copy of Strategija radna tabela (3).xlsx]Kamatna struktura'!$Q$7</c:f>
              <c:strCache>
                <c:ptCount val="1"/>
                <c:pt idx="0">
                  <c:v>Остало</c:v>
                </c:pt>
              </c:strCache>
            </c:strRef>
          </c:tx>
          <c:spPr>
            <a:solidFill>
              <a:srgbClr val="D3DFEE"/>
            </a:solid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Strategija radna tabela (3).xlsx]Kamatna struktura'!$S$3:$V$3</c:f>
              <c:strCache>
                <c:ptCount val="4"/>
                <c:pt idx="0">
                  <c:v>2011</c:v>
                </c:pt>
                <c:pt idx="1">
                  <c:v>2012</c:v>
                </c:pt>
                <c:pt idx="2">
                  <c:v>2013</c:v>
                </c:pt>
                <c:pt idx="3">
                  <c:v>2014/X</c:v>
                </c:pt>
              </c:strCache>
            </c:strRef>
          </c:cat>
          <c:val>
            <c:numRef>
              <c:f>'[Copy of Strategija radna tabela (3).xlsx]Kamatna struktura'!$S$7:$V$7</c:f>
              <c:numCache>
                <c:formatCode>0.0%</c:formatCode>
                <c:ptCount val="4"/>
                <c:pt idx="0">
                  <c:v>0.13497684929945039</c:v>
                </c:pt>
                <c:pt idx="1">
                  <c:v>0.14163846073484226</c:v>
                </c:pt>
                <c:pt idx="2">
                  <c:v>0.18280810036319597</c:v>
                </c:pt>
                <c:pt idx="3">
                  <c:v>0.23935685831505665</c:v>
                </c:pt>
              </c:numCache>
            </c:numRef>
          </c:val>
        </c:ser>
        <c:dLbls>
          <c:showLegendKey val="0"/>
          <c:showVal val="0"/>
          <c:showCatName val="0"/>
          <c:showSerName val="0"/>
          <c:showPercent val="0"/>
          <c:showBubbleSize val="0"/>
        </c:dLbls>
        <c:gapWidth val="150"/>
        <c:overlap val="100"/>
        <c:axId val="353218744"/>
        <c:axId val="353219136"/>
      </c:barChart>
      <c:catAx>
        <c:axId val="3532187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53219136"/>
        <c:crosses val="autoZero"/>
        <c:auto val="1"/>
        <c:lblAlgn val="ctr"/>
        <c:lblOffset val="100"/>
        <c:noMultiLvlLbl val="0"/>
      </c:catAx>
      <c:valAx>
        <c:axId val="353219136"/>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53218744"/>
        <c:crosses val="autoZero"/>
        <c:crossBetween val="between"/>
      </c:valAx>
      <c:spPr>
        <a:solidFill>
          <a:srgbClr val="9BBB59">
            <a:lumMod val="20000"/>
            <a:lumOff val="80000"/>
          </a:srgbClr>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a:solidFill>
            <a:schemeClr val="bg1">
              <a:lumMod val="50000"/>
            </a:schemeClr>
          </a:solidFill>
          <a:latin typeface="+mj-lt"/>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33932296924429E-2"/>
          <c:y val="2.7047632914346652E-2"/>
          <c:w val="0.57144626086385431"/>
          <c:h val="0.9131331464922815"/>
        </c:manualLayout>
      </c:layout>
      <c:barChart>
        <c:barDir val="col"/>
        <c:grouping val="stacked"/>
        <c:varyColors val="0"/>
        <c:ser>
          <c:idx val="0"/>
          <c:order val="0"/>
          <c:tx>
            <c:strRef>
              <c:f>'Stanje i struktura javnog duga'!$AL$96</c:f>
              <c:strCache>
                <c:ptCount val="1"/>
                <c:pt idx="0">
                  <c:v>Државни записи 3М</c:v>
                </c:pt>
              </c:strCache>
            </c:strRef>
          </c:tx>
          <c:spPr>
            <a:solidFill>
              <a:schemeClr val="accent1">
                <a:shade val="40000"/>
              </a:schemeClr>
            </a:solidFill>
            <a:ln>
              <a:noFill/>
            </a:ln>
            <a:effectLst/>
          </c:spPr>
          <c:invertIfNegative val="0"/>
          <c:dLbls>
            <c:spPr>
              <a:noFill/>
              <a:ln>
                <a:noFill/>
              </a:ln>
              <a:effectLst/>
            </c:spPr>
            <c:txPr>
              <a:bodyPr rot="0" vert="horz"/>
              <a:lstStyle/>
              <a:p>
                <a:pPr>
                  <a:defRPr>
                    <a:solidFill>
                      <a:schemeClr val="bg1">
                        <a:lumMod val="9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duga'!$AM$96:$AP$96</c:f>
              <c:numCache>
                <c:formatCode>0.0</c:formatCode>
                <c:ptCount val="4"/>
                <c:pt idx="0">
                  <c:v>1.6386726751331422</c:v>
                </c:pt>
                <c:pt idx="1">
                  <c:v>1.8608414239482205</c:v>
                </c:pt>
                <c:pt idx="2">
                  <c:v>1.3439083498567965</c:v>
                </c:pt>
                <c:pt idx="3">
                  <c:v>1.0913571554303823</c:v>
                </c:pt>
              </c:numCache>
            </c:numRef>
          </c:val>
        </c:ser>
        <c:ser>
          <c:idx val="1"/>
          <c:order val="1"/>
          <c:tx>
            <c:strRef>
              <c:f>'Stanje i struktura javnog duga'!$AL$97</c:f>
              <c:strCache>
                <c:ptCount val="1"/>
                <c:pt idx="0">
                  <c:v>Државни записи 6М</c:v>
                </c:pt>
              </c:strCache>
            </c:strRef>
          </c:tx>
          <c:spPr>
            <a:solidFill>
              <a:schemeClr val="accent5">
                <a:lumMod val="40000"/>
                <a:lumOff val="60000"/>
              </a:schemeClr>
            </a:solidFill>
            <a:ln>
              <a:noFill/>
            </a:ln>
            <a:effectLst/>
          </c:spPr>
          <c:invertIfNegative val="0"/>
          <c:dLbls>
            <c:dLbl>
              <c:idx val="2"/>
              <c:layout>
                <c:manualLayout>
                  <c:x val="2.2157370719156724E-3"/>
                  <c:y val="-7.492690202235771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8748061156658459E-2"/>
                  <c:y val="-1.4986988105377659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duga'!$AM$97:$AP$97</c:f>
              <c:numCache>
                <c:formatCode>0.0</c:formatCode>
                <c:ptCount val="4"/>
                <c:pt idx="0">
                  <c:v>11.102007374027039</c:v>
                </c:pt>
                <c:pt idx="1">
                  <c:v>5.8791801510248121</c:v>
                </c:pt>
                <c:pt idx="2">
                  <c:v>1.9828155981493722</c:v>
                </c:pt>
                <c:pt idx="3">
                  <c:v>1.1265622249603944</c:v>
                </c:pt>
              </c:numCache>
            </c:numRef>
          </c:val>
        </c:ser>
        <c:ser>
          <c:idx val="2"/>
          <c:order val="2"/>
          <c:tx>
            <c:strRef>
              <c:f>'Stanje i struktura javnog duga'!$AL$98</c:f>
              <c:strCache>
                <c:ptCount val="1"/>
                <c:pt idx="0">
                  <c:v>Државни записи 12М</c:v>
                </c:pt>
              </c:strCache>
            </c:strRef>
          </c:tx>
          <c:spPr>
            <a:solidFill>
              <a:schemeClr val="accent2">
                <a:lumMod val="40000"/>
                <a:lumOff val="60000"/>
              </a:schemeClr>
            </a:solidFill>
            <a:ln>
              <a:no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duga'!$AM$98:$AP$98</c:f>
              <c:numCache>
                <c:formatCode>0.0</c:formatCode>
                <c:ptCount val="4"/>
                <c:pt idx="0">
                  <c:v>4.0966816878328549</c:v>
                </c:pt>
                <c:pt idx="1">
                  <c:v>0</c:v>
                </c:pt>
                <c:pt idx="2">
                  <c:v>0</c:v>
                </c:pt>
                <c:pt idx="3">
                  <c:v>0</c:v>
                </c:pt>
              </c:numCache>
            </c:numRef>
          </c:val>
        </c:ser>
        <c:ser>
          <c:idx val="3"/>
          <c:order val="3"/>
          <c:tx>
            <c:strRef>
              <c:f>'Stanje i struktura javnog duga'!$AL$99</c:f>
              <c:strCache>
                <c:ptCount val="1"/>
                <c:pt idx="0">
                  <c:v>Државни записи 53W</c:v>
                </c:pt>
              </c:strCache>
            </c:strRef>
          </c:tx>
          <c:spPr>
            <a:solidFill>
              <a:srgbClr val="9BBB59">
                <a:lumMod val="75000"/>
              </a:srgbClr>
            </a:solidFill>
            <a:ln>
              <a:noFill/>
            </a:ln>
            <a:effectLst/>
          </c:spPr>
          <c:invertIfNegative val="0"/>
          <c:dLbls>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duga'!$AM$99:$AP$99</c:f>
              <c:numCache>
                <c:formatCode>0.0</c:formatCode>
                <c:ptCount val="4"/>
                <c:pt idx="0">
                  <c:v>34.739860712822612</c:v>
                </c:pt>
                <c:pt idx="1">
                  <c:v>25.916936353829563</c:v>
                </c:pt>
                <c:pt idx="2">
                  <c:v>23.0226922229566</c:v>
                </c:pt>
                <c:pt idx="3">
                  <c:v>16.70480549199085</c:v>
                </c:pt>
              </c:numCache>
            </c:numRef>
          </c:val>
        </c:ser>
        <c:ser>
          <c:idx val="4"/>
          <c:order val="4"/>
          <c:tx>
            <c:strRef>
              <c:f>'Stanje i struktura javnog duga'!$AL$100</c:f>
              <c:strCache>
                <c:ptCount val="1"/>
                <c:pt idx="0">
                  <c:v>Државни записи 18М</c:v>
                </c:pt>
              </c:strCache>
            </c:strRef>
          </c:tx>
          <c:spPr>
            <a:solidFill>
              <a:srgbClr val="9BBB59"/>
            </a:solidFill>
            <a:ln>
              <a:noFill/>
            </a:ln>
            <a:effectLst/>
          </c:spPr>
          <c:invertIfNegative val="0"/>
          <c:dLbls>
            <c:dLbl>
              <c:idx val="3"/>
              <c:delete val="1"/>
              <c:extLst>
                <c:ext xmlns:c15="http://schemas.microsoft.com/office/drawing/2012/chart" uri="{CE6537A1-D6FC-4f65-9D91-7224C49458BB}"/>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duga'!$AM$100:$AP$100</c:f>
              <c:numCache>
                <c:formatCode>0.0</c:formatCode>
                <c:ptCount val="4"/>
                <c:pt idx="0">
                  <c:v>26.259729619008603</c:v>
                </c:pt>
                <c:pt idx="1">
                  <c:v>19.822006472491914</c:v>
                </c:pt>
                <c:pt idx="2">
                  <c:v>5.8382903723287072</c:v>
                </c:pt>
                <c:pt idx="3">
                  <c:v>0</c:v>
                </c:pt>
              </c:numCache>
            </c:numRef>
          </c:val>
        </c:ser>
        <c:ser>
          <c:idx val="5"/>
          <c:order val="5"/>
          <c:tx>
            <c:strRef>
              <c:f>'Stanje i struktura javnog duga'!$AL$101</c:f>
              <c:strCache>
                <c:ptCount val="1"/>
                <c:pt idx="0">
                  <c:v>Државни записи 24М</c:v>
                </c:pt>
              </c:strCache>
            </c:strRef>
          </c:tx>
          <c:spPr>
            <a:solidFill>
              <a:schemeClr val="accent6">
                <a:lumMod val="20000"/>
                <a:lumOff val="80000"/>
              </a:schemeClr>
            </a:solidFill>
            <a:ln>
              <a:noFill/>
            </a:ln>
            <a:effectLst/>
          </c:spPr>
          <c:invertIfNegative val="0"/>
          <c:dLbls>
            <c:dLbl>
              <c:idx val="3"/>
              <c:layout>
                <c:manualLayout>
                  <c:x val="5.0962835273776021E-2"/>
                  <c:y val="-1.7494949653901307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duga'!$AM$101:$AP$101</c:f>
              <c:numCache>
                <c:formatCode>0.0</c:formatCode>
                <c:ptCount val="4"/>
                <c:pt idx="0">
                  <c:v>16.345759934453095</c:v>
                </c:pt>
                <c:pt idx="1">
                  <c:v>17.529665587918018</c:v>
                </c:pt>
                <c:pt idx="2">
                  <c:v>6.6314166115884561</c:v>
                </c:pt>
                <c:pt idx="3">
                  <c:v>0.73930646013025891</c:v>
                </c:pt>
              </c:numCache>
            </c:numRef>
          </c:val>
        </c:ser>
        <c:ser>
          <c:idx val="6"/>
          <c:order val="6"/>
          <c:tx>
            <c:strRef>
              <c:f>'Stanje i struktura javnog duga'!$AL$102</c:f>
              <c:strCache>
                <c:ptCount val="1"/>
                <c:pt idx="0">
                  <c:v>Државне обвезницe 2Г - амортизационе</c:v>
                </c:pt>
              </c:strCache>
            </c:strRef>
          </c:tx>
          <c:spPr>
            <a:solidFill>
              <a:schemeClr val="accent1"/>
            </a:solidFill>
            <a:ln>
              <a:noFill/>
            </a:ln>
            <a:effectLst/>
          </c:spPr>
          <c:invertIfNegative val="0"/>
          <c:dLbls>
            <c:dLbl>
              <c:idx val="0"/>
              <c:delete val="1"/>
              <c:extLst>
                <c:ext xmlns:c15="http://schemas.microsoft.com/office/drawing/2012/chart" uri="{CE6537A1-D6FC-4f65-9D91-7224C49458BB}"/>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duga'!$AM$102:$AP$102</c:f>
              <c:numCache>
                <c:formatCode>0.0</c:formatCode>
                <c:ptCount val="4"/>
                <c:pt idx="0">
                  <c:v>0</c:v>
                </c:pt>
                <c:pt idx="1">
                  <c:v>1.8069039913700111</c:v>
                </c:pt>
                <c:pt idx="2">
                  <c:v>7.4465741352720851</c:v>
                </c:pt>
                <c:pt idx="3">
                  <c:v>12.53300475268439</c:v>
                </c:pt>
              </c:numCache>
            </c:numRef>
          </c:val>
        </c:ser>
        <c:ser>
          <c:idx val="7"/>
          <c:order val="7"/>
          <c:tx>
            <c:strRef>
              <c:f>'Stanje i struktura javnog duga'!$AL$103</c:f>
              <c:strCache>
                <c:ptCount val="1"/>
                <c:pt idx="0">
                  <c:v>Државне обвезнице 2Г</c:v>
                </c:pt>
              </c:strCache>
            </c:strRef>
          </c:tx>
          <c:spPr>
            <a:solidFill>
              <a:srgbClr val="8064A2"/>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duga'!$AM$103:$AP$103</c:f>
              <c:numCache>
                <c:formatCode>0.0</c:formatCode>
                <c:ptCount val="4"/>
                <c:pt idx="0">
                  <c:v>0</c:v>
                </c:pt>
                <c:pt idx="1">
                  <c:v>0</c:v>
                </c:pt>
                <c:pt idx="2">
                  <c:v>15.377836527869576</c:v>
                </c:pt>
                <c:pt idx="3">
                  <c:v>20.102094701637039</c:v>
                </c:pt>
              </c:numCache>
            </c:numRef>
          </c:val>
        </c:ser>
        <c:ser>
          <c:idx val="8"/>
          <c:order val="8"/>
          <c:tx>
            <c:strRef>
              <c:f>'Stanje i struktura javnog duga'!$AL$104</c:f>
              <c:strCache>
                <c:ptCount val="1"/>
                <c:pt idx="0">
                  <c:v>Државне обвезнице 3Г</c:v>
                </c:pt>
              </c:strCache>
            </c:strRef>
          </c:tx>
          <c:spPr>
            <a:solidFill>
              <a:srgbClr val="31859C"/>
            </a:solidFill>
            <a:ln>
              <a:noFill/>
            </a:ln>
            <a:effectLst/>
          </c:spPr>
          <c:invertIfNegative val="0"/>
          <c:dLbls>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duga'!$AM$104:$AP$104</c:f>
              <c:numCache>
                <c:formatCode>0.0</c:formatCode>
                <c:ptCount val="4"/>
                <c:pt idx="0">
                  <c:v>5.817287996722655</c:v>
                </c:pt>
                <c:pt idx="1">
                  <c:v>20.631067961165051</c:v>
                </c:pt>
                <c:pt idx="2">
                  <c:v>30.953954615554085</c:v>
                </c:pt>
                <c:pt idx="3">
                  <c:v>32.441471571906362</c:v>
                </c:pt>
              </c:numCache>
            </c:numRef>
          </c:val>
        </c:ser>
        <c:ser>
          <c:idx val="9"/>
          <c:order val="9"/>
          <c:tx>
            <c:strRef>
              <c:f>'Stanje i struktura javnog duga'!$AL$105</c:f>
              <c:strCache>
                <c:ptCount val="1"/>
                <c:pt idx="0">
                  <c:v>Државне обвезнице 3Г - инфлационо индексиране</c:v>
                </c:pt>
              </c:strCache>
            </c:strRef>
          </c:tx>
          <c:spPr>
            <a:solidFill>
              <a:schemeClr val="accent1">
                <a:tint val="70000"/>
              </a:schemeClr>
            </a:solidFill>
            <a:ln>
              <a:noFill/>
            </a:ln>
            <a:effectLst/>
          </c:spPr>
          <c:invertIfNegative val="0"/>
          <c:dLbls>
            <c:dLbl>
              <c:idx val="0"/>
              <c:delete val="1"/>
              <c:extLst>
                <c:ext xmlns:c15="http://schemas.microsoft.com/office/drawing/2012/chart" uri="{CE6537A1-D6FC-4f65-9D91-7224C49458BB}"/>
              </c:extLst>
            </c:dLbl>
            <c:dLbl>
              <c:idx val="3"/>
              <c:tx>
                <c:rich>
                  <a:bodyPr/>
                  <a:lstStyle/>
                  <a:p>
                    <a:r>
                      <a:rPr lang="en-US" b="0"/>
                      <a:t>2,2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duga'!$AM$105:$AP$105</c:f>
              <c:numCache>
                <c:formatCode>0.0</c:formatCode>
                <c:ptCount val="4"/>
                <c:pt idx="0">
                  <c:v>0</c:v>
                </c:pt>
                <c:pt idx="1">
                  <c:v>2.939590075512406</c:v>
                </c:pt>
                <c:pt idx="2">
                  <c:v>1.4760960564000882</c:v>
                </c:pt>
                <c:pt idx="3">
                  <c:v>0.73930646013025891</c:v>
                </c:pt>
              </c:numCache>
            </c:numRef>
          </c:val>
        </c:ser>
        <c:ser>
          <c:idx val="10"/>
          <c:order val="10"/>
          <c:tx>
            <c:strRef>
              <c:f>'Stanje i struktura javnog duga'!$AL$106</c:f>
              <c:strCache>
                <c:ptCount val="1"/>
                <c:pt idx="0">
                  <c:v>Државне обвезнице 5Г</c:v>
                </c:pt>
              </c:strCache>
            </c:strRef>
          </c:tx>
          <c:spPr>
            <a:solidFill>
              <a:srgbClr val="F79646">
                <a:lumMod val="60000"/>
                <a:lumOff val="40000"/>
              </a:srgbClr>
            </a:solidFill>
            <a:ln>
              <a:noFill/>
            </a:ln>
            <a:effectLst/>
          </c:spPr>
          <c:invertIfNegative val="0"/>
          <c:dLbls>
            <c:dLbl>
              <c:idx val="0"/>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duga'!$AM$106:$AP$106</c:f>
              <c:numCache>
                <c:formatCode>0.0</c:formatCode>
                <c:ptCount val="4"/>
                <c:pt idx="0">
                  <c:v>0</c:v>
                </c:pt>
                <c:pt idx="1">
                  <c:v>2.2114347357065802</c:v>
                </c:pt>
                <c:pt idx="2">
                  <c:v>4.3621943159286189</c:v>
                </c:pt>
                <c:pt idx="3">
                  <c:v>6.3369125154022194</c:v>
                </c:pt>
              </c:numCache>
            </c:numRef>
          </c:val>
        </c:ser>
        <c:ser>
          <c:idx val="11"/>
          <c:order val="11"/>
          <c:tx>
            <c:strRef>
              <c:f>'Stanje i struktura javnog duga'!$AL$107</c:f>
              <c:strCache>
                <c:ptCount val="1"/>
                <c:pt idx="0">
                  <c:v>Државне обвезнице 7Г</c:v>
                </c:pt>
              </c:strCache>
            </c:strRef>
          </c:tx>
          <c:spPr>
            <a:solidFill>
              <a:srgbClr val="F79646">
                <a:lumMod val="20000"/>
                <a:lumOff val="80000"/>
              </a:srgbClr>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duga'!$AM$107:$AP$107</c:f>
              <c:numCache>
                <c:formatCode>0.0</c:formatCode>
                <c:ptCount val="4"/>
                <c:pt idx="0">
                  <c:v>0</c:v>
                </c:pt>
                <c:pt idx="1">
                  <c:v>0</c:v>
                </c:pt>
                <c:pt idx="2">
                  <c:v>1.5642211940956157</c:v>
                </c:pt>
                <c:pt idx="3">
                  <c:v>6.5481429325822935</c:v>
                </c:pt>
              </c:numCache>
            </c:numRef>
          </c:val>
        </c:ser>
        <c:ser>
          <c:idx val="13"/>
          <c:order val="12"/>
          <c:tx>
            <c:strRef>
              <c:f>'Stanje i struktura javnog duga'!$AL$108</c:f>
              <c:strCache>
                <c:ptCount val="1"/>
                <c:pt idx="0">
                  <c:v>Државне обвезнице 10Г</c:v>
                </c:pt>
              </c:strCache>
            </c:strRef>
          </c:tx>
          <c:spPr>
            <a:solidFill>
              <a:srgbClr val="F79646">
                <a:lumMod val="50000"/>
              </a:srgbClr>
            </a:solidFill>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duga'!$AM$108:$AP$108</c:f>
              <c:numCache>
                <c:formatCode>0.0</c:formatCode>
                <c:ptCount val="4"/>
                <c:pt idx="0">
                  <c:v>0</c:v>
                </c:pt>
                <c:pt idx="1">
                  <c:v>0</c:v>
                </c:pt>
                <c:pt idx="2">
                  <c:v>0</c:v>
                </c:pt>
                <c:pt idx="3">
                  <c:v>1.6370357331455734</c:v>
                </c:pt>
              </c:numCache>
            </c:numRef>
          </c:val>
        </c:ser>
        <c:ser>
          <c:idx val="12"/>
          <c:order val="13"/>
          <c:tx>
            <c:strRef>
              <c:f>'Stanje i struktura javnog duga'!$AL$109</c:f>
              <c:strCache>
                <c:ptCount val="1"/>
                <c:pt idx="0">
                  <c:v>Државне обвезнице 10Г -  инфлационо индексиране</c:v>
                </c:pt>
              </c:strCache>
            </c:strRef>
          </c:tx>
          <c:spPr>
            <a:solidFill>
              <a:schemeClr val="accent1">
                <a:tint val="40000"/>
              </a:schemeClr>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duga'!$AM$109:$AP$109</c:f>
              <c:numCache>
                <c:formatCode>0.0</c:formatCode>
                <c:ptCount val="4"/>
                <c:pt idx="0">
                  <c:v>0</c:v>
                </c:pt>
                <c:pt idx="1">
                  <c:v>1.4023732470334414</c:v>
                </c:pt>
                <c:pt idx="2">
                  <c:v>0</c:v>
                </c:pt>
                <c:pt idx="3">
                  <c:v>0</c:v>
                </c:pt>
              </c:numCache>
            </c:numRef>
          </c:val>
        </c:ser>
        <c:dLbls>
          <c:showLegendKey val="0"/>
          <c:showVal val="0"/>
          <c:showCatName val="0"/>
          <c:showSerName val="0"/>
          <c:showPercent val="0"/>
          <c:showBubbleSize val="0"/>
        </c:dLbls>
        <c:gapWidth val="150"/>
        <c:overlap val="100"/>
        <c:axId val="475969592"/>
        <c:axId val="475969984"/>
      </c:barChart>
      <c:catAx>
        <c:axId val="475969592"/>
        <c:scaling>
          <c:orientation val="minMax"/>
        </c:scaling>
        <c:delete val="0"/>
        <c:axPos val="b"/>
        <c:majorGridlines>
          <c:spPr>
            <a:ln w="9525" cap="flat" cmpd="sng" algn="ctr">
              <a:solidFill>
                <a:sysClr val="window" lastClr="FFFFFF">
                  <a:lumMod val="75000"/>
                </a:sys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475969984"/>
        <c:crosses val="autoZero"/>
        <c:auto val="1"/>
        <c:lblAlgn val="ctr"/>
        <c:lblOffset val="100"/>
        <c:noMultiLvlLbl val="0"/>
      </c:catAx>
      <c:valAx>
        <c:axId val="475969984"/>
        <c:scaling>
          <c:orientation val="minMax"/>
          <c:max val="100"/>
        </c:scaling>
        <c:delete val="0"/>
        <c:axPos val="l"/>
        <c:majorGridlines>
          <c:spPr>
            <a:ln w="9525" cap="flat" cmpd="sng" algn="ctr">
              <a:solidFill>
                <a:sysClr val="window" lastClr="FFFFFF">
                  <a:lumMod val="75000"/>
                </a:sys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475969592"/>
        <c:crosses val="autoZero"/>
        <c:crossBetween val="between"/>
      </c:valAx>
      <c:spPr>
        <a:solidFill>
          <a:srgbClr val="9BBB59">
            <a:lumMod val="20000"/>
            <a:lumOff val="80000"/>
          </a:srgbClr>
        </a:solidFill>
        <a:ln>
          <a:noFill/>
        </a:ln>
        <a:effectLst/>
      </c:spPr>
    </c:plotArea>
    <c:legend>
      <c:legendPos val="b"/>
      <c:layout>
        <c:manualLayout>
          <c:xMode val="edge"/>
          <c:yMode val="edge"/>
          <c:x val="0.65700822280935933"/>
          <c:y val="1.7958691559314802E-2"/>
          <c:w val="0.342991777190642"/>
          <c:h val="0.9480634657509914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a:solidFill>
            <a:schemeClr val="bg1">
              <a:lumMod val="50000"/>
            </a:schemeClr>
          </a:solidFill>
          <a:latin typeface="+mj-lt"/>
          <a:cs typeface="Times New Roman" panose="02020603050405020304" pitchFamily="18"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390593047034734E-2"/>
          <c:y val="2.6717557251908393E-2"/>
          <c:w val="0.55950920245401325"/>
          <c:h val="0.87154512962978459"/>
        </c:manualLayout>
      </c:layout>
      <c:bar3DChart>
        <c:barDir val="col"/>
        <c:grouping val="percentStacked"/>
        <c:varyColors val="0"/>
        <c:ser>
          <c:idx val="0"/>
          <c:order val="0"/>
          <c:tx>
            <c:strRef>
              <c:f>'Stanje i struktura javnog duga'!$AL$113</c:f>
              <c:strCache>
                <c:ptCount val="1"/>
                <c:pt idx="0">
                  <c:v>Државни записи 53W ЕУР</c:v>
                </c:pt>
              </c:strCache>
            </c:strRef>
          </c:tx>
          <c:spPr>
            <a:solidFill>
              <a:srgbClr val="9BBB59">
                <a:lumMod val="75000"/>
              </a:srgbClr>
            </a:solidFill>
            <a:ln>
              <a:noFill/>
            </a:ln>
            <a:effectLst/>
            <a:sp3d/>
          </c:spPr>
          <c:invertIfNegative val="0"/>
          <c:dLbls>
            <c:spPr>
              <a:noFill/>
              <a:ln>
                <a:noFill/>
              </a:ln>
              <a:effectLst/>
            </c:spPr>
            <c:txPr>
              <a:bodyPr rot="0" vert="horz"/>
              <a:lstStyle/>
              <a:p>
                <a:pPr>
                  <a:defRPr>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duga'!$AM$113:$AP$113</c:f>
              <c:numCache>
                <c:formatCode>0.0</c:formatCode>
                <c:ptCount val="4"/>
                <c:pt idx="0">
                  <c:v>36.096718480138165</c:v>
                </c:pt>
                <c:pt idx="1">
                  <c:v>21.714818266542416</c:v>
                </c:pt>
                <c:pt idx="2">
                  <c:v>18.208734270910433</c:v>
                </c:pt>
                <c:pt idx="3">
                  <c:v>17.459562321598476</c:v>
                </c:pt>
              </c:numCache>
            </c:numRef>
          </c:val>
        </c:ser>
        <c:ser>
          <c:idx val="1"/>
          <c:order val="1"/>
          <c:tx>
            <c:strRef>
              <c:f>'Stanje i struktura javnog duga'!$AL$114</c:f>
              <c:strCache>
                <c:ptCount val="1"/>
                <c:pt idx="0">
                  <c:v>Државни записи 18М ЕУР</c:v>
                </c:pt>
              </c:strCache>
            </c:strRef>
          </c:tx>
          <c:spPr>
            <a:solidFill>
              <a:srgbClr val="9BBB59">
                <a:lumMod val="60000"/>
                <a:lumOff val="40000"/>
              </a:srgbClr>
            </a:solidFill>
            <a:ln>
              <a:noFill/>
            </a:ln>
            <a:effectLst/>
            <a:sp3d/>
          </c:spPr>
          <c:invertIfNegative val="0"/>
          <c:dLbls>
            <c:dLbl>
              <c:idx val="3"/>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duga'!$AM$114:$AP$114</c:f>
              <c:numCache>
                <c:formatCode>0.0</c:formatCode>
                <c:ptCount val="4"/>
                <c:pt idx="0">
                  <c:v>27.115716753022451</c:v>
                </c:pt>
                <c:pt idx="1">
                  <c:v>44.92078285181735</c:v>
                </c:pt>
                <c:pt idx="2">
                  <c:v>6.3656550703182813</c:v>
                </c:pt>
                <c:pt idx="3">
                  <c:v>0</c:v>
                </c:pt>
              </c:numCache>
            </c:numRef>
          </c:val>
        </c:ser>
        <c:ser>
          <c:idx val="2"/>
          <c:order val="2"/>
          <c:tx>
            <c:strRef>
              <c:f>'Stanje i struktura javnog duga'!$AL$115</c:f>
              <c:strCache>
                <c:ptCount val="1"/>
                <c:pt idx="0">
                  <c:v>Државне обвезнице 2Г ЕУР</c:v>
                </c:pt>
              </c:strCache>
            </c:strRef>
          </c:tx>
          <c:spPr>
            <a:solidFill>
              <a:srgbClr val="8064A2"/>
            </a:solidFill>
            <a:ln>
              <a:noFill/>
            </a:ln>
            <a:effectLst/>
            <a:sp3d/>
          </c:spPr>
          <c:invertIfNegative val="0"/>
          <c:dLbls>
            <c:dLbl>
              <c:idx val="0"/>
              <c:delete val="1"/>
              <c:extLst>
                <c:ext xmlns:c15="http://schemas.microsoft.com/office/drawing/2012/chart" uri="{CE6537A1-D6FC-4f65-9D91-7224C49458BB}"/>
              </c:extLst>
            </c:dLbl>
            <c:dLbl>
              <c:idx val="2"/>
              <c:tx>
                <c:rich>
                  <a:bodyPr/>
                  <a:lstStyle/>
                  <a:p>
                    <a:r>
                      <a:rPr lang="en-US"/>
                      <a:t>25,7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duga'!$AM$115:$AP$115</c:f>
              <c:numCache>
                <c:formatCode>0.0</c:formatCode>
                <c:ptCount val="4"/>
                <c:pt idx="0">
                  <c:v>0</c:v>
                </c:pt>
                <c:pt idx="1">
                  <c:v>11.835973904939427</c:v>
                </c:pt>
                <c:pt idx="2">
                  <c:v>39.970392301998515</c:v>
                </c:pt>
                <c:pt idx="3">
                  <c:v>37.916270218839195</c:v>
                </c:pt>
              </c:numCache>
            </c:numRef>
          </c:val>
        </c:ser>
        <c:ser>
          <c:idx val="3"/>
          <c:order val="3"/>
          <c:tx>
            <c:strRef>
              <c:f>'Stanje i struktura javnog duga'!$AL$116</c:f>
              <c:strCache>
                <c:ptCount val="1"/>
                <c:pt idx="0">
                  <c:v>Државне обвезнице 3Г ЕУР</c:v>
                </c:pt>
              </c:strCache>
            </c:strRef>
          </c:tx>
          <c:spPr>
            <a:solidFill>
              <a:srgbClr val="4F81BD">
                <a:lumMod val="60000"/>
                <a:lumOff val="40000"/>
              </a:srgbClr>
            </a:solidFill>
            <a:ln>
              <a:noFill/>
            </a:ln>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duga'!$AM$116:$AP$116</c:f>
              <c:numCache>
                <c:formatCode>0.0</c:formatCode>
                <c:ptCount val="4"/>
                <c:pt idx="0">
                  <c:v>10.708117443868739</c:v>
                </c:pt>
                <c:pt idx="1">
                  <c:v>6.2441752096924539</c:v>
                </c:pt>
                <c:pt idx="2">
                  <c:v>13.619541080680975</c:v>
                </c:pt>
                <c:pt idx="3">
                  <c:v>17.078972407231205</c:v>
                </c:pt>
              </c:numCache>
            </c:numRef>
          </c:val>
        </c:ser>
        <c:ser>
          <c:idx val="4"/>
          <c:order val="4"/>
          <c:tx>
            <c:strRef>
              <c:f>'Stanje i struktura javnog duga'!$AL$117</c:f>
              <c:strCache>
                <c:ptCount val="1"/>
                <c:pt idx="0">
                  <c:v>Државне обвезнице 5Г ЕУР</c:v>
                </c:pt>
              </c:strCache>
            </c:strRef>
          </c:tx>
          <c:spPr>
            <a:solidFill>
              <a:srgbClr val="C0504D">
                <a:lumMod val="40000"/>
                <a:lumOff val="60000"/>
              </a:srgbClr>
            </a:solidFill>
            <a:ln>
              <a:noFill/>
            </a:ln>
            <a:effectLst/>
            <a:sp3d/>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duga'!$AM$117:$AP$117</c:f>
              <c:numCache>
                <c:formatCode>0.0</c:formatCode>
                <c:ptCount val="4"/>
                <c:pt idx="0">
                  <c:v>0</c:v>
                </c:pt>
                <c:pt idx="1">
                  <c:v>0</c:v>
                </c:pt>
                <c:pt idx="2">
                  <c:v>9.5484826054774228</c:v>
                </c:pt>
                <c:pt idx="3">
                  <c:v>13.748810656517598</c:v>
                </c:pt>
              </c:numCache>
            </c:numRef>
          </c:val>
        </c:ser>
        <c:ser>
          <c:idx val="5"/>
          <c:order val="5"/>
          <c:tx>
            <c:strRef>
              <c:f>'Stanje i struktura javnog duga'!$AL$118</c:f>
              <c:strCache>
                <c:ptCount val="1"/>
                <c:pt idx="0">
                  <c:v>Државне обвезнице 10Г ЕУР</c:v>
                </c:pt>
              </c:strCache>
            </c:strRef>
          </c:tx>
          <c:spPr>
            <a:solidFill>
              <a:schemeClr val="accent1">
                <a:tint val="65000"/>
              </a:schemeClr>
            </a:solidFill>
            <a:ln>
              <a:noFill/>
            </a:ln>
            <a:effectLst/>
            <a:sp3d/>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duga'!$AM$118:$AP$118</c:f>
              <c:numCache>
                <c:formatCode>0.0</c:formatCode>
                <c:ptCount val="4"/>
                <c:pt idx="0">
                  <c:v>0</c:v>
                </c:pt>
                <c:pt idx="1">
                  <c:v>0</c:v>
                </c:pt>
                <c:pt idx="2">
                  <c:v>0</c:v>
                </c:pt>
                <c:pt idx="3">
                  <c:v>5.6137012369172208</c:v>
                </c:pt>
              </c:numCache>
            </c:numRef>
          </c:val>
        </c:ser>
        <c:ser>
          <c:idx val="6"/>
          <c:order val="6"/>
          <c:tx>
            <c:strRef>
              <c:f>'Stanje i struktura javnog duga'!$AL$119</c:f>
              <c:strCache>
                <c:ptCount val="1"/>
                <c:pt idx="0">
                  <c:v>Државне обвезнице 15Г ЕУР</c:v>
                </c:pt>
              </c:strCache>
            </c:strRef>
          </c:tx>
          <c:spPr>
            <a:solidFill>
              <a:srgbClr val="F79646">
                <a:lumMod val="40000"/>
                <a:lumOff val="60000"/>
              </a:srgbClr>
            </a:solidFill>
            <a:ln>
              <a:noFill/>
            </a:ln>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duga'!$AM$119:$AP$119</c:f>
              <c:numCache>
                <c:formatCode>0.0</c:formatCode>
                <c:ptCount val="4"/>
                <c:pt idx="0">
                  <c:v>26.079447322970633</c:v>
                </c:pt>
                <c:pt idx="1">
                  <c:v>15.284249767008392</c:v>
                </c:pt>
                <c:pt idx="2">
                  <c:v>12.287194670614358</c:v>
                </c:pt>
                <c:pt idx="3">
                  <c:v>8.1826831588962872</c:v>
                </c:pt>
              </c:numCache>
            </c:numRef>
          </c:val>
        </c:ser>
        <c:dLbls>
          <c:showLegendKey val="0"/>
          <c:showVal val="0"/>
          <c:showCatName val="0"/>
          <c:showSerName val="0"/>
          <c:showPercent val="0"/>
          <c:showBubbleSize val="0"/>
        </c:dLbls>
        <c:gapWidth val="150"/>
        <c:shape val="box"/>
        <c:axId val="475970768"/>
        <c:axId val="475971160"/>
        <c:axId val="0"/>
      </c:bar3DChart>
      <c:catAx>
        <c:axId val="475970768"/>
        <c:scaling>
          <c:orientation val="minMax"/>
        </c:scaling>
        <c:delete val="0"/>
        <c:axPos val="b"/>
        <c:numFmt formatCode="General" sourceLinked="1"/>
        <c:majorTickMark val="none"/>
        <c:minorTickMark val="none"/>
        <c:tickLblPos val="nextTo"/>
        <c:spPr>
          <a:noFill/>
          <a:ln>
            <a:noFill/>
          </a:ln>
          <a:effectLst/>
        </c:spPr>
        <c:txPr>
          <a:bodyPr rot="0"/>
          <a:lstStyle/>
          <a:p>
            <a:pPr>
              <a:defRPr/>
            </a:pPr>
            <a:endParaRPr lang="en-US"/>
          </a:p>
        </c:txPr>
        <c:crossAx val="475971160"/>
        <c:crosses val="autoZero"/>
        <c:auto val="1"/>
        <c:lblAlgn val="ctr"/>
        <c:lblOffset val="100"/>
        <c:noMultiLvlLbl val="0"/>
      </c:catAx>
      <c:valAx>
        <c:axId val="4759711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0"/>
          <a:lstStyle/>
          <a:p>
            <a:pPr>
              <a:defRPr/>
            </a:pPr>
            <a:endParaRPr lang="en-US"/>
          </a:p>
        </c:txPr>
        <c:crossAx val="475970768"/>
        <c:crosses val="autoZero"/>
        <c:crossBetween val="between"/>
      </c:valAx>
      <c:spPr>
        <a:solidFill>
          <a:srgbClr val="9BBB59">
            <a:lumMod val="20000"/>
            <a:lumOff val="80000"/>
          </a:srgbClr>
        </a:solidFill>
        <a:ln>
          <a:noFill/>
        </a:ln>
        <a:effectLst/>
      </c:spPr>
    </c:plotArea>
    <c:legend>
      <c:legendPos val="l"/>
      <c:layout>
        <c:manualLayout>
          <c:xMode val="edge"/>
          <c:yMode val="edge"/>
          <c:x val="0.66694561376672656"/>
          <c:y val="5.9259977406464451E-2"/>
          <c:w val="0.29599656541805397"/>
          <c:h val="0.8883577978678589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chemeClr val="bg1">
              <a:lumMod val="50000"/>
            </a:schemeClr>
          </a:solidFill>
          <a:latin typeface="+mj-lt"/>
          <a:cs typeface="Times New Roman" panose="02020603050405020304" pitchFamily="18"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71014379016653"/>
          <c:y val="2.1691323176884766E-2"/>
          <c:w val="0.84329993634516909"/>
          <c:h val="0.51101770389913792"/>
        </c:manualLayout>
      </c:layout>
      <c:lineChart>
        <c:grouping val="standard"/>
        <c:varyColors val="0"/>
        <c:ser>
          <c:idx val="0"/>
          <c:order val="0"/>
          <c:tx>
            <c:strRef>
              <c:f>'Pregled emisija HoV'!$Q$4</c:f>
              <c:strCache>
                <c:ptCount val="1"/>
                <c:pt idx="0">
                  <c:v>Државни записи 3М</c:v>
                </c:pt>
              </c:strCache>
            </c:strRef>
          </c:tx>
          <c:spPr>
            <a:ln w="22225" cap="rnd">
              <a:solidFill>
                <a:schemeClr val="accent3"/>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HoV'!$Q$5:$Q$17</c:f>
              <c:numCache>
                <c:formatCode>0.00%</c:formatCode>
                <c:ptCount val="13"/>
                <c:pt idx="0">
                  <c:v>9.2500000000000027E-2</c:v>
                </c:pt>
                <c:pt idx="1">
                  <c:v>9.0900000000000022E-2</c:v>
                </c:pt>
                <c:pt idx="2">
                  <c:v>8.5000000000000034E-2</c:v>
                </c:pt>
                <c:pt idx="3">
                  <c:v>7.9100000000000004E-2</c:v>
                </c:pt>
                <c:pt idx="4">
                  <c:v>7.5000000000000011E-2</c:v>
                </c:pt>
                <c:pt idx="5">
                  <c:v>7.5999999999999998E-2</c:v>
                </c:pt>
                <c:pt idx="6">
                  <c:v>7.6999999999999999E-2</c:v>
                </c:pt>
                <c:pt idx="7">
                  <c:v>7.5900000000000009E-2</c:v>
                </c:pt>
                <c:pt idx="8">
                  <c:v>7.2950000000000001E-2</c:v>
                </c:pt>
                <c:pt idx="9">
                  <c:v>7.0000000000000021E-2</c:v>
                </c:pt>
                <c:pt idx="10">
                  <c:v>6.900000000000002E-2</c:v>
                </c:pt>
                <c:pt idx="11">
                  <c:v>6.900000000000002E-2</c:v>
                </c:pt>
                <c:pt idx="12">
                  <c:v>6.7000000000000004E-2</c:v>
                </c:pt>
              </c:numCache>
            </c:numRef>
          </c:val>
          <c:smooth val="0"/>
        </c:ser>
        <c:ser>
          <c:idx val="1"/>
          <c:order val="1"/>
          <c:tx>
            <c:strRef>
              <c:f>'Pregled emisija HoV'!$R$4</c:f>
              <c:strCache>
                <c:ptCount val="1"/>
                <c:pt idx="0">
                  <c:v>Државни записи 6М</c:v>
                </c:pt>
              </c:strCache>
            </c:strRef>
          </c:tx>
          <c:spPr>
            <a:ln w="22225" cap="rnd">
              <a:solidFill>
                <a:schemeClr val="accent1">
                  <a:shade val="65000"/>
                </a:schemeClr>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HoV'!$R$5:$R$17</c:f>
              <c:numCache>
                <c:formatCode>0.00%</c:formatCode>
                <c:ptCount val="13"/>
                <c:pt idx="0">
                  <c:v>9.5000000000000015E-2</c:v>
                </c:pt>
                <c:pt idx="1">
                  <c:v>9.240000000000001E-2</c:v>
                </c:pt>
                <c:pt idx="2">
                  <c:v>8.9800000000000019E-2</c:v>
                </c:pt>
                <c:pt idx="3">
                  <c:v>8.3850000000000022E-2</c:v>
                </c:pt>
                <c:pt idx="4">
                  <c:v>7.7900000000000011E-2</c:v>
                </c:pt>
                <c:pt idx="5">
                  <c:v>7.8900000000000012E-2</c:v>
                </c:pt>
                <c:pt idx="6">
                  <c:v>7.9900000000000013E-2</c:v>
                </c:pt>
                <c:pt idx="7">
                  <c:v>7.8199999999999992E-2</c:v>
                </c:pt>
                <c:pt idx="8">
                  <c:v>7.6499999999999999E-2</c:v>
                </c:pt>
                <c:pt idx="9">
                  <c:v>7.4450000000000016E-2</c:v>
                </c:pt>
                <c:pt idx="10">
                  <c:v>7.240000000000002E-2</c:v>
                </c:pt>
                <c:pt idx="11">
                  <c:v>7.240000000000002E-2</c:v>
                </c:pt>
                <c:pt idx="12">
                  <c:v>7.240000000000002E-2</c:v>
                </c:pt>
              </c:numCache>
            </c:numRef>
          </c:val>
          <c:smooth val="0"/>
        </c:ser>
        <c:ser>
          <c:idx val="2"/>
          <c:order val="2"/>
          <c:tx>
            <c:strRef>
              <c:f>'Pregled emisija HoV'!$S$4</c:f>
              <c:strCache>
                <c:ptCount val="1"/>
                <c:pt idx="0">
                  <c:v>Државни записи 53Н</c:v>
                </c:pt>
              </c:strCache>
            </c:strRef>
          </c:tx>
          <c:spPr>
            <a:ln w="22225" cap="rnd">
              <a:solidFill>
                <a:schemeClr val="accent6"/>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HoV'!$S$5:$S$17</c:f>
              <c:numCache>
                <c:formatCode>0.00%</c:formatCode>
                <c:ptCount val="13"/>
                <c:pt idx="0">
                  <c:v>0.1014</c:v>
                </c:pt>
                <c:pt idx="1">
                  <c:v>9.515000000000004E-2</c:v>
                </c:pt>
                <c:pt idx="2">
                  <c:v>8.8900000000000021E-2</c:v>
                </c:pt>
                <c:pt idx="3">
                  <c:v>8.3700000000000038E-2</c:v>
                </c:pt>
                <c:pt idx="4">
                  <c:v>8.5800000000000015E-2</c:v>
                </c:pt>
                <c:pt idx="5">
                  <c:v>8.8800000000000018E-2</c:v>
                </c:pt>
                <c:pt idx="6">
                  <c:v>8.8200000000000014E-2</c:v>
                </c:pt>
                <c:pt idx="7">
                  <c:v>8.8200000000000014E-2</c:v>
                </c:pt>
                <c:pt idx="8">
                  <c:v>8.2000000000000003E-2</c:v>
                </c:pt>
                <c:pt idx="9">
                  <c:v>8.2000000000000003E-2</c:v>
                </c:pt>
                <c:pt idx="10">
                  <c:v>8.2000000000000003E-2</c:v>
                </c:pt>
                <c:pt idx="11">
                  <c:v>8.2000000000000003E-2</c:v>
                </c:pt>
              </c:numCache>
            </c:numRef>
          </c:val>
          <c:smooth val="0"/>
        </c:ser>
        <c:ser>
          <c:idx val="3"/>
          <c:order val="3"/>
          <c:tx>
            <c:strRef>
              <c:f>'Pregled emisija HoV'!$T$4</c:f>
              <c:strCache>
                <c:ptCount val="1"/>
                <c:pt idx="0">
                  <c:v>Државне обвезнице 2Г</c:v>
                </c:pt>
              </c:strCache>
            </c:strRef>
          </c:tx>
          <c:spPr>
            <a:ln w="22225" cap="rnd">
              <a:solidFill>
                <a:schemeClr val="accent1"/>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HoV'!$T$5:$T$17</c:f>
              <c:numCache>
                <c:formatCode>0.00%</c:formatCode>
                <c:ptCount val="13"/>
                <c:pt idx="0">
                  <c:v>0.111</c:v>
                </c:pt>
                <c:pt idx="1">
                  <c:v>0.10700000000000001</c:v>
                </c:pt>
                <c:pt idx="2">
                  <c:v>0.1009</c:v>
                </c:pt>
                <c:pt idx="3">
                  <c:v>8.9800000000000019E-2</c:v>
                </c:pt>
                <c:pt idx="4">
                  <c:v>9.3900000000000039E-2</c:v>
                </c:pt>
                <c:pt idx="5">
                  <c:v>9.8000000000000018E-2</c:v>
                </c:pt>
                <c:pt idx="6">
                  <c:v>9.5500000000000015E-2</c:v>
                </c:pt>
                <c:pt idx="7">
                  <c:v>9.3000000000000041E-2</c:v>
                </c:pt>
                <c:pt idx="8">
                  <c:v>9.0000000000000011E-2</c:v>
                </c:pt>
                <c:pt idx="9">
                  <c:v>9.0000000000000011E-2</c:v>
                </c:pt>
                <c:pt idx="10">
                  <c:v>9.0000000000000011E-2</c:v>
                </c:pt>
                <c:pt idx="11">
                  <c:v>9.0000000000000011E-2</c:v>
                </c:pt>
              </c:numCache>
            </c:numRef>
          </c:val>
          <c:smooth val="0"/>
        </c:ser>
        <c:ser>
          <c:idx val="4"/>
          <c:order val="4"/>
          <c:tx>
            <c:strRef>
              <c:f>'Pregled emisija HoV'!$U$4</c:f>
              <c:strCache>
                <c:ptCount val="1"/>
                <c:pt idx="0">
                  <c:v>Државне обвезнице 3Г</c:v>
                </c:pt>
              </c:strCache>
            </c:strRef>
          </c:tx>
          <c:spPr>
            <a:ln w="22225" cap="rnd">
              <a:solidFill>
                <a:schemeClr val="accent2"/>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HoV'!$U$5:$U$17</c:f>
              <c:numCache>
                <c:formatCode>0.00%</c:formatCode>
                <c:ptCount val="13"/>
                <c:pt idx="0">
                  <c:v>0.11849999999999998</c:v>
                </c:pt>
                <c:pt idx="1">
                  <c:v>0.10500000000000001</c:v>
                </c:pt>
                <c:pt idx="2">
                  <c:v>0.1018</c:v>
                </c:pt>
                <c:pt idx="3">
                  <c:v>0.1028</c:v>
                </c:pt>
                <c:pt idx="4">
                  <c:v>0.1038</c:v>
                </c:pt>
                <c:pt idx="5">
                  <c:v>0.10489999999999998</c:v>
                </c:pt>
                <c:pt idx="6">
                  <c:v>0.10245</c:v>
                </c:pt>
                <c:pt idx="7">
                  <c:v>0.1</c:v>
                </c:pt>
                <c:pt idx="8">
                  <c:v>0.1</c:v>
                </c:pt>
                <c:pt idx="9">
                  <c:v>0.1</c:v>
                </c:pt>
              </c:numCache>
            </c:numRef>
          </c:val>
          <c:smooth val="0"/>
        </c:ser>
        <c:ser>
          <c:idx val="5"/>
          <c:order val="5"/>
          <c:tx>
            <c:strRef>
              <c:f>'Pregled emisija HoV'!$V$4</c:f>
              <c:strCache>
                <c:ptCount val="1"/>
                <c:pt idx="0">
                  <c:v>Државне обвезнице 5Г</c:v>
                </c:pt>
              </c:strCache>
            </c:strRef>
          </c:tx>
          <c:spPr>
            <a:ln w="22225" cap="rnd">
              <a:solidFill>
                <a:schemeClr val="tx1"/>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HoV'!$V$5:$V$17</c:f>
              <c:numCache>
                <c:formatCode>0.00%</c:formatCode>
                <c:ptCount val="13"/>
                <c:pt idx="0">
                  <c:v>0.1159</c:v>
                </c:pt>
                <c:pt idx="1">
                  <c:v>0.11890000000000002</c:v>
                </c:pt>
                <c:pt idx="2">
                  <c:v>0.11753333333333335</c:v>
                </c:pt>
                <c:pt idx="3">
                  <c:v>0.11616666666666668</c:v>
                </c:pt>
                <c:pt idx="4">
                  <c:v>0.1148</c:v>
                </c:pt>
                <c:pt idx="5">
                  <c:v>0.11310000000000002</c:v>
                </c:pt>
                <c:pt idx="6">
                  <c:v>0.11140000000000001</c:v>
                </c:pt>
                <c:pt idx="7">
                  <c:v>0.10970000000000003</c:v>
                </c:pt>
                <c:pt idx="8">
                  <c:v>0.10800000000000003</c:v>
                </c:pt>
                <c:pt idx="9">
                  <c:v>0.10800000000000003</c:v>
                </c:pt>
                <c:pt idx="10">
                  <c:v>0.10800000000000003</c:v>
                </c:pt>
              </c:numCache>
            </c:numRef>
          </c:val>
          <c:smooth val="0"/>
        </c:ser>
        <c:ser>
          <c:idx val="6"/>
          <c:order val="6"/>
          <c:tx>
            <c:strRef>
              <c:f>'Pregled emisija HoV'!$W$4</c:f>
              <c:strCache>
                <c:ptCount val="1"/>
                <c:pt idx="0">
                  <c:v>Државне обвезнице 7Г</c:v>
                </c:pt>
              </c:strCache>
            </c:strRef>
          </c:tx>
          <c:spPr>
            <a:ln w="22225" cap="rnd">
              <a:solidFill>
                <a:schemeClr val="bg2">
                  <a:lumMod val="50000"/>
                </a:schemeClr>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HoV'!$W$5:$W$17</c:f>
              <c:numCache>
                <c:formatCode>0.00%</c:formatCode>
                <c:ptCount val="13"/>
                <c:pt idx="0">
                  <c:v>0.12991666666666668</c:v>
                </c:pt>
                <c:pt idx="1">
                  <c:v>0.12993333333333337</c:v>
                </c:pt>
                <c:pt idx="2">
                  <c:v>0.12995000000000001</c:v>
                </c:pt>
                <c:pt idx="3">
                  <c:v>0.12996666666666667</c:v>
                </c:pt>
                <c:pt idx="4">
                  <c:v>0.12998333333333334</c:v>
                </c:pt>
                <c:pt idx="5">
                  <c:v>0.13</c:v>
                </c:pt>
                <c:pt idx="6">
                  <c:v>0.12400000000000001</c:v>
                </c:pt>
                <c:pt idx="7">
                  <c:v>0.11799999999999998</c:v>
                </c:pt>
                <c:pt idx="8">
                  <c:v>0.11799999999999998</c:v>
                </c:pt>
                <c:pt idx="9">
                  <c:v>0.11799999999999998</c:v>
                </c:pt>
                <c:pt idx="10">
                  <c:v>0.11795</c:v>
                </c:pt>
                <c:pt idx="11">
                  <c:v>0.1179</c:v>
                </c:pt>
              </c:numCache>
            </c:numRef>
          </c:val>
          <c:smooth val="0"/>
        </c:ser>
        <c:ser>
          <c:idx val="7"/>
          <c:order val="7"/>
          <c:tx>
            <c:strRef>
              <c:f>'Pregled emisija HoV'!$X$4</c:f>
              <c:strCache>
                <c:ptCount val="1"/>
                <c:pt idx="0">
                  <c:v>Државне обвезнице 10Г</c:v>
                </c:pt>
              </c:strCache>
            </c:strRef>
          </c:tx>
          <c:spPr>
            <a:ln w="88900">
              <a:solidFill>
                <a:srgbClr val="77933C"/>
              </a:solidFill>
            </a:ln>
          </c:spPr>
          <c:marker>
            <c:symbol val="dot"/>
            <c:size val="10"/>
          </c:marker>
          <c:dPt>
            <c:idx val="12"/>
            <c:marker>
              <c:symbol val="dash"/>
              <c:size val="8"/>
              <c:spPr>
                <a:solidFill>
                  <a:srgbClr val="9BBB59">
                    <a:lumMod val="75000"/>
                  </a:srgbClr>
                </a:solidFill>
              </c:spPr>
            </c:marker>
            <c:bubble3D val="0"/>
          </c:dPt>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HoV'!$X$5:$X$17</c:f>
              <c:numCache>
                <c:formatCode>General</c:formatCode>
                <c:ptCount val="13"/>
                <c:pt idx="12" formatCode="0.00%">
                  <c:v>0.12989999999999999</c:v>
                </c:pt>
              </c:numCache>
            </c:numRef>
          </c:val>
          <c:smooth val="0"/>
        </c:ser>
        <c:dLbls>
          <c:showLegendKey val="0"/>
          <c:showVal val="0"/>
          <c:showCatName val="0"/>
          <c:showSerName val="0"/>
          <c:showPercent val="0"/>
          <c:showBubbleSize val="0"/>
        </c:dLbls>
        <c:smooth val="0"/>
        <c:axId val="475971944"/>
        <c:axId val="475972336"/>
      </c:lineChart>
      <c:catAx>
        <c:axId val="4759719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a:lstStyle/>
          <a:p>
            <a:pPr>
              <a:defRPr/>
            </a:pPr>
            <a:endParaRPr lang="en-US"/>
          </a:p>
        </c:txPr>
        <c:crossAx val="475972336"/>
        <c:crosses val="autoZero"/>
        <c:auto val="1"/>
        <c:lblAlgn val="ctr"/>
        <c:lblOffset val="100"/>
        <c:noMultiLvlLbl val="0"/>
      </c:catAx>
      <c:valAx>
        <c:axId val="475972336"/>
        <c:scaling>
          <c:orientation val="minMax"/>
          <c:min val="6.0000000000000032E-2"/>
        </c:scaling>
        <c:delete val="0"/>
        <c:axPos val="l"/>
        <c:majorGridlines>
          <c:spPr>
            <a:ln w="9525" cap="flat" cmpd="sng" algn="ctr">
              <a:solidFill>
                <a:schemeClr val="dk1">
                  <a:lumMod val="15000"/>
                  <a:lumOff val="85000"/>
                  <a:alpha val="54000"/>
                </a:schemeClr>
              </a:solidFill>
              <a:round/>
            </a:ln>
            <a:effectLst/>
          </c:spPr>
        </c:majorGridlines>
        <c:title>
          <c:tx>
            <c:rich>
              <a:bodyPr rot="-5400000" vert="horz"/>
              <a:lstStyle/>
              <a:p>
                <a:pPr>
                  <a:defRPr/>
                </a:pPr>
                <a:r>
                  <a:rPr lang="x-none"/>
                  <a:t>Извршне стопе динарских</a:t>
                </a:r>
                <a:endParaRPr lang="en-US"/>
              </a:p>
              <a:p>
                <a:pPr>
                  <a:defRPr/>
                </a:pPr>
                <a:r>
                  <a:rPr lang="x-none"/>
                  <a:t> хартија од вредности</a:t>
                </a:r>
              </a:p>
            </c:rich>
          </c:tx>
          <c:layout>
            <c:manualLayout>
              <c:xMode val="edge"/>
              <c:yMode val="edge"/>
              <c:x val="3.0230362685899838E-4"/>
              <c:y val="4.3655190672772293E-2"/>
            </c:manualLayout>
          </c:layout>
          <c:overlay val="0"/>
          <c:spPr>
            <a:noFill/>
            <a:ln>
              <a:noFill/>
            </a:ln>
            <a:effectLst/>
          </c:spPr>
        </c:title>
        <c:numFmt formatCode="0.0%" sourceLinked="0"/>
        <c:majorTickMark val="none"/>
        <c:minorTickMark val="none"/>
        <c:tickLblPos val="nextTo"/>
        <c:spPr>
          <a:noFill/>
          <a:ln>
            <a:noFill/>
          </a:ln>
          <a:effectLst/>
        </c:spPr>
        <c:txPr>
          <a:bodyPr rot="-60000000" vert="horz"/>
          <a:lstStyle/>
          <a:p>
            <a:pPr>
              <a:defRPr/>
            </a:pPr>
            <a:endParaRPr lang="en-US"/>
          </a:p>
        </c:txPr>
        <c:crossAx val="475971944"/>
        <c:crosses val="autoZero"/>
        <c:crossBetween val="between"/>
      </c:valAx>
      <c:spPr>
        <a:solidFill>
          <a:srgbClr val="9BBB59">
            <a:lumMod val="20000"/>
            <a:lumOff val="80000"/>
          </a:srgbClr>
        </a:solidFill>
        <a:ln w="25400">
          <a:noFill/>
        </a:ln>
        <a:effectLst/>
      </c:spPr>
    </c:plotArea>
    <c:legend>
      <c:legendPos val="b"/>
      <c:layout>
        <c:manualLayout>
          <c:xMode val="edge"/>
          <c:yMode val="edge"/>
          <c:x val="0"/>
          <c:y val="0.84694414456793332"/>
          <c:w val="1"/>
          <c:h val="0.1362745830207684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solidFill>
        <a:sysClr val="window" lastClr="FFFFFF"/>
      </a:solidFill>
      <a:round/>
    </a:ln>
    <a:effectLst/>
  </c:spPr>
  <c:txPr>
    <a:bodyPr/>
    <a:lstStyle/>
    <a:p>
      <a:pPr>
        <a:defRPr sz="900">
          <a:solidFill>
            <a:schemeClr val="bg1">
              <a:lumMod val="50000"/>
            </a:schemeClr>
          </a:solidFill>
          <a:latin typeface="+mj-lt"/>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92059945247048"/>
          <c:y val="2.2209723784527246E-2"/>
          <c:w val="0.85240981220813317"/>
          <c:h val="0.52904952447336095"/>
        </c:manualLayout>
      </c:layout>
      <c:lineChart>
        <c:grouping val="standard"/>
        <c:varyColors val="0"/>
        <c:ser>
          <c:idx val="0"/>
          <c:order val="0"/>
          <c:tx>
            <c:strRef>
              <c:f>'Pregled emisija HoV'!$Z$4</c:f>
              <c:strCache>
                <c:ptCount val="1"/>
                <c:pt idx="0">
                  <c:v>Државни евро записи 53Н</c:v>
                </c:pt>
              </c:strCache>
            </c:strRef>
          </c:tx>
          <c:spPr>
            <a:ln w="22225" cap="rnd">
              <a:solidFill>
                <a:schemeClr val="accent6"/>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HoV'!$Z$5:$Z$17</c:f>
              <c:numCache>
                <c:formatCode>0.00%</c:formatCode>
                <c:ptCount val="13"/>
                <c:pt idx="0">
                  <c:v>3.2850000000000004E-2</c:v>
                </c:pt>
                <c:pt idx="1">
                  <c:v>3.3300000000000003E-2</c:v>
                </c:pt>
                <c:pt idx="2">
                  <c:v>3.7999999999999999E-2</c:v>
                </c:pt>
                <c:pt idx="3">
                  <c:v>3.500000000000001E-2</c:v>
                </c:pt>
                <c:pt idx="4">
                  <c:v>3.4300000000000004E-2</c:v>
                </c:pt>
                <c:pt idx="5">
                  <c:v>3.3600000000000005E-2</c:v>
                </c:pt>
                <c:pt idx="6">
                  <c:v>3.2900000000000006E-2</c:v>
                </c:pt>
                <c:pt idx="7">
                  <c:v>3.2399999999999998E-2</c:v>
                </c:pt>
                <c:pt idx="8">
                  <c:v>3.2150000000000005E-2</c:v>
                </c:pt>
                <c:pt idx="9">
                  <c:v>3.1900000000000005E-2</c:v>
                </c:pt>
                <c:pt idx="10">
                  <c:v>3.1900000000000005E-2</c:v>
                </c:pt>
                <c:pt idx="11">
                  <c:v>3.1900000000000005E-2</c:v>
                </c:pt>
              </c:numCache>
            </c:numRef>
          </c:val>
          <c:smooth val="0"/>
        </c:ser>
        <c:ser>
          <c:idx val="4"/>
          <c:order val="1"/>
          <c:tx>
            <c:strRef>
              <c:f>'Pregled emisija HoV'!$AA$4</c:f>
              <c:strCache>
                <c:ptCount val="1"/>
                <c:pt idx="0">
                  <c:v>Државне евро обвезнице 2Г</c:v>
                </c:pt>
              </c:strCache>
            </c:strRef>
          </c:tx>
          <c:spPr>
            <a:ln w="22225" cap="rnd">
              <a:solidFill>
                <a:schemeClr val="accent2"/>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HoV'!$AA$5:$AA$17</c:f>
              <c:numCache>
                <c:formatCode>0.00%</c:formatCode>
                <c:ptCount val="13"/>
                <c:pt idx="0">
                  <c:v>4.5800000000000007E-2</c:v>
                </c:pt>
                <c:pt idx="1">
                  <c:v>4.6300000000000001E-2</c:v>
                </c:pt>
                <c:pt idx="2">
                  <c:v>4.6800000000000001E-2</c:v>
                </c:pt>
                <c:pt idx="3">
                  <c:v>4.2800000000000005E-2</c:v>
                </c:pt>
                <c:pt idx="4">
                  <c:v>4.2133333333333349E-2</c:v>
                </c:pt>
                <c:pt idx="5">
                  <c:v>4.1466666666666679E-2</c:v>
                </c:pt>
                <c:pt idx="6">
                  <c:v>4.0800000000000003E-2</c:v>
                </c:pt>
                <c:pt idx="7">
                  <c:v>4.0800000000000003E-2</c:v>
                </c:pt>
                <c:pt idx="8">
                  <c:v>4.0800000000000003E-2</c:v>
                </c:pt>
                <c:pt idx="9">
                  <c:v>4.0500000000000001E-2</c:v>
                </c:pt>
                <c:pt idx="10">
                  <c:v>4.0000000000000008E-2</c:v>
                </c:pt>
                <c:pt idx="11">
                  <c:v>3.9000000000000007E-2</c:v>
                </c:pt>
                <c:pt idx="12">
                  <c:v>3.7999999999999999E-2</c:v>
                </c:pt>
              </c:numCache>
            </c:numRef>
          </c:val>
          <c:smooth val="0"/>
        </c:ser>
        <c:ser>
          <c:idx val="1"/>
          <c:order val="2"/>
          <c:tx>
            <c:strRef>
              <c:f>'Pregled emisija HoV'!$AB$4</c:f>
              <c:strCache>
                <c:ptCount val="1"/>
                <c:pt idx="0">
                  <c:v>Државне евро обвезнице 3Г</c:v>
                </c:pt>
              </c:strCache>
            </c:strRef>
          </c:tx>
          <c:spPr>
            <a:ln w="22225" cap="rnd">
              <a:solidFill>
                <a:schemeClr val="tx1"/>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HoV'!$AB$5:$AB$17</c:f>
              <c:numCache>
                <c:formatCode>0.00%</c:formatCode>
                <c:ptCount val="13"/>
                <c:pt idx="0">
                  <c:v>0.05</c:v>
                </c:pt>
                <c:pt idx="1">
                  <c:v>4.9600000000000012E-2</c:v>
                </c:pt>
                <c:pt idx="2">
                  <c:v>4.9200000000000015E-2</c:v>
                </c:pt>
                <c:pt idx="3">
                  <c:v>4.880000000000001E-2</c:v>
                </c:pt>
                <c:pt idx="4">
                  <c:v>4.8400000000000012E-2</c:v>
                </c:pt>
                <c:pt idx="5">
                  <c:v>4.8000000000000001E-2</c:v>
                </c:pt>
                <c:pt idx="6">
                  <c:v>4.7733333333333357E-2</c:v>
                </c:pt>
                <c:pt idx="7">
                  <c:v>4.7466666666666685E-2</c:v>
                </c:pt>
                <c:pt idx="8">
                  <c:v>4.7200000000000006E-2</c:v>
                </c:pt>
                <c:pt idx="9">
                  <c:v>4.7600000000000003E-2</c:v>
                </c:pt>
                <c:pt idx="10">
                  <c:v>4.8000000000000001E-2</c:v>
                </c:pt>
                <c:pt idx="11">
                  <c:v>4.8000000000000001E-2</c:v>
                </c:pt>
                <c:pt idx="12">
                  <c:v>4.8000000000000001E-2</c:v>
                </c:pt>
              </c:numCache>
            </c:numRef>
          </c:val>
          <c:smooth val="0"/>
        </c:ser>
        <c:ser>
          <c:idx val="2"/>
          <c:order val="3"/>
          <c:tx>
            <c:strRef>
              <c:f>'Pregled emisija HoV'!$AC$4</c:f>
              <c:strCache>
                <c:ptCount val="1"/>
                <c:pt idx="0">
                  <c:v>Државне евро обвезнице 5Г</c:v>
                </c:pt>
              </c:strCache>
            </c:strRef>
          </c:tx>
          <c:spPr>
            <a:ln w="22225" cap="rnd">
              <a:solidFill>
                <a:schemeClr val="accent3"/>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HoV'!$AC$5:$AC$17</c:f>
              <c:numCache>
                <c:formatCode>0.00%</c:formatCode>
                <c:ptCount val="13"/>
                <c:pt idx="0">
                  <c:v>5.5000000000000007E-2</c:v>
                </c:pt>
                <c:pt idx="1">
                  <c:v>5.7500000000000009E-2</c:v>
                </c:pt>
                <c:pt idx="2">
                  <c:v>5.4500000000000007E-2</c:v>
                </c:pt>
                <c:pt idx="3">
                  <c:v>5.1499999999999997E-2</c:v>
                </c:pt>
                <c:pt idx="4">
                  <c:v>5.1000000000000004E-2</c:v>
                </c:pt>
                <c:pt idx="5">
                  <c:v>5.0400000000000007E-2</c:v>
                </c:pt>
                <c:pt idx="6">
                  <c:v>4.9800000000000011E-2</c:v>
                </c:pt>
                <c:pt idx="7">
                  <c:v>4.9200000000000008E-2</c:v>
                </c:pt>
                <c:pt idx="8">
                  <c:v>4.8800000000000003E-2</c:v>
                </c:pt>
                <c:pt idx="9">
                  <c:v>4.8400000000000012E-2</c:v>
                </c:pt>
                <c:pt idx="10">
                  <c:v>4.8000000000000001E-2</c:v>
                </c:pt>
                <c:pt idx="11">
                  <c:v>0.05</c:v>
                </c:pt>
              </c:numCache>
            </c:numRef>
          </c:val>
          <c:smooth val="0"/>
        </c:ser>
        <c:ser>
          <c:idx val="3"/>
          <c:order val="4"/>
          <c:tx>
            <c:strRef>
              <c:f>'Pregled emisija HoV'!$AD$4</c:f>
              <c:strCache>
                <c:ptCount val="1"/>
                <c:pt idx="0">
                  <c:v>Државне евро обвезнице 10Г</c:v>
                </c:pt>
              </c:strCache>
            </c:strRef>
          </c:tx>
          <c:spPr>
            <a:ln w="22225" cap="rnd">
              <a:solidFill>
                <a:schemeClr val="accent1">
                  <a:tint val="77000"/>
                </a:schemeClr>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HoV'!$AD$5:$AD$17</c:f>
              <c:numCache>
                <c:formatCode>General</c:formatCode>
                <c:ptCount val="13"/>
                <c:pt idx="7" formatCode="0.00%">
                  <c:v>5.5000000000000007E-2</c:v>
                </c:pt>
                <c:pt idx="8" formatCode="0.00%">
                  <c:v>5.5000000000000007E-2</c:v>
                </c:pt>
                <c:pt idx="9" formatCode="0.00%">
                  <c:v>5.5000000000000007E-2</c:v>
                </c:pt>
              </c:numCache>
            </c:numRef>
          </c:val>
          <c:smooth val="0"/>
        </c:ser>
        <c:dLbls>
          <c:showLegendKey val="0"/>
          <c:showVal val="0"/>
          <c:showCatName val="0"/>
          <c:showSerName val="0"/>
          <c:showPercent val="0"/>
          <c:showBubbleSize val="0"/>
        </c:dLbls>
        <c:smooth val="0"/>
        <c:axId val="475973120"/>
        <c:axId val="475973512"/>
      </c:lineChart>
      <c:catAx>
        <c:axId val="4759731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a:lstStyle/>
          <a:p>
            <a:pPr>
              <a:defRPr/>
            </a:pPr>
            <a:endParaRPr lang="en-US"/>
          </a:p>
        </c:txPr>
        <c:crossAx val="475973512"/>
        <c:crosses val="autoZero"/>
        <c:auto val="1"/>
        <c:lblAlgn val="ctr"/>
        <c:lblOffset val="100"/>
        <c:noMultiLvlLbl val="0"/>
      </c:catAx>
      <c:valAx>
        <c:axId val="475973512"/>
        <c:scaling>
          <c:orientation val="minMax"/>
          <c:min val="3.0000000000000016E-2"/>
        </c:scaling>
        <c:delete val="0"/>
        <c:axPos val="l"/>
        <c:majorGridlines>
          <c:spPr>
            <a:ln w="9525" cap="flat" cmpd="sng" algn="ctr">
              <a:solidFill>
                <a:schemeClr val="dk1">
                  <a:lumMod val="15000"/>
                  <a:lumOff val="85000"/>
                  <a:alpha val="54000"/>
                </a:schemeClr>
              </a:solidFill>
              <a:round/>
            </a:ln>
            <a:effectLst/>
          </c:spPr>
        </c:majorGridlines>
        <c:title>
          <c:tx>
            <c:rich>
              <a:bodyPr rot="-5400000" vert="horz"/>
              <a:lstStyle/>
              <a:p>
                <a:pPr>
                  <a:defRPr/>
                </a:pPr>
                <a:r>
                  <a:rPr lang="sr-Cyrl-BA"/>
                  <a:t>Извршне стопе евро </a:t>
                </a:r>
                <a:endParaRPr lang="en-US"/>
              </a:p>
              <a:p>
                <a:pPr>
                  <a:defRPr/>
                </a:pPr>
                <a:r>
                  <a:rPr lang="sr-Cyrl-BA"/>
                  <a:t>хартија од вредности</a:t>
                </a:r>
              </a:p>
            </c:rich>
          </c:tx>
          <c:layout>
            <c:manualLayout>
              <c:xMode val="edge"/>
              <c:yMode val="edge"/>
              <c:x val="2.9507904589361444E-4"/>
              <c:y val="9.7907126490882304E-2"/>
            </c:manualLayout>
          </c:layout>
          <c:overlay val="0"/>
          <c:spPr>
            <a:noFill/>
            <a:ln>
              <a:noFill/>
            </a:ln>
            <a:effectLst/>
          </c:spPr>
        </c:title>
        <c:numFmt formatCode="0.0%" sourceLinked="0"/>
        <c:majorTickMark val="none"/>
        <c:minorTickMark val="none"/>
        <c:tickLblPos val="nextTo"/>
        <c:spPr>
          <a:noFill/>
          <a:ln>
            <a:noFill/>
          </a:ln>
          <a:effectLst/>
        </c:spPr>
        <c:txPr>
          <a:bodyPr rot="0"/>
          <a:lstStyle/>
          <a:p>
            <a:pPr>
              <a:defRPr/>
            </a:pPr>
            <a:endParaRPr lang="en-US"/>
          </a:p>
        </c:txPr>
        <c:crossAx val="475973120"/>
        <c:crosses val="autoZero"/>
        <c:crossBetween val="between"/>
      </c:valAx>
      <c:spPr>
        <a:solidFill>
          <a:srgbClr val="9BBB59">
            <a:lumMod val="20000"/>
            <a:lumOff val="80000"/>
          </a:srgbClr>
        </a:solidFill>
        <a:ln>
          <a:noFill/>
        </a:ln>
        <a:effectLst/>
      </c:spPr>
    </c:plotArea>
    <c:legend>
      <c:legendPos val="b"/>
      <c:layout>
        <c:manualLayout>
          <c:xMode val="edge"/>
          <c:yMode val="edge"/>
          <c:x val="5.8797426225870976E-3"/>
          <c:y val="0.90521698486319346"/>
          <c:w val="0.98824051475482577"/>
          <c:h val="9.478301513680652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a:solidFill>
            <a:schemeClr val="bg1">
              <a:lumMod val="50000"/>
            </a:schemeClr>
          </a:solidFill>
          <a:latin typeface="+mj-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6.1624786353182644E-2"/>
          <c:y val="2.7642752086330245E-2"/>
          <c:w val="0.86313485497858777"/>
          <c:h val="0.68035491867949793"/>
        </c:manualLayout>
      </c:layout>
      <c:barChart>
        <c:barDir val="col"/>
        <c:grouping val="stacked"/>
        <c:varyColors val="0"/>
        <c:ser>
          <c:idx val="0"/>
          <c:order val="0"/>
          <c:tx>
            <c:strRef>
              <c:f>Makro!$B$37</c:f>
              <c:strCache>
                <c:ptCount val="1"/>
                <c:pt idx="0">
                  <c:v>Нето извоз</c:v>
                </c:pt>
              </c:strCache>
            </c:strRef>
          </c:tx>
          <c:spPr>
            <a:solidFill>
              <a:schemeClr val="accent3">
                <a:shade val="50000"/>
              </a:schemeClr>
            </a:solidFill>
            <a:ln w="9525" cap="flat" cmpd="sng" algn="ctr">
              <a:solidFill>
                <a:schemeClr val="accent3">
                  <a:shade val="50000"/>
                  <a:shade val="95000"/>
                  <a:satMod val="105000"/>
                </a:schemeClr>
              </a:solidFill>
              <a:prstDash val="solid"/>
              <a:round/>
            </a:ln>
            <a:effectLst/>
          </c:spPr>
          <c:invertIfNegative val="0"/>
          <c:cat>
            <c:numRef>
              <c:f>Makro!$C$31:$L$31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Makro!$C$37:$L$37</c:f>
              <c:numCache>
                <c:formatCode>0.0</c:formatCode>
                <c:ptCount val="10"/>
                <c:pt idx="0">
                  <c:v>-3.5669987724753076</c:v>
                </c:pt>
                <c:pt idx="1">
                  <c:v>8.8522203122759162</c:v>
                </c:pt>
                <c:pt idx="2">
                  <c:v>2.2862428721181285</c:v>
                </c:pt>
                <c:pt idx="3">
                  <c:v>-2.1376148411271467</c:v>
                </c:pt>
                <c:pt idx="4">
                  <c:v>-0.4543710009811382</c:v>
                </c:pt>
                <c:pt idx="5">
                  <c:v>3.849691125677055</c:v>
                </c:pt>
                <c:pt idx="6">
                  <c:v>8.5083303169773694E-3</c:v>
                </c:pt>
                <c:pt idx="7">
                  <c:v>2.1837874456782203</c:v>
                </c:pt>
                <c:pt idx="8">
                  <c:v>0.60244311620592939</c:v>
                </c:pt>
                <c:pt idx="9">
                  <c:v>0.40289161684394992</c:v>
                </c:pt>
              </c:numCache>
            </c:numRef>
          </c:val>
        </c:ser>
        <c:ser>
          <c:idx val="1"/>
          <c:order val="1"/>
          <c:tx>
            <c:strRef>
              <c:f>Makro!$B$33</c:f>
              <c:strCache>
                <c:ptCount val="1"/>
                <c:pt idx="0">
                  <c:v>Инвестиције</c:v>
                </c:pt>
              </c:strCache>
            </c:strRef>
          </c:tx>
          <c:spPr>
            <a:solidFill>
              <a:schemeClr val="accent4">
                <a:lumMod val="20000"/>
                <a:lumOff val="80000"/>
              </a:schemeClr>
            </a:solidFill>
            <a:ln w="9525" cap="flat" cmpd="sng" algn="ctr">
              <a:solidFill>
                <a:schemeClr val="accent3">
                  <a:shade val="50000"/>
                  <a:shade val="95000"/>
                  <a:satMod val="105000"/>
                </a:schemeClr>
              </a:solidFill>
              <a:prstDash val="solid"/>
              <a:round/>
            </a:ln>
            <a:effectLst/>
          </c:spPr>
          <c:invertIfNegative val="0"/>
          <c:cat>
            <c:numRef>
              <c:f>Makro!$C$31:$L$31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Makro!$C$33:$L$33</c:f>
              <c:numCache>
                <c:formatCode>0.0</c:formatCode>
                <c:ptCount val="10"/>
                <c:pt idx="0">
                  <c:v>2.0004146511360585</c:v>
                </c:pt>
                <c:pt idx="1">
                  <c:v>-5.6354874644294135</c:v>
                </c:pt>
                <c:pt idx="2">
                  <c:v>-1.2956217229489388</c:v>
                </c:pt>
                <c:pt idx="3">
                  <c:v>0.85871421590926011</c:v>
                </c:pt>
                <c:pt idx="4">
                  <c:v>2.5348276310419857</c:v>
                </c:pt>
                <c:pt idx="5">
                  <c:v>-1.5769276815101048</c:v>
                </c:pt>
                <c:pt idx="6">
                  <c:v>-0.36634234329346826</c:v>
                </c:pt>
                <c:pt idx="7">
                  <c:v>0.9407561931902555</c:v>
                </c:pt>
                <c:pt idx="8">
                  <c:v>1.1546385991341339</c:v>
                </c:pt>
                <c:pt idx="9">
                  <c:v>1.1864452170857969</c:v>
                </c:pt>
              </c:numCache>
            </c:numRef>
          </c:val>
        </c:ser>
        <c:ser>
          <c:idx val="2"/>
          <c:order val="2"/>
          <c:tx>
            <c:strRef>
              <c:f>Makro!$B$34</c:f>
              <c:strCache>
                <c:ptCount val="1"/>
                <c:pt idx="0">
                  <c:v>Приватна потрошња</c:v>
                </c:pt>
              </c:strCache>
            </c:strRef>
          </c:tx>
          <c:spPr>
            <a:solidFill>
              <a:schemeClr val="accent3"/>
            </a:solidFill>
            <a:ln w="9525" cap="flat" cmpd="sng" algn="ctr">
              <a:solidFill>
                <a:schemeClr val="accent3">
                  <a:shade val="50000"/>
                  <a:shade val="95000"/>
                  <a:satMod val="105000"/>
                </a:schemeClr>
              </a:solidFill>
              <a:prstDash val="solid"/>
              <a:round/>
            </a:ln>
            <a:effectLst/>
          </c:spPr>
          <c:invertIfNegative val="0"/>
          <c:cat>
            <c:numRef>
              <c:f>Makro!$C$31:$L$31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Makro!$C$34:$L$34</c:f>
              <c:numCache>
                <c:formatCode>0.0</c:formatCode>
                <c:ptCount val="10"/>
                <c:pt idx="0">
                  <c:v>4.6611676713224242</c:v>
                </c:pt>
                <c:pt idx="1">
                  <c:v>-0.16864727991681147</c:v>
                </c:pt>
                <c:pt idx="2">
                  <c:v>-0.41399651947590099</c:v>
                </c:pt>
                <c:pt idx="3">
                  <c:v>0.70446122815436274</c:v>
                </c:pt>
                <c:pt idx="4">
                  <c:v>-1.5679234321504345</c:v>
                </c:pt>
                <c:pt idx="5">
                  <c:v>-0.35692920585635868</c:v>
                </c:pt>
                <c:pt idx="6">
                  <c:v>-1.1307873337375307</c:v>
                </c:pt>
                <c:pt idx="7">
                  <c:v>-2.252480324812868</c:v>
                </c:pt>
                <c:pt idx="8">
                  <c:v>0.74076224149235603</c:v>
                </c:pt>
                <c:pt idx="9">
                  <c:v>1.0671389320928324</c:v>
                </c:pt>
              </c:numCache>
            </c:numRef>
          </c:val>
        </c:ser>
        <c:ser>
          <c:idx val="3"/>
          <c:order val="3"/>
          <c:tx>
            <c:strRef>
              <c:f>Makro!$B$35</c:f>
              <c:strCache>
                <c:ptCount val="1"/>
                <c:pt idx="0">
                  <c:v>Државна потрошња</c:v>
                </c:pt>
              </c:strCache>
            </c:strRef>
          </c:tx>
          <c:spPr>
            <a:solidFill>
              <a:schemeClr val="accent6">
                <a:lumMod val="20000"/>
                <a:lumOff val="80000"/>
              </a:schemeClr>
            </a:solidFill>
            <a:ln w="9525" cap="flat" cmpd="sng" algn="ctr">
              <a:solidFill>
                <a:schemeClr val="accent3">
                  <a:shade val="50000"/>
                  <a:shade val="95000"/>
                  <a:satMod val="105000"/>
                </a:schemeClr>
              </a:solidFill>
              <a:prstDash val="solid"/>
              <a:round/>
            </a:ln>
            <a:effectLst/>
          </c:spPr>
          <c:invertIfNegative val="0"/>
          <c:cat>
            <c:numRef>
              <c:f>Makro!$C$31:$L$31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Makro!$C$35:$L$35</c:f>
              <c:numCache>
                <c:formatCode>0.0</c:formatCode>
                <c:ptCount val="10"/>
                <c:pt idx="0">
                  <c:v>0.74855881822849613</c:v>
                </c:pt>
                <c:pt idx="1">
                  <c:v>-0.30388539208427412</c:v>
                </c:pt>
                <c:pt idx="2">
                  <c:v>2.1850172162831343E-2</c:v>
                </c:pt>
                <c:pt idx="3">
                  <c:v>0.17106402365911458</c:v>
                </c:pt>
                <c:pt idx="4">
                  <c:v>0.36499786779614141</c:v>
                </c:pt>
                <c:pt idx="5">
                  <c:v>-0.20305115607558141</c:v>
                </c:pt>
                <c:pt idx="6">
                  <c:v>-0.50376637333279406</c:v>
                </c:pt>
                <c:pt idx="7">
                  <c:v>-1.3464560911664589</c:v>
                </c:pt>
                <c:pt idx="8">
                  <c:v>-0.98362447923543561</c:v>
                </c:pt>
                <c:pt idx="9">
                  <c:v>-0.62709796029953957</c:v>
                </c:pt>
              </c:numCache>
            </c:numRef>
          </c:val>
        </c:ser>
        <c:ser>
          <c:idx val="4"/>
          <c:order val="4"/>
          <c:tx>
            <c:strRef>
              <c:f>Makro!$B$36</c:f>
              <c:strCache>
                <c:ptCount val="1"/>
                <c:pt idx="0">
                  <c:v>Промена у залихама</c:v>
                </c:pt>
              </c:strCache>
            </c:strRef>
          </c:tx>
          <c:spPr>
            <a:solidFill>
              <a:schemeClr val="tx1">
                <a:lumMod val="95000"/>
                <a:lumOff val="5000"/>
              </a:schemeClr>
            </a:solidFill>
            <a:ln w="9525" cap="flat" cmpd="sng" algn="ctr">
              <a:solidFill>
                <a:schemeClr val="accent3">
                  <a:shade val="50000"/>
                  <a:shade val="95000"/>
                  <a:satMod val="105000"/>
                </a:schemeClr>
              </a:solidFill>
              <a:prstDash val="solid"/>
              <a:round/>
            </a:ln>
            <a:effectLst/>
          </c:spPr>
          <c:invertIfNegative val="0"/>
          <c:cat>
            <c:numRef>
              <c:f>Makro!$C$31:$L$31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Makro!$C$36:$L$36</c:f>
              <c:numCache>
                <c:formatCode>0.0</c:formatCode>
                <c:ptCount val="10"/>
                <c:pt idx="0">
                  <c:v>1.5568576317883358</c:v>
                </c:pt>
                <c:pt idx="1">
                  <c:v>-5.8442001758454261</c:v>
                </c:pt>
                <c:pt idx="2">
                  <c:v>1.5251981438764938E-3</c:v>
                </c:pt>
                <c:pt idx="3">
                  <c:v>1.8033753734044065</c:v>
                </c:pt>
                <c:pt idx="4">
                  <c:v>-1.8775310657065316</c:v>
                </c:pt>
                <c:pt idx="5">
                  <c:v>0.88721691776497746</c:v>
                </c:pt>
                <c:pt idx="6">
                  <c:v>-7.6122799532081994E-3</c:v>
                </c:pt>
                <c:pt idx="7">
                  <c:v>-2.5607222889119267E-2</c:v>
                </c:pt>
                <c:pt idx="8">
                  <c:v>-1.4219477597028417E-2</c:v>
                </c:pt>
                <c:pt idx="9">
                  <c:v>-2.9377805723021445E-2</c:v>
                </c:pt>
              </c:numCache>
            </c:numRef>
          </c:val>
        </c:ser>
        <c:dLbls>
          <c:showLegendKey val="0"/>
          <c:showVal val="0"/>
          <c:showCatName val="0"/>
          <c:showSerName val="0"/>
          <c:showPercent val="0"/>
          <c:showBubbleSize val="0"/>
        </c:dLbls>
        <c:gapWidth val="125"/>
        <c:overlap val="90"/>
        <c:axId val="333092992"/>
        <c:axId val="333093384"/>
      </c:barChart>
      <c:lineChart>
        <c:grouping val="standard"/>
        <c:varyColors val="0"/>
        <c:ser>
          <c:idx val="5"/>
          <c:order val="5"/>
          <c:tx>
            <c:strRef>
              <c:f>Makro!$B$38</c:f>
              <c:strCache>
                <c:ptCount val="1"/>
                <c:pt idx="0">
                  <c:v>Реални раст БДП</c:v>
                </c:pt>
              </c:strCache>
            </c:strRef>
          </c:tx>
          <c:spPr>
            <a:ln w="28575" cap="rnd" cmpd="sng" algn="ctr">
              <a:solidFill>
                <a:schemeClr val="tx1"/>
              </a:solidFill>
              <a:prstDash val="solid"/>
              <a:round/>
            </a:ln>
            <a:effectLst/>
          </c:spPr>
          <c:marker>
            <c:spPr>
              <a:noFill/>
              <a:ln w="9525" cap="flat" cmpd="sng" algn="ctr">
                <a:noFill/>
                <a:prstDash val="solid"/>
                <a:round/>
              </a:ln>
              <a:effectLst/>
            </c:spPr>
          </c:marker>
          <c:dLbls>
            <c:dLbl>
              <c:idx val="0"/>
              <c:layout>
                <c:manualLayout>
                  <c:x val="3.1454992331337557E-3"/>
                  <c:y val="-1.1805985552115584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1"/>
              <c:layout>
                <c:manualLayout>
                  <c:x val="-3.9381153305203954E-2"/>
                  <c:y val="9.0815273477812208E-2"/>
                </c:manualLayout>
              </c:layout>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2"/>
              <c:layout>
                <c:manualLayout>
                  <c:x val="4.1256446319737461E-2"/>
                  <c:y val="-1.6511867905056762E-2"/>
                </c:manualLayout>
              </c:layout>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4.3131739334270981E-2"/>
                  <c:y val="2.4767801857585141E-2"/>
                </c:manualLayout>
              </c:layout>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2.9044016197241909E-2"/>
                  <c:y val="0.14505675954592356"/>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3773495305751877E-2"/>
                  <c:y val="-0.10674922600619197"/>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9942388654996677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3915355639264347E-2"/>
                  <c:y val="4.562499999999993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50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shade val="95000"/>
                          <a:satMod val="105000"/>
                        </a:schemeClr>
                      </a:solidFill>
                      <a:prstDash val="solid"/>
                      <a:round/>
                    </a:ln>
                    <a:effectLst/>
                  </c:spPr>
                </c15:leaderLines>
              </c:ext>
            </c:extLst>
          </c:dLbls>
          <c:cat>
            <c:numRef>
              <c:f>Makro!$E$31:$H$31</c:f>
              <c:numCache>
                <c:formatCode>General</c:formatCode>
                <c:ptCount val="4"/>
                <c:pt idx="0">
                  <c:v>2010</c:v>
                </c:pt>
                <c:pt idx="1">
                  <c:v>2011</c:v>
                </c:pt>
                <c:pt idx="2">
                  <c:v>2012</c:v>
                </c:pt>
                <c:pt idx="3">
                  <c:v>2013</c:v>
                </c:pt>
              </c:numCache>
            </c:numRef>
          </c:cat>
          <c:val>
            <c:numRef>
              <c:f>Makro!$C$38:$L$38</c:f>
              <c:numCache>
                <c:formatCode>0.0</c:formatCode>
                <c:ptCount val="10"/>
                <c:pt idx="0">
                  <c:v>5.3666826558265806</c:v>
                </c:pt>
                <c:pt idx="1">
                  <c:v>-3.1159740131087688</c:v>
                </c:pt>
                <c:pt idx="2">
                  <c:v>0.58447958723866122</c:v>
                </c:pt>
                <c:pt idx="3">
                  <c:v>1.4014662271424783</c:v>
                </c:pt>
                <c:pt idx="4">
                  <c:v>-1.0152722940312344</c:v>
                </c:pt>
                <c:pt idx="5">
                  <c:v>2.5717364741589535</c:v>
                </c:pt>
                <c:pt idx="6">
                  <c:v>-2.0000000000000018</c:v>
                </c:pt>
                <c:pt idx="7">
                  <c:v>-0.50000000000000044</c:v>
                </c:pt>
                <c:pt idx="8">
                  <c:v>1.4999999999999902</c:v>
                </c:pt>
                <c:pt idx="9">
                  <c:v>2.0000000000000018</c:v>
                </c:pt>
              </c:numCache>
            </c:numRef>
          </c:val>
          <c:smooth val="1"/>
          <c:extLst/>
        </c:ser>
        <c:dLbls>
          <c:showLegendKey val="0"/>
          <c:showVal val="0"/>
          <c:showCatName val="0"/>
          <c:showSerName val="0"/>
          <c:showPercent val="0"/>
          <c:showBubbleSize val="0"/>
        </c:dLbls>
        <c:marker val="1"/>
        <c:smooth val="0"/>
        <c:axId val="333092992"/>
        <c:axId val="333093384"/>
      </c:lineChart>
      <c:catAx>
        <c:axId val="333092992"/>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low"/>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333093384"/>
        <c:crosses val="autoZero"/>
        <c:auto val="1"/>
        <c:lblAlgn val="ctr"/>
        <c:lblOffset val="100"/>
        <c:noMultiLvlLbl val="0"/>
      </c:catAx>
      <c:valAx>
        <c:axId val="333093384"/>
        <c:scaling>
          <c:orientation val="minMax"/>
          <c:max val="10"/>
          <c:min val="-14"/>
        </c:scaling>
        <c:delete val="0"/>
        <c:axPos val="l"/>
        <c:majorGridlines>
          <c:spPr>
            <a:ln w="9525" cap="flat" cmpd="sng" algn="ctr">
              <a:solidFill>
                <a:schemeClr val="dk1">
                  <a:tint val="75000"/>
                  <a:shade val="95000"/>
                  <a:satMod val="105000"/>
                </a:schemeClr>
              </a:solidFill>
              <a:prstDash val="sysDot"/>
              <a:round/>
            </a:ln>
            <a:effectLst/>
          </c:spPr>
        </c:majorGridlines>
        <c:numFmt formatCode="General" sourceLinked="0"/>
        <c:majorTickMark val="none"/>
        <c:minorTickMark val="none"/>
        <c:tickLblPos val="low"/>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333092992"/>
        <c:crosses val="autoZero"/>
        <c:crossBetween val="between"/>
        <c:majorUnit val="3"/>
        <c:minorUnit val="1"/>
      </c:valAx>
      <c:spPr>
        <a:solidFill>
          <a:schemeClr val="accent3">
            <a:tint val="2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a:solidFill>
            <a:schemeClr val="bg1">
              <a:lumMod val="50000"/>
            </a:schemeClr>
          </a:solidFill>
          <a:latin typeface="+mj-lt"/>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745271317536754E-2"/>
          <c:y val="2.4920101899027328E-2"/>
          <c:w val="0.88541994588013573"/>
          <c:h val="0.80351405118946118"/>
        </c:manualLayout>
      </c:layout>
      <c:barChart>
        <c:barDir val="col"/>
        <c:grouping val="clustered"/>
        <c:varyColors val="0"/>
        <c:ser>
          <c:idx val="0"/>
          <c:order val="0"/>
          <c:tx>
            <c:strRef>
              <c:f>'Kamatna struktura'!$G$36</c:f>
              <c:strCache>
                <c:ptCount val="1"/>
                <c:pt idx="0">
                  <c:v>Дурација динарских ХоВ</c:v>
                </c:pt>
              </c:strCache>
            </c:strRef>
          </c:tx>
          <c:spPr>
            <a:solidFill>
              <a:srgbClr val="9BBB59">
                <a:lumMod val="75000"/>
              </a:srgbClr>
            </a:solid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'Kamatna struktura'!$H$35:$K$35</c:f>
              <c:strCache>
                <c:ptCount val="4"/>
                <c:pt idx="0">
                  <c:v>2011</c:v>
                </c:pt>
                <c:pt idx="1">
                  <c:v>2012</c:v>
                </c:pt>
                <c:pt idx="2">
                  <c:v>2013</c:v>
                </c:pt>
                <c:pt idx="3">
                  <c:v>2014/X</c:v>
                </c:pt>
              </c:strCache>
            </c:strRef>
          </c:cat>
          <c:val>
            <c:numRef>
              <c:f>'Kamatna struktura'!$H$36:$K$36</c:f>
              <c:numCache>
                <c:formatCode>General</c:formatCode>
                <c:ptCount val="4"/>
                <c:pt idx="0">
                  <c:v>272</c:v>
                </c:pt>
                <c:pt idx="1">
                  <c:v>394</c:v>
                </c:pt>
                <c:pt idx="2">
                  <c:v>469</c:v>
                </c:pt>
                <c:pt idx="3" formatCode="0">
                  <c:v>654.44499999999994</c:v>
                </c:pt>
              </c:numCache>
            </c:numRef>
          </c:val>
        </c:ser>
        <c:ser>
          <c:idx val="1"/>
          <c:order val="1"/>
          <c:tx>
            <c:strRef>
              <c:f>'Kamatna struktura'!$G$37</c:f>
              <c:strCache>
                <c:ptCount val="1"/>
                <c:pt idx="0">
                  <c:v>Дурација укупних ХоВ</c:v>
                </c:pt>
              </c:strCache>
            </c:strRef>
          </c:tx>
          <c:spPr>
            <a:solidFill>
              <a:srgbClr val="9BBB59">
                <a:lumMod val="60000"/>
                <a:lumOff val="40000"/>
              </a:srgbClr>
            </a:solidFill>
            <a:ln>
              <a:noFill/>
            </a:ln>
            <a:effectLst/>
          </c:spPr>
          <c:invertIfNegative val="0"/>
          <c:dLbls>
            <c:dLbl>
              <c:idx val="0"/>
              <c:layout>
                <c:manualLayout>
                  <c:x val="2.1492617826916771E-3"/>
                  <c:y val="7.7907144648594294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445397909026554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00424601501672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853610699353502E-4"/>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'Kamatna struktura'!$H$35:$K$35</c:f>
              <c:strCache>
                <c:ptCount val="4"/>
                <c:pt idx="0">
                  <c:v>2011</c:v>
                </c:pt>
                <c:pt idx="1">
                  <c:v>2012</c:v>
                </c:pt>
                <c:pt idx="2">
                  <c:v>2013</c:v>
                </c:pt>
                <c:pt idx="3">
                  <c:v>2014/X</c:v>
                </c:pt>
              </c:strCache>
            </c:strRef>
          </c:cat>
          <c:val>
            <c:numRef>
              <c:f>'Kamatna struktura'!$H$37:$K$37</c:f>
              <c:numCache>
                <c:formatCode>General</c:formatCode>
                <c:ptCount val="4"/>
                <c:pt idx="0">
                  <c:v>599</c:v>
                </c:pt>
                <c:pt idx="1">
                  <c:v>558</c:v>
                </c:pt>
                <c:pt idx="2">
                  <c:v>607</c:v>
                </c:pt>
                <c:pt idx="3" formatCode="0">
                  <c:v>769.05500000000006</c:v>
                </c:pt>
              </c:numCache>
            </c:numRef>
          </c:val>
        </c:ser>
        <c:dLbls>
          <c:showLegendKey val="0"/>
          <c:showVal val="0"/>
          <c:showCatName val="0"/>
          <c:showSerName val="0"/>
          <c:showPercent val="0"/>
          <c:showBubbleSize val="0"/>
        </c:dLbls>
        <c:gapWidth val="267"/>
        <c:overlap val="-43"/>
        <c:axId val="475974296"/>
        <c:axId val="475974688"/>
      </c:barChart>
      <c:catAx>
        <c:axId val="4759742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475974688"/>
        <c:crosses val="autoZero"/>
        <c:auto val="1"/>
        <c:lblAlgn val="ctr"/>
        <c:lblOffset val="100"/>
        <c:noMultiLvlLbl val="0"/>
      </c:catAx>
      <c:valAx>
        <c:axId val="4759746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a:lstStyle/>
          <a:p>
            <a:pPr>
              <a:defRPr/>
            </a:pPr>
            <a:endParaRPr lang="en-US"/>
          </a:p>
        </c:txPr>
        <c:crossAx val="475974296"/>
        <c:crosses val="autoZero"/>
        <c:crossBetween val="between"/>
      </c:valAx>
      <c:spPr>
        <a:solidFill>
          <a:srgbClr val="9BBB59">
            <a:lumMod val="20000"/>
            <a:lumOff val="80000"/>
          </a:srgbClr>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a:solidFill>
            <a:schemeClr val="bg1">
              <a:lumMod val="50000"/>
            </a:schemeClr>
          </a:solidFill>
          <a:latin typeface="+mj-lt"/>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40528595343"/>
          <c:y val="8.7582566993673727E-2"/>
          <c:w val="0.84483739579617201"/>
          <c:h val="0.77623686179499052"/>
        </c:manualLayout>
      </c:layout>
      <c:scatterChart>
        <c:scatterStyle val="lineMarker"/>
        <c:varyColors val="0"/>
        <c:ser>
          <c:idx val="0"/>
          <c:order val="0"/>
          <c:tx>
            <c:strRef>
              <c:f>'[MTDS za strategiju 2015-2017 v4 test 1.xlsm]3Y_OUTPUT'!$C$123</c:f>
              <c:strCache>
                <c:ptCount val="1"/>
                <c:pt idx="0">
                  <c:v>C1</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1.xlsm]3Y_OUTPUT'!$C$129</c:f>
              <c:numCache>
                <c:formatCode>0.0</c:formatCode>
                <c:ptCount val="1"/>
                <c:pt idx="0">
                  <c:v>12.563410292294236</c:v>
                </c:pt>
              </c:numCache>
            </c:numRef>
          </c:xVal>
          <c:yVal>
            <c:numRef>
              <c:f>'[MTDS za strategiju 2015-2017 v4 test 1.xlsm]3Y_OUTPUT'!$C$124</c:f>
              <c:numCache>
                <c:formatCode>0.0</c:formatCode>
                <c:ptCount val="1"/>
                <c:pt idx="0">
                  <c:v>69.341893991352137</c:v>
                </c:pt>
              </c:numCache>
            </c:numRef>
          </c:yVal>
          <c:smooth val="0"/>
        </c:ser>
        <c:ser>
          <c:idx val="1"/>
          <c:order val="1"/>
          <c:tx>
            <c:strRef>
              <c:f>'[MTDS za strategiju 2015-2017 v4 test 1.xlsm]3Y_OUTPUT'!$D$123</c:f>
              <c:strCache>
                <c:ptCount val="1"/>
                <c:pt idx="0">
                  <c:v>C2</c:v>
                </c:pt>
              </c:strCache>
            </c:strRef>
          </c:tx>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1.xlsm]3Y_OUTPUT'!$D$129</c:f>
              <c:numCache>
                <c:formatCode>0.0</c:formatCode>
                <c:ptCount val="1"/>
                <c:pt idx="0">
                  <c:v>13.10727473921196</c:v>
                </c:pt>
              </c:numCache>
            </c:numRef>
          </c:xVal>
          <c:yVal>
            <c:numRef>
              <c:f>'[MTDS za strategiju 2015-2017 v4 test 1.xlsm]3Y_OUTPUT'!$D$124</c:f>
              <c:numCache>
                <c:formatCode>0.0</c:formatCode>
                <c:ptCount val="1"/>
                <c:pt idx="0">
                  <c:v>69.116234009619731</c:v>
                </c:pt>
              </c:numCache>
            </c:numRef>
          </c:yVal>
          <c:smooth val="0"/>
        </c:ser>
        <c:ser>
          <c:idx val="2"/>
          <c:order val="2"/>
          <c:tx>
            <c:strRef>
              <c:f>'[MTDS za strategiju 2015-2017 v4 test 1.xlsm]3Y_OUTPUT'!$E$123</c:f>
              <c:strCache>
                <c:ptCount val="1"/>
                <c:pt idx="0">
                  <c:v>C3</c:v>
                </c:pt>
              </c:strCache>
            </c:strRef>
          </c:tx>
          <c:spPr>
            <a:ln w="25400" cap="flat" cmpd="dbl" algn="ctr">
              <a:solidFill>
                <a:schemeClr val="accent3">
                  <a:alpha val="50000"/>
                </a:schemeClr>
              </a:solidFill>
              <a:round/>
            </a:ln>
            <a:effectLst/>
          </c:spPr>
          <c:marker>
            <c:symbol val="circle"/>
            <c:size val="6"/>
            <c:spPr>
              <a:noFill/>
              <a:ln w="34925" cap="flat" cmpd="dbl" algn="ctr">
                <a:solidFill>
                  <a:schemeClr val="accent3">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1.xlsm]3Y_OUTPUT'!$E$129</c:f>
              <c:numCache>
                <c:formatCode>0.0</c:formatCode>
                <c:ptCount val="1"/>
                <c:pt idx="0">
                  <c:v>12.659199367519292</c:v>
                </c:pt>
              </c:numCache>
            </c:numRef>
          </c:xVal>
          <c:yVal>
            <c:numRef>
              <c:f>'[MTDS za strategiju 2015-2017 v4 test 1.xlsm]3Y_OUTPUT'!$E$124</c:f>
              <c:numCache>
                <c:formatCode>0.0</c:formatCode>
                <c:ptCount val="1"/>
                <c:pt idx="0">
                  <c:v>70.035642488816706</c:v>
                </c:pt>
              </c:numCache>
            </c:numRef>
          </c:yVal>
          <c:smooth val="0"/>
        </c:ser>
        <c:ser>
          <c:idx val="3"/>
          <c:order val="3"/>
          <c:tx>
            <c:strRef>
              <c:f>'[MTDS za strategiju 2015-2017 v4 test 1.xlsm]3Y_OUTPUT'!$F$123</c:f>
              <c:strCache>
                <c:ptCount val="1"/>
                <c:pt idx="0">
                  <c:v>C4</c:v>
                </c:pt>
              </c:strCache>
            </c:strRef>
          </c:tx>
          <c:spPr>
            <a:ln w="25400" cap="flat" cmpd="dbl" algn="ctr">
              <a:noFill/>
              <a:round/>
            </a:ln>
            <a:effectLst/>
          </c:spPr>
          <c:marker>
            <c:symbol val="circle"/>
            <c:size val="6"/>
            <c:spPr>
              <a:noFill/>
              <a:ln w="34925" cap="flat" cmpd="dbl" algn="ctr">
                <a:solidFill>
                  <a:schemeClr val="accent4">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1.xlsm]3Y_OUTPUT'!$F$129</c:f>
              <c:numCache>
                <c:formatCode>0.0</c:formatCode>
                <c:ptCount val="1"/>
                <c:pt idx="0">
                  <c:v>10.632322167980263</c:v>
                </c:pt>
              </c:numCache>
            </c:numRef>
          </c:xVal>
          <c:yVal>
            <c:numRef>
              <c:f>'[MTDS za strategiju 2015-2017 v4 test 1.xlsm]3Y_OUTPUT'!$F$124</c:f>
              <c:numCache>
                <c:formatCode>0.0</c:formatCode>
                <c:ptCount val="1"/>
                <c:pt idx="0">
                  <c:v>69.248601283749537</c:v>
                </c:pt>
              </c:numCache>
            </c:numRef>
          </c:yVal>
          <c:smooth val="0"/>
        </c:ser>
        <c:dLbls>
          <c:showLegendKey val="0"/>
          <c:showVal val="0"/>
          <c:showCatName val="0"/>
          <c:showSerName val="0"/>
          <c:showPercent val="0"/>
          <c:showBubbleSize val="0"/>
        </c:dLbls>
        <c:axId val="475975472"/>
        <c:axId val="475975864"/>
      </c:scatterChart>
      <c:valAx>
        <c:axId val="475975472"/>
        <c:scaling>
          <c:orientation val="minMax"/>
          <c:min val="1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b="1"/>
                </a:pPr>
                <a:r>
                  <a:rPr lang="sr-Cyrl-BA" b="1"/>
                  <a:t>Ризик</a:t>
                </a:r>
              </a:p>
            </c:rich>
          </c:tx>
          <c:layout>
            <c:manualLayout>
              <c:xMode val="edge"/>
              <c:yMode val="edge"/>
              <c:x val="0.4712499835945263"/>
              <c:y val="0.935530611677861"/>
            </c:manualLayout>
          </c:layout>
          <c:overlay val="0"/>
          <c:spPr>
            <a:noFill/>
            <a:ln>
              <a:noFill/>
            </a:ln>
            <a:effectLst/>
          </c:spPr>
        </c:title>
        <c:numFmt formatCode="0.00" sourceLinked="0"/>
        <c:majorTickMark val="none"/>
        <c:minorTickMark val="none"/>
        <c:tickLblPos val="nextTo"/>
        <c:spPr>
          <a:noFill/>
          <a:ln>
            <a:noFill/>
          </a:ln>
          <a:effectLst/>
        </c:spPr>
        <c:txPr>
          <a:bodyPr rot="0"/>
          <a:lstStyle/>
          <a:p>
            <a:pPr>
              <a:defRPr/>
            </a:pPr>
            <a:endParaRPr lang="en-US"/>
          </a:p>
        </c:txPr>
        <c:crossAx val="475975864"/>
        <c:crosses val="autoZero"/>
        <c:crossBetween val="midCat"/>
      </c:valAx>
      <c:valAx>
        <c:axId val="4759758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b="1"/>
                </a:pPr>
                <a:r>
                  <a:rPr lang="sr-Cyrl-BA" b="1"/>
                  <a:t>Дуг/БДП (%)</a:t>
                </a:r>
              </a:p>
            </c:rich>
          </c:tx>
          <c:layout>
            <c:manualLayout>
              <c:xMode val="edge"/>
              <c:yMode val="edge"/>
              <c:x val="4.2641600474437186E-3"/>
              <c:y val="0.32453201268393489"/>
            </c:manualLayout>
          </c:layout>
          <c:overlay val="0"/>
          <c:spPr>
            <a:noFill/>
            <a:ln>
              <a:noFill/>
            </a:ln>
            <a:effectLst/>
          </c:spPr>
        </c:title>
        <c:numFmt formatCode="0.00" sourceLinked="0"/>
        <c:majorTickMark val="none"/>
        <c:minorTickMark val="none"/>
        <c:tickLblPos val="nextTo"/>
        <c:spPr>
          <a:noFill/>
          <a:ln>
            <a:noFill/>
          </a:ln>
          <a:effectLst/>
        </c:spPr>
        <c:txPr>
          <a:bodyPr rot="0"/>
          <a:lstStyle/>
          <a:p>
            <a:pPr>
              <a:defRPr/>
            </a:pPr>
            <a:endParaRPr lang="en-US"/>
          </a:p>
        </c:txPr>
        <c:crossAx val="475975472"/>
        <c:crosses val="autoZero"/>
        <c:crossBetween val="midCat"/>
      </c:valAx>
      <c:spPr>
        <a:solidFill>
          <a:srgbClr val="9BBB59">
            <a:lumMod val="20000"/>
            <a:lumOff val="80000"/>
          </a:srgbClr>
        </a:solidFill>
        <a:ln>
          <a:noFill/>
        </a:ln>
        <a:effectLst/>
      </c:spPr>
    </c:plotArea>
    <c:plotVisOnly val="1"/>
    <c:dispBlanksAs val="gap"/>
    <c:showDLblsOverMax val="0"/>
  </c:chart>
  <c:spPr>
    <a:solidFill>
      <a:schemeClr val="bg1"/>
    </a:solidFill>
    <a:ln w="9525" cap="flat" cmpd="sng" algn="ctr">
      <a:noFill/>
      <a:round/>
    </a:ln>
    <a:effectLst/>
  </c:spPr>
  <c:txPr>
    <a:bodyPr/>
    <a:lstStyle/>
    <a:p>
      <a:pPr>
        <a:spcAft>
          <a:spcPts val="600"/>
        </a:spcAft>
        <a:defRPr sz="900" b="0">
          <a:solidFill>
            <a:schemeClr val="bg1">
              <a:lumMod val="50000"/>
            </a:schemeClr>
          </a:solidFill>
          <a:latin typeface="+mj-lt"/>
          <a:cs typeface="Times New Roman" panose="02020603050405020304" pitchFamily="18"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73279630475966"/>
          <c:y val="5.7731813374074487E-2"/>
          <c:w val="0.83060184304950058"/>
          <c:h val="0.78799349708152311"/>
        </c:manualLayout>
      </c:layout>
      <c:scatterChart>
        <c:scatterStyle val="lineMarker"/>
        <c:varyColors val="0"/>
        <c:ser>
          <c:idx val="0"/>
          <c:order val="0"/>
          <c:tx>
            <c:strRef>
              <c:f>'[MTDS za strategiju 2015-2017 v4 test 1.xlsm]3Y_OUTPUT'!$C$133</c:f>
              <c:strCache>
                <c:ptCount val="1"/>
                <c:pt idx="0">
                  <c:v>C1</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1.xlsm]3Y_OUTPUT'!$C$139</c:f>
              <c:numCache>
                <c:formatCode>0.0</c:formatCode>
                <c:ptCount val="1"/>
                <c:pt idx="0">
                  <c:v>0.96722418646270869</c:v>
                </c:pt>
              </c:numCache>
            </c:numRef>
          </c:xVal>
          <c:yVal>
            <c:numRef>
              <c:f>'[MTDS za strategiju 2015-2017 v4 test 1.xlsm]3Y_OUTPUT'!$C$134</c:f>
              <c:numCache>
                <c:formatCode>0.0</c:formatCode>
                <c:ptCount val="1"/>
                <c:pt idx="0">
                  <c:v>3.6414550490217557</c:v>
                </c:pt>
              </c:numCache>
            </c:numRef>
          </c:yVal>
          <c:smooth val="0"/>
        </c:ser>
        <c:ser>
          <c:idx val="1"/>
          <c:order val="1"/>
          <c:tx>
            <c:strRef>
              <c:f>'[MTDS za strategiju 2015-2017 v4 test 1.xlsm]3Y_OUTPUT'!$D$133</c:f>
              <c:strCache>
                <c:ptCount val="1"/>
                <c:pt idx="0">
                  <c:v>C2</c:v>
                </c:pt>
              </c:strCache>
            </c:strRef>
          </c:tx>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1.xlsm]3Y_OUTPUT'!$D$139</c:f>
              <c:numCache>
                <c:formatCode>0.0</c:formatCode>
                <c:ptCount val="1"/>
                <c:pt idx="0">
                  <c:v>0.94911724756084626</c:v>
                </c:pt>
              </c:numCache>
            </c:numRef>
          </c:xVal>
          <c:yVal>
            <c:numRef>
              <c:f>'[MTDS za strategiju 2015-2017 v4 test 1.xlsm]3Y_OUTPUT'!$D$134</c:f>
              <c:numCache>
                <c:formatCode>0.0</c:formatCode>
                <c:ptCount val="1"/>
                <c:pt idx="0">
                  <c:v>3.2729950564315593</c:v>
                </c:pt>
              </c:numCache>
            </c:numRef>
          </c:yVal>
          <c:smooth val="0"/>
        </c:ser>
        <c:ser>
          <c:idx val="2"/>
          <c:order val="2"/>
          <c:tx>
            <c:strRef>
              <c:f>'[MTDS za strategiju 2015-2017 v4 test 1.xlsm]3Y_OUTPUT'!$E$133</c:f>
              <c:strCache>
                <c:ptCount val="1"/>
                <c:pt idx="0">
                  <c:v>C3</c:v>
                </c:pt>
              </c:strCache>
            </c:strRef>
          </c:tx>
          <c:spPr>
            <a:ln w="25400" cap="flat" cmpd="dbl" algn="ctr">
              <a:solidFill>
                <a:schemeClr val="accent3">
                  <a:alpha val="50000"/>
                </a:schemeClr>
              </a:solidFill>
              <a:round/>
            </a:ln>
            <a:effectLst/>
          </c:spPr>
          <c:marker>
            <c:symbol val="circle"/>
            <c:size val="6"/>
            <c:spPr>
              <a:noFill/>
              <a:ln w="34925" cap="flat" cmpd="dbl" algn="ctr">
                <a:solidFill>
                  <a:schemeClr val="accent3">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1.xlsm]3Y_OUTPUT'!$E$139</c:f>
              <c:numCache>
                <c:formatCode>0.0</c:formatCode>
                <c:ptCount val="1"/>
                <c:pt idx="0">
                  <c:v>0.96994172918822308</c:v>
                </c:pt>
              </c:numCache>
            </c:numRef>
          </c:xVal>
          <c:yVal>
            <c:numRef>
              <c:f>'[MTDS za strategiju 2015-2017 v4 test 1.xlsm]3Y_OUTPUT'!$E$134</c:f>
              <c:numCache>
                <c:formatCode>0.0</c:formatCode>
                <c:ptCount val="1"/>
                <c:pt idx="0">
                  <c:v>3.7419850056596831</c:v>
                </c:pt>
              </c:numCache>
            </c:numRef>
          </c:yVal>
          <c:smooth val="0"/>
        </c:ser>
        <c:ser>
          <c:idx val="3"/>
          <c:order val="3"/>
          <c:tx>
            <c:strRef>
              <c:f>'[MTDS za strategiju 2015-2017 v4 test 1.xlsm]3Y_OUTPUT'!$F$133</c:f>
              <c:strCache>
                <c:ptCount val="1"/>
                <c:pt idx="0">
                  <c:v>C4</c:v>
                </c:pt>
              </c:strCache>
            </c:strRef>
          </c:tx>
          <c:spPr>
            <a:ln w="25400" cap="flat" cmpd="dbl" algn="ctr">
              <a:solidFill>
                <a:schemeClr val="accent4">
                  <a:alpha val="50000"/>
                </a:schemeClr>
              </a:solidFill>
              <a:round/>
            </a:ln>
            <a:effectLst/>
          </c:spPr>
          <c:marker>
            <c:symbol val="circle"/>
            <c:size val="6"/>
            <c:spPr>
              <a:noFill/>
              <a:ln w="34925" cap="flat" cmpd="dbl" algn="ctr">
                <a:solidFill>
                  <a:schemeClr val="accent4">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1.xlsm]3Y_OUTPUT'!$F$139</c:f>
              <c:numCache>
                <c:formatCode>0.0</c:formatCode>
                <c:ptCount val="1"/>
                <c:pt idx="0">
                  <c:v>0.93839412230215569</c:v>
                </c:pt>
              </c:numCache>
            </c:numRef>
          </c:xVal>
          <c:yVal>
            <c:numRef>
              <c:f>'[MTDS za strategiju 2015-2017 v4 test 1.xlsm]3Y_OUTPUT'!$F$134</c:f>
              <c:numCache>
                <c:formatCode>0.0</c:formatCode>
                <c:ptCount val="1"/>
                <c:pt idx="0">
                  <c:v>3.6770611466139123</c:v>
                </c:pt>
              </c:numCache>
            </c:numRef>
          </c:yVal>
          <c:smooth val="0"/>
        </c:ser>
        <c:dLbls>
          <c:showLegendKey val="0"/>
          <c:showVal val="0"/>
          <c:showCatName val="0"/>
          <c:showSerName val="0"/>
          <c:showPercent val="0"/>
          <c:showBubbleSize val="0"/>
        </c:dLbls>
        <c:axId val="475976648"/>
        <c:axId val="475977040"/>
      </c:scatterChart>
      <c:valAx>
        <c:axId val="475976648"/>
        <c:scaling>
          <c:orientation val="minMax"/>
          <c:min val="0.9"/>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a:pPr>
                <a:r>
                  <a:rPr lang="sr-Cyrl-CS"/>
                  <a:t>Ризик</a:t>
                </a:r>
              </a:p>
            </c:rich>
          </c:tx>
          <c:layout>
            <c:manualLayout>
              <c:xMode val="edge"/>
              <c:yMode val="edge"/>
              <c:x val="0.47124973398595482"/>
              <c:y val="0.92970168612191961"/>
            </c:manualLayout>
          </c:layout>
          <c:overlay val="0"/>
          <c:spPr>
            <a:noFill/>
            <a:ln>
              <a:noFill/>
            </a:ln>
            <a:effectLst/>
          </c:spPr>
        </c:title>
        <c:numFmt formatCode="0.00" sourceLinked="0"/>
        <c:majorTickMark val="none"/>
        <c:minorTickMark val="none"/>
        <c:tickLblPos val="nextTo"/>
        <c:spPr>
          <a:noFill/>
          <a:ln>
            <a:noFill/>
          </a:ln>
          <a:effectLst/>
        </c:spPr>
        <c:txPr>
          <a:bodyPr rot="0"/>
          <a:lstStyle/>
          <a:p>
            <a:pPr>
              <a:defRPr/>
            </a:pPr>
            <a:endParaRPr lang="en-US"/>
          </a:p>
        </c:txPr>
        <c:crossAx val="475977040"/>
        <c:crosses val="autoZero"/>
        <c:crossBetween val="midCat"/>
      </c:valAx>
      <c:valAx>
        <c:axId val="475977040"/>
        <c:scaling>
          <c:orientation val="minMax"/>
          <c:max val="4"/>
          <c:min val="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sr-Cyrl-CS"/>
                  <a:t>Учешће камата у БДП (%)</a:t>
                </a:r>
              </a:p>
            </c:rich>
          </c:tx>
          <c:layout>
            <c:manualLayout>
              <c:xMode val="edge"/>
              <c:yMode val="edge"/>
              <c:x val="1.2469135910757061E-2"/>
              <c:y val="0.18342569928578337"/>
            </c:manualLayout>
          </c:layout>
          <c:overlay val="0"/>
          <c:spPr>
            <a:noFill/>
            <a:ln>
              <a:noFill/>
            </a:ln>
            <a:effectLst/>
          </c:spPr>
        </c:title>
        <c:numFmt formatCode="0.00" sourceLinked="0"/>
        <c:majorTickMark val="none"/>
        <c:minorTickMark val="none"/>
        <c:tickLblPos val="nextTo"/>
        <c:spPr>
          <a:noFill/>
          <a:ln>
            <a:noFill/>
          </a:ln>
          <a:effectLst/>
        </c:spPr>
        <c:txPr>
          <a:bodyPr rot="0"/>
          <a:lstStyle/>
          <a:p>
            <a:pPr>
              <a:defRPr/>
            </a:pPr>
            <a:endParaRPr lang="en-US"/>
          </a:p>
        </c:txPr>
        <c:crossAx val="475976648"/>
        <c:crosses val="autoZero"/>
        <c:crossBetween val="midCat"/>
        <c:majorUnit val="0.1"/>
        <c:minorUnit val="0.1"/>
      </c:valAx>
      <c:spPr>
        <a:solidFill>
          <a:srgbClr val="9BBB59">
            <a:lumMod val="20000"/>
            <a:lumOff val="80000"/>
          </a:srgb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bg1">
              <a:lumMod val="50000"/>
            </a:schemeClr>
          </a:solidFill>
          <a:latin typeface="+mj-lt"/>
          <a:cs typeface="Times New Roman" panose="02020603050405020304" pitchFamily="18"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tx>
            <c:strRef>
              <c:f>'промена курса'!$B$57:$G$57</c:f>
              <c:strCache>
                <c:ptCount val="1"/>
                <c:pt idx="0">
                  <c:v>основни сценарио</c:v>
                </c:pt>
              </c:strCache>
            </c:strRef>
          </c:tx>
          <c:dLbls>
            <c:spPr>
              <a:noFill/>
              <a:ln>
                <a:noFill/>
              </a:ln>
              <a:effectLst/>
            </c:spPr>
            <c:txPr>
              <a:bodyPr wrap="square" lIns="38100" tIns="19050" rIns="38100" bIns="19050" anchor="ctr">
                <a:spAutoFit/>
              </a:bodyPr>
              <a:lstStyle/>
              <a:p>
                <a:pPr>
                  <a:defRPr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курса'!$H$57:$N$57</c:f>
              <c:numCache>
                <c:formatCode>#,##0.0</c:formatCode>
                <c:ptCount val="7"/>
                <c:pt idx="0">
                  <c:v>45.414018757686897</c:v>
                </c:pt>
                <c:pt idx="1">
                  <c:v>56.21143890106449</c:v>
                </c:pt>
                <c:pt idx="2">
                  <c:v>59.566600019032798</c:v>
                </c:pt>
                <c:pt idx="3">
                  <c:v>68.491439440904443</c:v>
                </c:pt>
                <c:pt idx="4">
                  <c:v>76.120676845360364</c:v>
                </c:pt>
                <c:pt idx="5">
                  <c:v>77.493666444284003</c:v>
                </c:pt>
                <c:pt idx="6">
                  <c:v>76.853436798437116</c:v>
                </c:pt>
              </c:numCache>
            </c:numRef>
          </c:val>
          <c:smooth val="0"/>
        </c:ser>
        <c:ser>
          <c:idx val="1"/>
          <c:order val="1"/>
          <c:tx>
            <c:strRef>
              <c:f>'промена курса'!$B$58:$G$58</c:f>
              <c:strCache>
                <c:ptCount val="1"/>
                <c:pt idx="0">
                  <c:v>промена курса -2%</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курса'!$H$58:$N$58</c:f>
              <c:numCache>
                <c:formatCode>#,##0.0</c:formatCode>
                <c:ptCount val="7"/>
                <c:pt idx="0">
                  <c:v>45.414018757686897</c:v>
                </c:pt>
                <c:pt idx="1">
                  <c:v>56.21143890106449</c:v>
                </c:pt>
                <c:pt idx="2">
                  <c:v>59.566600019032798</c:v>
                </c:pt>
                <c:pt idx="3">
                  <c:v>69.559905896182556</c:v>
                </c:pt>
                <c:pt idx="4">
                  <c:v>77.308159404147986</c:v>
                </c:pt>
                <c:pt idx="5">
                  <c:v>78.702567640814834</c:v>
                </c:pt>
                <c:pt idx="6">
                  <c:v>78.052350412492729</c:v>
                </c:pt>
              </c:numCache>
            </c:numRef>
          </c:val>
          <c:smooth val="0"/>
        </c:ser>
        <c:ser>
          <c:idx val="2"/>
          <c:order val="2"/>
          <c:tx>
            <c:strRef>
              <c:f>'промена курса'!$B$59:$G$59</c:f>
              <c:strCache>
                <c:ptCount val="1"/>
                <c:pt idx="0">
                  <c:v>промена курса -4%</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курса'!$H$59:$N$59</c:f>
              <c:numCache>
                <c:formatCode>#,##0.0</c:formatCode>
                <c:ptCount val="7"/>
                <c:pt idx="0">
                  <c:v>45.414018757686897</c:v>
                </c:pt>
                <c:pt idx="1">
                  <c:v>56.21143890106449</c:v>
                </c:pt>
                <c:pt idx="2">
                  <c:v>59.566600019032798</c:v>
                </c:pt>
                <c:pt idx="3">
                  <c:v>70.628372351460669</c:v>
                </c:pt>
                <c:pt idx="4">
                  <c:v>78.495641962935608</c:v>
                </c:pt>
                <c:pt idx="5">
                  <c:v>79.911468837345666</c:v>
                </c:pt>
                <c:pt idx="6">
                  <c:v>79.251264026548355</c:v>
                </c:pt>
              </c:numCache>
            </c:numRef>
          </c:val>
          <c:smooth val="0"/>
        </c:ser>
        <c:ser>
          <c:idx val="3"/>
          <c:order val="3"/>
          <c:tx>
            <c:strRef>
              <c:f>'промена курса'!$B$60:$G$60</c:f>
              <c:strCache>
                <c:ptCount val="1"/>
                <c:pt idx="0">
                  <c:v>промена курса -6%</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курса'!$H$60:$N$60</c:f>
              <c:numCache>
                <c:formatCode>#,##0.0</c:formatCode>
                <c:ptCount val="7"/>
                <c:pt idx="0">
                  <c:v>45.414018757686897</c:v>
                </c:pt>
                <c:pt idx="1">
                  <c:v>56.21143890106449</c:v>
                </c:pt>
                <c:pt idx="2">
                  <c:v>59.566600019032798</c:v>
                </c:pt>
                <c:pt idx="3">
                  <c:v>71.696838806738782</c:v>
                </c:pt>
                <c:pt idx="4">
                  <c:v>79.683124521723244</c:v>
                </c:pt>
                <c:pt idx="5">
                  <c:v>81.120370033876483</c:v>
                </c:pt>
                <c:pt idx="6">
                  <c:v>80.450177640603968</c:v>
                </c:pt>
              </c:numCache>
            </c:numRef>
          </c:val>
          <c:smooth val="0"/>
        </c:ser>
        <c:ser>
          <c:idx val="4"/>
          <c:order val="4"/>
          <c:tx>
            <c:strRef>
              <c:f>'промена курса'!$B$61:$G$61</c:f>
              <c:strCache>
                <c:ptCount val="1"/>
                <c:pt idx="0">
                  <c:v>промена курса -8%</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курса'!$H$61:$N$61</c:f>
              <c:numCache>
                <c:formatCode>#,##0.0</c:formatCode>
                <c:ptCount val="7"/>
                <c:pt idx="0">
                  <c:v>45.414018757686897</c:v>
                </c:pt>
                <c:pt idx="1">
                  <c:v>56.21143890106449</c:v>
                </c:pt>
                <c:pt idx="2">
                  <c:v>59.566600019032798</c:v>
                </c:pt>
                <c:pt idx="3">
                  <c:v>72.765305262016895</c:v>
                </c:pt>
                <c:pt idx="4">
                  <c:v>80.870607080510851</c:v>
                </c:pt>
                <c:pt idx="5">
                  <c:v>82.329271230407315</c:v>
                </c:pt>
                <c:pt idx="6">
                  <c:v>81.649091254659595</c:v>
                </c:pt>
              </c:numCache>
            </c:numRef>
          </c:val>
          <c:smooth val="0"/>
        </c:ser>
        <c:ser>
          <c:idx val="5"/>
          <c:order val="5"/>
          <c:tx>
            <c:strRef>
              <c:f>'промена курса'!$B$62:$G$62</c:f>
              <c:strCache>
                <c:ptCount val="1"/>
                <c:pt idx="0">
                  <c:v>промена курса -10%</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курса'!$H$62:$N$62</c:f>
              <c:numCache>
                <c:formatCode>#,##0.0</c:formatCode>
                <c:ptCount val="7"/>
                <c:pt idx="0">
                  <c:v>45.414018757686897</c:v>
                </c:pt>
                <c:pt idx="1">
                  <c:v>56.21143890106449</c:v>
                </c:pt>
                <c:pt idx="2">
                  <c:v>59.566600019032798</c:v>
                </c:pt>
                <c:pt idx="3">
                  <c:v>73.833771717295008</c:v>
                </c:pt>
                <c:pt idx="4">
                  <c:v>82.058089639298473</c:v>
                </c:pt>
                <c:pt idx="5">
                  <c:v>83.538172426938161</c:v>
                </c:pt>
                <c:pt idx="6">
                  <c:v>82.848004868715222</c:v>
                </c:pt>
              </c:numCache>
            </c:numRef>
          </c:val>
          <c:smooth val="0"/>
        </c:ser>
        <c:ser>
          <c:idx val="6"/>
          <c:order val="6"/>
          <c:tx>
            <c:strRef>
              <c:f>'промена курса'!$B$63:$G$63</c:f>
              <c:strCache>
                <c:ptCount val="1"/>
                <c:pt idx="0">
                  <c:v>промена курса -12%</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курса'!$H$63:$N$63</c:f>
              <c:numCache>
                <c:formatCode>#,##0.0</c:formatCode>
                <c:ptCount val="7"/>
                <c:pt idx="0">
                  <c:v>45.414018757686897</c:v>
                </c:pt>
                <c:pt idx="1">
                  <c:v>56.21143890106449</c:v>
                </c:pt>
                <c:pt idx="2">
                  <c:v>59.566600019032798</c:v>
                </c:pt>
                <c:pt idx="3">
                  <c:v>74.902238172573107</c:v>
                </c:pt>
                <c:pt idx="4">
                  <c:v>83.245572198086094</c:v>
                </c:pt>
                <c:pt idx="5">
                  <c:v>84.747073623468992</c:v>
                </c:pt>
                <c:pt idx="6">
                  <c:v>84.046918482770835</c:v>
                </c:pt>
              </c:numCache>
            </c:numRef>
          </c:val>
          <c:smooth val="0"/>
        </c:ser>
        <c:ser>
          <c:idx val="7"/>
          <c:order val="7"/>
          <c:tx>
            <c:strRef>
              <c:f>'промена курса'!$B$64:$G$64</c:f>
              <c:strCache>
                <c:ptCount val="1"/>
                <c:pt idx="0">
                  <c:v>промена курса -14%</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курса'!$H$64:$N$64</c:f>
              <c:numCache>
                <c:formatCode>#,##0.0</c:formatCode>
                <c:ptCount val="7"/>
                <c:pt idx="0">
                  <c:v>45.414018757686897</c:v>
                </c:pt>
                <c:pt idx="1">
                  <c:v>56.21143890106449</c:v>
                </c:pt>
                <c:pt idx="2">
                  <c:v>59.566600019032798</c:v>
                </c:pt>
                <c:pt idx="3">
                  <c:v>75.970704627851219</c:v>
                </c:pt>
                <c:pt idx="4">
                  <c:v>84.433054756873716</c:v>
                </c:pt>
                <c:pt idx="5">
                  <c:v>85.95597481999981</c:v>
                </c:pt>
                <c:pt idx="6">
                  <c:v>85.245832096826447</c:v>
                </c:pt>
              </c:numCache>
            </c:numRef>
          </c:val>
          <c:smooth val="0"/>
        </c:ser>
        <c:ser>
          <c:idx val="8"/>
          <c:order val="8"/>
          <c:tx>
            <c:strRef>
              <c:f>'промена курса'!$B$65:$G$65</c:f>
              <c:strCache>
                <c:ptCount val="1"/>
                <c:pt idx="0">
                  <c:v>промена курса -16%</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курса'!$H$65:$N$65</c:f>
              <c:numCache>
                <c:formatCode>#,##0.0</c:formatCode>
                <c:ptCount val="7"/>
                <c:pt idx="0">
                  <c:v>45.414018757686897</c:v>
                </c:pt>
                <c:pt idx="1">
                  <c:v>56.21143890106449</c:v>
                </c:pt>
                <c:pt idx="2">
                  <c:v>59.566600019032798</c:v>
                </c:pt>
                <c:pt idx="3">
                  <c:v>77.039171083129318</c:v>
                </c:pt>
                <c:pt idx="4">
                  <c:v>85.620537315661323</c:v>
                </c:pt>
                <c:pt idx="5">
                  <c:v>87.164876016530641</c:v>
                </c:pt>
                <c:pt idx="6">
                  <c:v>86.44474571088206</c:v>
                </c:pt>
              </c:numCache>
            </c:numRef>
          </c:val>
          <c:smooth val="0"/>
        </c:ser>
        <c:ser>
          <c:idx val="9"/>
          <c:order val="9"/>
          <c:tx>
            <c:strRef>
              <c:f>'промена курса'!$B$66:$G$66</c:f>
              <c:strCache>
                <c:ptCount val="1"/>
                <c:pt idx="0">
                  <c:v>промена курса -18%</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курса'!$H$66:$N$66</c:f>
              <c:numCache>
                <c:formatCode>#,##0.0</c:formatCode>
                <c:ptCount val="7"/>
                <c:pt idx="0">
                  <c:v>45.414018757686897</c:v>
                </c:pt>
                <c:pt idx="1">
                  <c:v>56.21143890106449</c:v>
                </c:pt>
                <c:pt idx="2">
                  <c:v>59.566600019032798</c:v>
                </c:pt>
                <c:pt idx="3">
                  <c:v>78.107637538407431</c:v>
                </c:pt>
                <c:pt idx="4">
                  <c:v>86.808019874448945</c:v>
                </c:pt>
                <c:pt idx="5">
                  <c:v>88.373777213061473</c:v>
                </c:pt>
                <c:pt idx="6">
                  <c:v>87.643659324937687</c:v>
                </c:pt>
              </c:numCache>
            </c:numRef>
          </c:val>
          <c:smooth val="0"/>
        </c:ser>
        <c:ser>
          <c:idx val="10"/>
          <c:order val="10"/>
          <c:tx>
            <c:strRef>
              <c:f>'промена курса'!$B$67:$G$67</c:f>
              <c:strCache>
                <c:ptCount val="1"/>
                <c:pt idx="0">
                  <c:v>промена курса -20%</c:v>
                </c:pt>
              </c:strCache>
            </c:strRef>
          </c:tx>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курса'!$H$67:$N$67</c:f>
              <c:numCache>
                <c:formatCode>#,##0.0</c:formatCode>
                <c:ptCount val="7"/>
                <c:pt idx="0">
                  <c:v>45.414018757686897</c:v>
                </c:pt>
                <c:pt idx="1">
                  <c:v>56.21143890106449</c:v>
                </c:pt>
                <c:pt idx="2">
                  <c:v>59.566600019032798</c:v>
                </c:pt>
                <c:pt idx="3">
                  <c:v>79.17610399368553</c:v>
                </c:pt>
                <c:pt idx="4">
                  <c:v>87.995502433236567</c:v>
                </c:pt>
                <c:pt idx="5">
                  <c:v>89.582678409592305</c:v>
                </c:pt>
                <c:pt idx="6">
                  <c:v>88.8425729389933</c:v>
                </c:pt>
              </c:numCache>
            </c:numRef>
          </c:val>
          <c:smooth val="0"/>
        </c:ser>
        <c:ser>
          <c:idx val="11"/>
          <c:order val="11"/>
          <c:tx>
            <c:strRef>
              <c:f>'промена курса'!$B$68:$G$68</c:f>
              <c:strCache>
                <c:ptCount val="1"/>
                <c:pt idx="0">
                  <c:v>промена курса +2%</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курса'!$H$68:$N$68</c:f>
              <c:numCache>
                <c:formatCode>#,##0.0</c:formatCode>
                <c:ptCount val="7"/>
                <c:pt idx="0">
                  <c:v>45.414018757686897</c:v>
                </c:pt>
                <c:pt idx="1">
                  <c:v>56.21143890106449</c:v>
                </c:pt>
                <c:pt idx="2">
                  <c:v>59.566600019032798</c:v>
                </c:pt>
                <c:pt idx="3">
                  <c:v>67.422972985626345</c:v>
                </c:pt>
                <c:pt idx="4">
                  <c:v>74.933194286572743</c:v>
                </c:pt>
                <c:pt idx="5">
                  <c:v>76.284765247753171</c:v>
                </c:pt>
                <c:pt idx="6">
                  <c:v>75.654523184381503</c:v>
                </c:pt>
              </c:numCache>
            </c:numRef>
          </c:val>
          <c:smooth val="0"/>
        </c:ser>
        <c:ser>
          <c:idx val="12"/>
          <c:order val="12"/>
          <c:tx>
            <c:strRef>
              <c:f>'промена курса'!$B$69:$G$69</c:f>
              <c:strCache>
                <c:ptCount val="1"/>
                <c:pt idx="0">
                  <c:v>промена курса +4%</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курса'!$H$69:$N$69</c:f>
              <c:numCache>
                <c:formatCode>#,##0.0</c:formatCode>
                <c:ptCount val="7"/>
                <c:pt idx="0">
                  <c:v>45.414018757686897</c:v>
                </c:pt>
                <c:pt idx="1">
                  <c:v>56.21143890106449</c:v>
                </c:pt>
                <c:pt idx="2">
                  <c:v>59.566600019032798</c:v>
                </c:pt>
                <c:pt idx="3">
                  <c:v>66.354506530348218</c:v>
                </c:pt>
                <c:pt idx="4">
                  <c:v>73.745711727785121</c:v>
                </c:pt>
                <c:pt idx="5">
                  <c:v>75.075864051222339</c:v>
                </c:pt>
                <c:pt idx="6">
                  <c:v>74.45560957032589</c:v>
                </c:pt>
              </c:numCache>
            </c:numRef>
          </c:val>
          <c:smooth val="0"/>
        </c:ser>
        <c:ser>
          <c:idx val="13"/>
          <c:order val="13"/>
          <c:tx>
            <c:strRef>
              <c:f>'промена курса'!$B$70:$G$70</c:f>
              <c:strCache>
                <c:ptCount val="1"/>
                <c:pt idx="0">
                  <c:v>промена курса +6%</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курса'!$H$70:$N$70</c:f>
              <c:numCache>
                <c:formatCode>#,##0.0</c:formatCode>
                <c:ptCount val="7"/>
                <c:pt idx="0">
                  <c:v>45.414018757686897</c:v>
                </c:pt>
                <c:pt idx="1">
                  <c:v>56.21143890106449</c:v>
                </c:pt>
                <c:pt idx="2">
                  <c:v>59.566600019032798</c:v>
                </c:pt>
                <c:pt idx="3">
                  <c:v>65.286040075070119</c:v>
                </c:pt>
                <c:pt idx="4">
                  <c:v>72.558229168997485</c:v>
                </c:pt>
                <c:pt idx="5">
                  <c:v>73.866962854691508</c:v>
                </c:pt>
                <c:pt idx="6">
                  <c:v>73.256695956270264</c:v>
                </c:pt>
              </c:numCache>
            </c:numRef>
          </c:val>
          <c:smooth val="0"/>
        </c:ser>
        <c:ser>
          <c:idx val="14"/>
          <c:order val="14"/>
          <c:tx>
            <c:strRef>
              <c:f>'промена курса'!$B$71:$G$71</c:f>
              <c:strCache>
                <c:ptCount val="1"/>
                <c:pt idx="0">
                  <c:v>промена курса+8%</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курса'!$H$71:$N$71</c:f>
              <c:numCache>
                <c:formatCode>#,##0.0</c:formatCode>
                <c:ptCount val="7"/>
                <c:pt idx="0">
                  <c:v>45.414018757686897</c:v>
                </c:pt>
                <c:pt idx="1">
                  <c:v>56.21143890106449</c:v>
                </c:pt>
                <c:pt idx="2">
                  <c:v>59.566600019032798</c:v>
                </c:pt>
                <c:pt idx="3">
                  <c:v>64.217573619792006</c:v>
                </c:pt>
                <c:pt idx="4">
                  <c:v>71.370746610209878</c:v>
                </c:pt>
                <c:pt idx="5">
                  <c:v>72.658061658160676</c:v>
                </c:pt>
                <c:pt idx="6">
                  <c:v>72.057782342214651</c:v>
                </c:pt>
              </c:numCache>
            </c:numRef>
          </c:val>
          <c:smooth val="0"/>
        </c:ser>
        <c:ser>
          <c:idx val="15"/>
          <c:order val="15"/>
          <c:tx>
            <c:strRef>
              <c:f>'промена курса'!$B$72:$G$72</c:f>
              <c:strCache>
                <c:ptCount val="1"/>
                <c:pt idx="0">
                  <c:v>промена курса +10%</c:v>
                </c:pt>
              </c:strCache>
            </c:strRef>
          </c:tx>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курса'!$H$72:$N$72</c:f>
              <c:numCache>
                <c:formatCode>#,##0.0</c:formatCode>
                <c:ptCount val="7"/>
                <c:pt idx="0">
                  <c:v>45.414018757686897</c:v>
                </c:pt>
                <c:pt idx="1">
                  <c:v>56.21143890106449</c:v>
                </c:pt>
                <c:pt idx="2">
                  <c:v>59.566600019032798</c:v>
                </c:pt>
                <c:pt idx="3">
                  <c:v>63.149107164513907</c:v>
                </c:pt>
                <c:pt idx="4">
                  <c:v>70.183264051422256</c:v>
                </c:pt>
                <c:pt idx="5">
                  <c:v>71.449160461629845</c:v>
                </c:pt>
                <c:pt idx="6">
                  <c:v>70.858868728159024</c:v>
                </c:pt>
              </c:numCache>
            </c:numRef>
          </c:val>
          <c:smooth val="0"/>
        </c:ser>
        <c:dLbls>
          <c:showLegendKey val="0"/>
          <c:showVal val="0"/>
          <c:showCatName val="0"/>
          <c:showSerName val="0"/>
          <c:showPercent val="0"/>
          <c:showBubbleSize val="0"/>
        </c:dLbls>
        <c:marker val="1"/>
        <c:smooth val="0"/>
        <c:axId val="294713344"/>
        <c:axId val="294713736"/>
      </c:lineChart>
      <c:catAx>
        <c:axId val="294713344"/>
        <c:scaling>
          <c:orientation val="minMax"/>
        </c:scaling>
        <c:delete val="0"/>
        <c:axPos val="b"/>
        <c:majorGridlines>
          <c:spPr>
            <a:ln>
              <a:noFill/>
            </a:ln>
          </c:spPr>
        </c:majorGridlines>
        <c:minorGridlines>
          <c:spPr>
            <a:ln>
              <a:noFill/>
            </a:ln>
          </c:spPr>
        </c:minorGridlines>
        <c:numFmt formatCode="General" sourceLinked="1"/>
        <c:majorTickMark val="none"/>
        <c:minorTickMark val="none"/>
        <c:tickLblPos val="nextTo"/>
        <c:txPr>
          <a:bodyPr rot="-60000000" vert="horz"/>
          <a:lstStyle/>
          <a:p>
            <a:pPr>
              <a:defRPr/>
            </a:pPr>
            <a:endParaRPr lang="en-US"/>
          </a:p>
        </c:txPr>
        <c:crossAx val="294713736"/>
        <c:crosses val="autoZero"/>
        <c:auto val="1"/>
        <c:lblAlgn val="ctr"/>
        <c:lblOffset val="100"/>
        <c:noMultiLvlLbl val="0"/>
      </c:catAx>
      <c:valAx>
        <c:axId val="294713736"/>
        <c:scaling>
          <c:orientation val="minMax"/>
          <c:max val="100"/>
          <c:min val="40"/>
        </c:scaling>
        <c:delete val="0"/>
        <c:axPos val="l"/>
        <c:majorGridlines>
          <c:spPr>
            <a:ln>
              <a:noFill/>
            </a:ln>
          </c:spPr>
        </c:majorGridlines>
        <c:numFmt formatCode="#,##0.0" sourceLinked="0"/>
        <c:majorTickMark val="none"/>
        <c:minorTickMark val="none"/>
        <c:tickLblPos val="nextTo"/>
        <c:txPr>
          <a:bodyPr rot="-60000000" vert="horz"/>
          <a:lstStyle/>
          <a:p>
            <a:pPr>
              <a:defRPr/>
            </a:pPr>
            <a:endParaRPr lang="en-US"/>
          </a:p>
        </c:txPr>
        <c:crossAx val="294713344"/>
        <c:crosses val="autoZero"/>
        <c:crossBetween val="between"/>
        <c:majorUnit val="10"/>
        <c:minorUnit val="2"/>
      </c:valAx>
      <c:spPr>
        <a:solidFill>
          <a:schemeClr val="accent3">
            <a:lumMod val="20000"/>
            <a:lumOff val="80000"/>
          </a:schemeClr>
        </a:solidFill>
        <a:ln>
          <a:noFill/>
        </a:ln>
      </c:spPr>
    </c:plotArea>
    <c:plotVisOnly val="1"/>
    <c:dispBlanksAs val="gap"/>
    <c:showDLblsOverMax val="0"/>
  </c:chart>
  <c:spPr>
    <a:ln>
      <a:noFill/>
    </a:ln>
  </c:spPr>
  <c:txPr>
    <a:bodyPr/>
    <a:lstStyle/>
    <a:p>
      <a:pPr>
        <a:defRPr sz="900">
          <a:solidFill>
            <a:schemeClr val="bg1">
              <a:lumMod val="50000"/>
            </a:schemeClr>
          </a:solidFill>
          <a:latin typeface="+mj-lt"/>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60241883460628"/>
          <c:y val="2.6648266308103203E-2"/>
          <c:w val="0.68359043299700106"/>
          <c:h val="0.68627658203951747"/>
        </c:manualLayout>
      </c:layout>
      <c:scatterChart>
        <c:scatterStyle val="smoothMarker"/>
        <c:varyColors val="0"/>
        <c:ser>
          <c:idx val="0"/>
          <c:order val="0"/>
          <c:spPr>
            <a:ln>
              <a:solidFill>
                <a:schemeClr val="accent3">
                  <a:lumMod val="75000"/>
                </a:schemeClr>
              </a:solidFill>
            </a:ln>
          </c:spPr>
          <c:marker>
            <c:symbol val="none"/>
          </c:marker>
          <c:yVal>
            <c:numRef>
              <c:f>'[32graf_CaR_08102013.xlsx]Sheet1'!$B$1:$B$33</c:f>
              <c:numCache>
                <c:formatCode>General</c:formatCode>
                <c:ptCount val="33"/>
                <c:pt idx="0">
                  <c:v>1.3383022576488537E-4</c:v>
                </c:pt>
                <c:pt idx="1">
                  <c:v>3.5259568236744541E-4</c:v>
                </c:pt>
                <c:pt idx="2">
                  <c:v>8.7268269504576015E-4</c:v>
                </c:pt>
                <c:pt idx="3">
                  <c:v>2.0290480572997681E-3</c:v>
                </c:pt>
                <c:pt idx="4">
                  <c:v>4.4318484119380075E-3</c:v>
                </c:pt>
                <c:pt idx="5">
                  <c:v>9.0935625015910529E-3</c:v>
                </c:pt>
                <c:pt idx="6">
                  <c:v>1.752830049356854E-2</c:v>
                </c:pt>
                <c:pt idx="7">
                  <c:v>3.1739651835667418E-2</c:v>
                </c:pt>
                <c:pt idx="8">
                  <c:v>5.3990966513188063E-2</c:v>
                </c:pt>
                <c:pt idx="9">
                  <c:v>8.6277318826511532E-2</c:v>
                </c:pt>
                <c:pt idx="10">
                  <c:v>0.12951759566589174</c:v>
                </c:pt>
                <c:pt idx="11">
                  <c:v>0.18264908538902191</c:v>
                </c:pt>
                <c:pt idx="12">
                  <c:v>0.24197072451914337</c:v>
                </c:pt>
                <c:pt idx="13">
                  <c:v>0.30113743215480443</c:v>
                </c:pt>
                <c:pt idx="14">
                  <c:v>0.35206532676429952</c:v>
                </c:pt>
                <c:pt idx="15">
                  <c:v>0.38666811680284924</c:v>
                </c:pt>
                <c:pt idx="16">
                  <c:v>0.3989422804014327</c:v>
                </c:pt>
                <c:pt idx="17">
                  <c:v>0.38666811680284924</c:v>
                </c:pt>
                <c:pt idx="18">
                  <c:v>0.35206532676429952</c:v>
                </c:pt>
                <c:pt idx="19">
                  <c:v>0.30113743215480443</c:v>
                </c:pt>
                <c:pt idx="20">
                  <c:v>0.24197072451914337</c:v>
                </c:pt>
                <c:pt idx="21">
                  <c:v>0.18264908538902191</c:v>
                </c:pt>
                <c:pt idx="22">
                  <c:v>0.12951759566589174</c:v>
                </c:pt>
                <c:pt idx="23">
                  <c:v>8.6277318826511532E-2</c:v>
                </c:pt>
                <c:pt idx="24">
                  <c:v>5.3990966513188063E-2</c:v>
                </c:pt>
                <c:pt idx="25">
                  <c:v>3.1739651835667418E-2</c:v>
                </c:pt>
                <c:pt idx="26">
                  <c:v>1.752830049356854E-2</c:v>
                </c:pt>
                <c:pt idx="27">
                  <c:v>9.0935625015910529E-3</c:v>
                </c:pt>
                <c:pt idx="28">
                  <c:v>4.4318484119380075E-3</c:v>
                </c:pt>
                <c:pt idx="29">
                  <c:v>2.0290480572997681E-3</c:v>
                </c:pt>
                <c:pt idx="30">
                  <c:v>8.7268269504576015E-4</c:v>
                </c:pt>
                <c:pt idx="31">
                  <c:v>3.5259568236744541E-4</c:v>
                </c:pt>
                <c:pt idx="32">
                  <c:v>1.3383022576488537E-4</c:v>
                </c:pt>
              </c:numCache>
            </c:numRef>
          </c:yVal>
          <c:smooth val="1"/>
        </c:ser>
        <c:dLbls>
          <c:showLegendKey val="0"/>
          <c:showVal val="0"/>
          <c:showCatName val="0"/>
          <c:showSerName val="0"/>
          <c:showPercent val="0"/>
          <c:showBubbleSize val="0"/>
        </c:dLbls>
        <c:axId val="294714520"/>
        <c:axId val="294714912"/>
      </c:scatterChart>
      <c:valAx>
        <c:axId val="294714520"/>
        <c:scaling>
          <c:orientation val="minMax"/>
        </c:scaling>
        <c:delete val="1"/>
        <c:axPos val="b"/>
        <c:majorTickMark val="out"/>
        <c:minorTickMark val="none"/>
        <c:tickLblPos val="nextTo"/>
        <c:crossAx val="294714912"/>
        <c:crosses val="autoZero"/>
        <c:crossBetween val="midCat"/>
      </c:valAx>
      <c:valAx>
        <c:axId val="294714912"/>
        <c:scaling>
          <c:orientation val="minMax"/>
          <c:min val="0"/>
        </c:scaling>
        <c:delete val="1"/>
        <c:axPos val="l"/>
        <c:majorGridlines>
          <c:spPr>
            <a:ln>
              <a:noFill/>
            </a:ln>
            <a:effectLst>
              <a:outerShdw blurRad="50800" dist="50800" dir="5400000" algn="ctr" rotWithShape="0">
                <a:srgbClr val="F3D8D2"/>
              </a:outerShdw>
            </a:effectLst>
          </c:spPr>
        </c:majorGridlines>
        <c:numFmt formatCode="General" sourceLinked="1"/>
        <c:majorTickMark val="out"/>
        <c:minorTickMark val="none"/>
        <c:tickLblPos val="nextTo"/>
        <c:crossAx val="294714520"/>
        <c:crosses val="autoZero"/>
        <c:crossBetween val="midCat"/>
      </c:valAx>
      <c:spPr>
        <a:noFill/>
      </c:spPr>
    </c:plotArea>
    <c:plotVisOnly val="1"/>
    <c:dispBlanksAs val="gap"/>
    <c:showDLblsOverMax val="0"/>
  </c:chart>
  <c:spPr>
    <a:ln>
      <a:noFill/>
    </a:ln>
  </c:spPr>
  <c:txPr>
    <a:bodyPr/>
    <a:lstStyle/>
    <a:p>
      <a:pPr>
        <a:defRPr sz="900">
          <a:solidFill>
            <a:schemeClr val="bg1">
              <a:lumMod val="50000"/>
            </a:schemeClr>
          </a:solidFill>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733833606373"/>
          <c:y val="0.1092836027075566"/>
          <c:w val="0.44973436206380241"/>
          <c:h val="0.89071639729244356"/>
        </c:manualLayout>
      </c:layout>
      <c:pieChart>
        <c:varyColors val="1"/>
        <c:ser>
          <c:idx val="0"/>
          <c:order val="0"/>
          <c:dPt>
            <c:idx val="0"/>
            <c:bubble3D val="0"/>
            <c:spPr>
              <a:solidFill>
                <a:srgbClr val="9BBB59">
                  <a:lumMod val="75000"/>
                </a:srgbClr>
              </a:solidFill>
            </c:spPr>
          </c:dPt>
          <c:dPt>
            <c:idx val="1"/>
            <c:bubble3D val="0"/>
            <c:spPr>
              <a:solidFill>
                <a:srgbClr val="1F497D">
                  <a:lumMod val="60000"/>
                  <a:lumOff val="40000"/>
                </a:srgbClr>
              </a:solidFill>
            </c:spPr>
          </c:dPt>
          <c:dPt>
            <c:idx val="2"/>
            <c:bubble3D val="0"/>
            <c:spPr>
              <a:solidFill>
                <a:srgbClr val="9BBB59">
                  <a:lumMod val="60000"/>
                  <a:lumOff val="40000"/>
                </a:srgbClr>
              </a:solidFill>
            </c:spPr>
          </c:dPt>
          <c:dLbls>
            <c:dLbl>
              <c:idx val="0"/>
              <c:layout>
                <c:manualLayout>
                  <c:x val="-2.8483524215857686E-2"/>
                  <c:y val="0.11223213334495549"/>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789019596637514E-3"/>
                  <c:y val="-3.717775130507210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'Ukupno RSD i EUR'!$J$6:$J$10</c:f>
              <c:strCache>
                <c:ptCount val="5"/>
                <c:pt idx="0">
                  <c:v>Домаћа правна</c:v>
                </c:pt>
                <c:pt idx="1">
                  <c:v>Кастоди</c:v>
                </c:pt>
                <c:pt idx="2">
                  <c:v>Страна правна</c:v>
                </c:pt>
                <c:pt idx="3">
                  <c:v>Фондови</c:v>
                </c:pt>
                <c:pt idx="4">
                  <c:v>Домаћа и страна физичка лица</c:v>
                </c:pt>
              </c:strCache>
            </c:strRef>
          </c:cat>
          <c:val>
            <c:numRef>
              <c:f>'Ukupno RSD i EUR'!$K$6:$K$10</c:f>
              <c:numCache>
                <c:formatCode>0.0%</c:formatCode>
                <c:ptCount val="5"/>
                <c:pt idx="0">
                  <c:v>0.59898616612216204</c:v>
                </c:pt>
                <c:pt idx="1">
                  <c:v>5.1986402902068428E-2</c:v>
                </c:pt>
                <c:pt idx="2">
                  <c:v>0.32186661532283573</c:v>
                </c:pt>
                <c:pt idx="3">
                  <c:v>2.6222671341109255E-2</c:v>
                </c:pt>
                <c:pt idx="4">
                  <c:v>9.3814431182471191E-4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814139759375716"/>
          <c:y val="0.15177529124648889"/>
          <c:w val="0.40540471031725051"/>
          <c:h val="0.70319546898742924"/>
        </c:manualLayout>
      </c:layout>
      <c:overlay val="0"/>
    </c:legend>
    <c:plotVisOnly val="1"/>
    <c:dispBlanksAs val="zero"/>
    <c:showDLblsOverMax val="0"/>
  </c:chart>
  <c:spPr>
    <a:solidFill>
      <a:srgbClr val="9BBB59">
        <a:lumMod val="20000"/>
        <a:lumOff val="80000"/>
      </a:srgbClr>
    </a:solidFill>
    <a:ln w="9525" cap="flat" cmpd="sng" algn="ctr">
      <a:solidFill>
        <a:schemeClr val="dk1">
          <a:lumMod val="15000"/>
          <a:lumOff val="85000"/>
        </a:schemeClr>
      </a:solidFill>
      <a:round/>
    </a:ln>
    <a:effectLst/>
  </c:spPr>
  <c:txPr>
    <a:bodyPr/>
    <a:lstStyle/>
    <a:p>
      <a:pPr>
        <a:defRPr sz="900" b="0">
          <a:solidFill>
            <a:schemeClr val="bg1">
              <a:lumMod val="50000"/>
            </a:schemeClr>
          </a:solidFill>
          <a:latin typeface="+mj-lt"/>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733833606373"/>
          <c:y val="0.1092836027075566"/>
          <c:w val="0.44973436206380241"/>
          <c:h val="0.89071639729244356"/>
        </c:manualLayout>
      </c:layout>
      <c:pieChart>
        <c:varyColors val="1"/>
        <c:ser>
          <c:idx val="0"/>
          <c:order val="0"/>
          <c:dPt>
            <c:idx val="0"/>
            <c:bubble3D val="0"/>
            <c:spPr>
              <a:solidFill>
                <a:srgbClr val="9BBB59">
                  <a:lumMod val="75000"/>
                </a:srgbClr>
              </a:solidFill>
            </c:spPr>
          </c:dPt>
          <c:dPt>
            <c:idx val="1"/>
            <c:bubble3D val="0"/>
            <c:spPr>
              <a:solidFill>
                <a:srgbClr val="9BBB59">
                  <a:lumMod val="60000"/>
                  <a:lumOff val="40000"/>
                </a:srgbClr>
              </a:solidFill>
            </c:spPr>
          </c:dPt>
          <c:dPt>
            <c:idx val="2"/>
            <c:bubble3D val="0"/>
            <c:spPr>
              <a:solidFill>
                <a:srgbClr val="8064A2">
                  <a:lumMod val="75000"/>
                </a:srgbClr>
              </a:solidFill>
            </c:spPr>
          </c:dPt>
          <c:dLbls>
            <c:dLbl>
              <c:idx val="0"/>
              <c:layout>
                <c:manualLayout>
                  <c:x val="-3.6137727054660368E-2"/>
                  <c:y val="0.1423099770756503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800007042160432E-3"/>
                  <c:y val="-7.524808133160575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3534020237408835E-2"/>
                  <c:y val="4.636579288348450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'[Imaoci FI- 31 10 2014.xlsx]Tip delatnosti'!$L$8:$L$12</c:f>
              <c:strCache>
                <c:ptCount val="5"/>
                <c:pt idx="0">
                  <c:v>Пословне банке</c:v>
                </c:pt>
                <c:pt idx="1">
                  <c:v>Инвестициони фондови</c:v>
                </c:pt>
                <c:pt idx="2">
                  <c:v>Осигуравајућа друштва</c:v>
                </c:pt>
                <c:pt idx="3">
                  <c:v>Физичка лица</c:v>
                </c:pt>
                <c:pt idx="4">
                  <c:v>Пензиони фондови, БДД и остало</c:v>
                </c:pt>
              </c:strCache>
            </c:strRef>
          </c:cat>
          <c:val>
            <c:numRef>
              <c:f>'[Imaoci FI- 31 10 2014.xlsx]Tip delatnosti'!$N$8:$N$12</c:f>
              <c:numCache>
                <c:formatCode>0.0%</c:formatCode>
                <c:ptCount val="5"/>
                <c:pt idx="0">
                  <c:v>0.62006864235568004</c:v>
                </c:pt>
                <c:pt idx="1">
                  <c:v>0.29769292846177275</c:v>
                </c:pt>
                <c:pt idx="2">
                  <c:v>7.8357622289958795E-2</c:v>
                </c:pt>
                <c:pt idx="3">
                  <c:v>9.3814431182471158E-4</c:v>
                </c:pt>
                <c:pt idx="4">
                  <c:v>2.9426625807635783E-3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814139759375716"/>
          <c:y val="0.15177529124648889"/>
          <c:w val="0.40540471031725051"/>
          <c:h val="0.70319546898742924"/>
        </c:manualLayout>
      </c:layout>
      <c:overlay val="0"/>
    </c:legend>
    <c:plotVisOnly val="1"/>
    <c:dispBlanksAs val="zero"/>
    <c:showDLblsOverMax val="0"/>
  </c:chart>
  <c:spPr>
    <a:solidFill>
      <a:srgbClr val="9BBB59">
        <a:lumMod val="20000"/>
        <a:lumOff val="80000"/>
      </a:srgbClr>
    </a:solidFill>
    <a:ln w="9525" cap="flat" cmpd="sng" algn="ctr">
      <a:solidFill>
        <a:schemeClr val="dk1">
          <a:lumMod val="15000"/>
          <a:lumOff val="85000"/>
        </a:schemeClr>
      </a:solidFill>
      <a:round/>
    </a:ln>
    <a:effectLst/>
  </c:spPr>
  <c:txPr>
    <a:bodyPr/>
    <a:lstStyle/>
    <a:p>
      <a:pPr>
        <a:defRPr sz="900" b="0">
          <a:solidFill>
            <a:schemeClr val="bg1">
              <a:lumMod val="50000"/>
            </a:schemeClr>
          </a:solidFill>
          <a:latin typeface="+mj-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Sheet1!$A$61</c:f>
              <c:strCache>
                <c:ptCount val="1"/>
                <c:pt idx="0">
                  <c:v>Стопа незапослености, 15+</c:v>
                </c:pt>
              </c:strCache>
            </c:strRef>
          </c:tx>
          <c:spPr>
            <a:solidFill>
              <a:schemeClr val="accent3"/>
            </a:solidFill>
            <a:ln>
              <a:noFill/>
            </a:ln>
            <a:effectLst/>
          </c:spPr>
          <c:invertIfNegative val="0"/>
          <c:cat>
            <c:numRef>
              <c:f>Sheet1!$B$60:$K$60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Sheet1!$B$61:$K$61</c:f>
              <c:numCache>
                <c:formatCode>0.0</c:formatCode>
                <c:ptCount val="10"/>
                <c:pt idx="0">
                  <c:v>13.6</c:v>
                </c:pt>
                <c:pt idx="1">
                  <c:v>16.100000000000001</c:v>
                </c:pt>
                <c:pt idx="2">
                  <c:v>19.2</c:v>
                </c:pt>
                <c:pt idx="3">
                  <c:v>23</c:v>
                </c:pt>
                <c:pt idx="4">
                  <c:v>23.9</c:v>
                </c:pt>
                <c:pt idx="5">
                  <c:v>22.1</c:v>
                </c:pt>
                <c:pt idx="6">
                  <c:v>20</c:v>
                </c:pt>
                <c:pt idx="7">
                  <c:v>21.3</c:v>
                </c:pt>
                <c:pt idx="8">
                  <c:v>20.9</c:v>
                </c:pt>
                <c:pt idx="9">
                  <c:v>19.8</c:v>
                </c:pt>
              </c:numCache>
            </c:numRef>
          </c:val>
        </c:ser>
        <c:dLbls>
          <c:showLegendKey val="0"/>
          <c:showVal val="0"/>
          <c:showCatName val="0"/>
          <c:showSerName val="0"/>
          <c:showPercent val="0"/>
          <c:showBubbleSize val="0"/>
        </c:dLbls>
        <c:gapWidth val="108"/>
        <c:overlap val="5"/>
        <c:axId val="333091032"/>
        <c:axId val="333091424"/>
      </c:barChart>
      <c:catAx>
        <c:axId val="33309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Cambria (Headings)"/>
                <a:ea typeface="+mn-ea"/>
                <a:cs typeface="+mn-cs"/>
              </a:defRPr>
            </a:pPr>
            <a:endParaRPr lang="en-US"/>
          </a:p>
        </c:txPr>
        <c:crossAx val="333091424"/>
        <c:crosses val="autoZero"/>
        <c:auto val="1"/>
        <c:lblAlgn val="ctr"/>
        <c:lblOffset val="100"/>
        <c:noMultiLvlLbl val="0"/>
      </c:catAx>
      <c:valAx>
        <c:axId val="333091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Cambria (Headings)"/>
                <a:ea typeface="+mn-ea"/>
                <a:cs typeface="+mn-cs"/>
              </a:defRPr>
            </a:pPr>
            <a:endParaRPr lang="en-US"/>
          </a:p>
        </c:txPr>
        <c:crossAx val="333091032"/>
        <c:crosses val="autoZero"/>
        <c:crossBetween val="between"/>
      </c:valAx>
      <c:spPr>
        <a:solidFill>
          <a:schemeClr val="accent3">
            <a:lumMod val="20000"/>
            <a:lumOff val="80000"/>
          </a:scheme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bg1">
              <a:lumMod val="50000"/>
            </a:schemeClr>
          </a:solidFill>
          <a:latin typeface="Cambria (Headings)"/>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lineChart>
        <c:grouping val="standard"/>
        <c:varyColors val="0"/>
        <c:ser>
          <c:idx val="0"/>
          <c:order val="0"/>
          <c:tx>
            <c:strRef>
              <c:f>Makro!$C$91:$E$91</c:f>
              <c:strCache>
                <c:ptCount val="3"/>
                <c:pt idx="0">
                  <c:v>Инфлација, крај периода</c:v>
                </c:pt>
              </c:strCache>
            </c:strRef>
          </c:tx>
          <c:spPr>
            <a:ln w="28575" cap="rnd" cmpd="sng" algn="ctr">
              <a:solidFill>
                <a:schemeClr val="accent3">
                  <a:shade val="76000"/>
                  <a:shade val="95000"/>
                  <a:satMod val="105000"/>
                </a:schemeClr>
              </a:solidFill>
              <a:prstDash val="solid"/>
              <a:round/>
            </a:ln>
            <a:effectLst/>
          </c:spPr>
          <c:marker>
            <c:spPr>
              <a:solidFill>
                <a:schemeClr val="accent3">
                  <a:shade val="76000"/>
                </a:schemeClr>
              </a:solidFill>
              <a:ln w="9525" cap="flat" cmpd="sng" algn="ctr">
                <a:solidFill>
                  <a:schemeClr val="accent3">
                    <a:shade val="76000"/>
                    <a:shade val="95000"/>
                    <a:satMod val="105000"/>
                  </a:schemeClr>
                </a:solidFill>
                <a:prstDash val="solid"/>
                <a:round/>
              </a:ln>
              <a:effectLst/>
            </c:spPr>
          </c:marker>
          <c:dLbls>
            <c:dLbl>
              <c:idx val="1"/>
              <c:layout>
                <c:manualLayout>
                  <c:x val="-3.7668956348327079E-2"/>
                  <c:y val="6.07902735562309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510746731664122E-2"/>
                  <c:y val="-4.86322188449848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7010107284118844E-2"/>
                  <c:y val="3.70791948878729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3897752861940965E-3"/>
                  <c:y val="-5.55555555555554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chemeClr val="bg1">
                        <a:lumMod val="50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Makro!$F$90:$O$90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Makro!$F$91:$O$91</c:f>
              <c:numCache>
                <c:formatCode>0.0</c:formatCode>
                <c:ptCount val="10"/>
                <c:pt idx="0">
                  <c:v>8.6</c:v>
                </c:pt>
                <c:pt idx="1">
                  <c:v>6.6000000000000005</c:v>
                </c:pt>
                <c:pt idx="2">
                  <c:v>10.3</c:v>
                </c:pt>
                <c:pt idx="3">
                  <c:v>7.0000000000000009</c:v>
                </c:pt>
                <c:pt idx="4">
                  <c:v>12.2</c:v>
                </c:pt>
                <c:pt idx="5">
                  <c:v>2.2000000000000002</c:v>
                </c:pt>
                <c:pt idx="6">
                  <c:v>2.2000000000000002</c:v>
                </c:pt>
                <c:pt idx="7">
                  <c:v>4.2</c:v>
                </c:pt>
                <c:pt idx="8">
                  <c:v>4</c:v>
                </c:pt>
                <c:pt idx="9">
                  <c:v>4</c:v>
                </c:pt>
              </c:numCache>
            </c:numRef>
          </c:val>
          <c:smooth val="1"/>
        </c:ser>
        <c:ser>
          <c:idx val="1"/>
          <c:order val="1"/>
          <c:tx>
            <c:strRef>
              <c:f>Makro!$C$92:$E$92</c:f>
              <c:strCache>
                <c:ptCount val="3"/>
                <c:pt idx="0">
                  <c:v>Инфлација, просек периода</c:v>
                </c:pt>
              </c:strCache>
            </c:strRef>
          </c:tx>
          <c:spPr>
            <a:ln w="25400" cap="rnd" cmpd="sng" algn="ctr">
              <a:solidFill>
                <a:schemeClr val="accent4"/>
              </a:solidFill>
              <a:prstDash val="solid"/>
              <a:round/>
            </a:ln>
            <a:effectLst/>
          </c:spPr>
          <c:marker>
            <c:symbol val="none"/>
          </c:marker>
          <c:cat>
            <c:numRef>
              <c:f>Makro!$F$90:$O$90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Makro!$F$92:$O$92</c:f>
              <c:numCache>
                <c:formatCode>0.0</c:formatCode>
                <c:ptCount val="10"/>
                <c:pt idx="0">
                  <c:v>11.7</c:v>
                </c:pt>
                <c:pt idx="1">
                  <c:v>8.4</c:v>
                </c:pt>
                <c:pt idx="2">
                  <c:v>6.5</c:v>
                </c:pt>
                <c:pt idx="3">
                  <c:v>11</c:v>
                </c:pt>
                <c:pt idx="4">
                  <c:v>7.8</c:v>
                </c:pt>
                <c:pt idx="5">
                  <c:v>7.8</c:v>
                </c:pt>
                <c:pt idx="6">
                  <c:v>2.1</c:v>
                </c:pt>
                <c:pt idx="7">
                  <c:v>2.7</c:v>
                </c:pt>
                <c:pt idx="8">
                  <c:v>4</c:v>
                </c:pt>
                <c:pt idx="9">
                  <c:v>4</c:v>
                </c:pt>
              </c:numCache>
            </c:numRef>
          </c:val>
          <c:smooth val="1"/>
        </c:ser>
        <c:dLbls>
          <c:showLegendKey val="0"/>
          <c:showVal val="0"/>
          <c:showCatName val="0"/>
          <c:showSerName val="0"/>
          <c:showPercent val="0"/>
          <c:showBubbleSize val="0"/>
        </c:dLbls>
        <c:marker val="1"/>
        <c:smooth val="0"/>
        <c:axId val="333091816"/>
        <c:axId val="333092208"/>
      </c:lineChart>
      <c:catAx>
        <c:axId val="333091816"/>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333092208"/>
        <c:crosses val="autoZero"/>
        <c:auto val="1"/>
        <c:lblAlgn val="ctr"/>
        <c:lblOffset val="100"/>
        <c:noMultiLvlLbl val="0"/>
      </c:catAx>
      <c:valAx>
        <c:axId val="333092208"/>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333091816"/>
        <c:crosses val="autoZero"/>
        <c:crossBetween val="between"/>
      </c:valAx>
      <c:spPr>
        <a:solidFill>
          <a:schemeClr val="accent3">
            <a:tint val="2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a:solidFill>
            <a:schemeClr val="bg1">
              <a:lumMod val="50000"/>
            </a:schemeClr>
          </a:solidFill>
          <a:latin typeface="+mj-lt"/>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3892661266804016"/>
          <c:y val="5.1886472390308122E-2"/>
          <c:w val="0.7721868269004446"/>
          <c:h val="0.6327275489277665"/>
        </c:manualLayout>
      </c:layout>
      <c:barChart>
        <c:barDir val="col"/>
        <c:grouping val="clustered"/>
        <c:varyColors val="0"/>
        <c:ser>
          <c:idx val="0"/>
          <c:order val="0"/>
          <c:tx>
            <c:strRef>
              <c:f>Makro!$C$141</c:f>
              <c:strCache>
                <c:ptCount val="1"/>
                <c:pt idx="0">
                  <c:v>Салдо текућег рачуна (са донацијама)</c:v>
                </c:pt>
              </c:strCache>
            </c:strRef>
          </c:tx>
          <c:spPr>
            <a:solidFill>
              <a:schemeClr val="accent3">
                <a:shade val="65000"/>
              </a:schemeClr>
            </a:solidFill>
            <a:ln w="9525" cap="flat" cmpd="sng" algn="ctr">
              <a:solidFill>
                <a:schemeClr val="accent3">
                  <a:shade val="50000"/>
                  <a:shade val="95000"/>
                  <a:satMod val="105000"/>
                </a:schemeClr>
              </a:solidFill>
              <a:prstDash val="solid"/>
              <a:round/>
            </a:ln>
            <a:effectLst/>
          </c:spPr>
          <c:invertIfNegative val="0"/>
          <c:cat>
            <c:numRef>
              <c:f>Makro!$K$140:$P$140</c:f>
              <c:numCache>
                <c:formatCode>General</c:formatCode>
                <c:ptCount val="6"/>
                <c:pt idx="0">
                  <c:v>2012</c:v>
                </c:pt>
                <c:pt idx="1">
                  <c:v>2013</c:v>
                </c:pt>
                <c:pt idx="2">
                  <c:v>2014</c:v>
                </c:pt>
                <c:pt idx="3">
                  <c:v>2015</c:v>
                </c:pt>
                <c:pt idx="4">
                  <c:v>2016</c:v>
                </c:pt>
                <c:pt idx="5">
                  <c:v>2017</c:v>
                </c:pt>
              </c:numCache>
              <c:extLst/>
            </c:numRef>
          </c:cat>
          <c:val>
            <c:numRef>
              <c:f>Makro!$K$141:$P$141</c:f>
              <c:numCache>
                <c:formatCode>#,##0.0</c:formatCode>
                <c:ptCount val="6"/>
                <c:pt idx="0">
                  <c:v>-3639.6601120393648</c:v>
                </c:pt>
                <c:pt idx="1">
                  <c:v>-2106.9676016434682</c:v>
                </c:pt>
                <c:pt idx="2">
                  <c:v>-2019.6698930350669</c:v>
                </c:pt>
                <c:pt idx="3">
                  <c:v>-1550.2597278879953</c:v>
                </c:pt>
                <c:pt idx="4">
                  <c:v>-1550.5918631178181</c:v>
                </c:pt>
                <c:pt idx="5">
                  <c:v>-1544.8738881872318</c:v>
                </c:pt>
              </c:numCache>
              <c:extLst/>
            </c:numRef>
          </c:val>
        </c:ser>
        <c:dLbls>
          <c:showLegendKey val="0"/>
          <c:showVal val="0"/>
          <c:showCatName val="0"/>
          <c:showSerName val="0"/>
          <c:showPercent val="0"/>
          <c:showBubbleSize val="0"/>
        </c:dLbls>
        <c:gapWidth val="150"/>
        <c:axId val="333086720"/>
        <c:axId val="333086328"/>
      </c:barChart>
      <c:lineChart>
        <c:grouping val="standard"/>
        <c:varyColors val="0"/>
        <c:ser>
          <c:idx val="1"/>
          <c:order val="1"/>
          <c:tx>
            <c:strRef>
              <c:f>Makro!$C$143</c:f>
              <c:strCache>
                <c:ptCount val="1"/>
                <c:pt idx="0">
                  <c:v>Салдо текућег рачуна (десна скала)</c:v>
                </c:pt>
              </c:strCache>
            </c:strRef>
          </c:tx>
          <c:spPr>
            <a:ln w="25400" cap="rnd" cmpd="sng" algn="ctr">
              <a:solidFill>
                <a:schemeClr val="tx1"/>
              </a:solidFill>
              <a:prstDash val="solid"/>
              <a:round/>
            </a:ln>
            <a:effectLst/>
          </c:spPr>
          <c:marker>
            <c:symbol val="none"/>
          </c:marker>
          <c:dLbls>
            <c:dLbl>
              <c:idx val="1"/>
              <c:layout>
                <c:manualLayout>
                  <c:x val="4.5121263395375075E-3"/>
                  <c:y val="5.57341907824222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04850535815003E-2"/>
                  <c:y val="5.1446945337620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242526790750149E-3"/>
                  <c:y val="4.715969989281886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04850535815003E-2"/>
                  <c:y val="-4.715969989281888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7681895093062603E-3"/>
                  <c:y val="-3.429796355841371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shade val="95000"/>
                          <a:satMod val="105000"/>
                        </a:schemeClr>
                      </a:solidFill>
                      <a:prstDash val="solid"/>
                      <a:round/>
                    </a:ln>
                    <a:effectLst/>
                  </c:spPr>
                </c15:leaderLines>
              </c:ext>
            </c:extLst>
          </c:dLbls>
          <c:cat>
            <c:numRef>
              <c:f>Makro!$K$140:$P$140</c:f>
              <c:numCache>
                <c:formatCode>General</c:formatCode>
                <c:ptCount val="6"/>
                <c:pt idx="0">
                  <c:v>2012</c:v>
                </c:pt>
                <c:pt idx="1">
                  <c:v>2013</c:v>
                </c:pt>
                <c:pt idx="2">
                  <c:v>2014</c:v>
                </c:pt>
                <c:pt idx="3">
                  <c:v>2015</c:v>
                </c:pt>
                <c:pt idx="4">
                  <c:v>2016</c:v>
                </c:pt>
                <c:pt idx="5">
                  <c:v>2017</c:v>
                </c:pt>
              </c:numCache>
              <c:extLst/>
            </c:numRef>
          </c:cat>
          <c:val>
            <c:numRef>
              <c:f>Makro!$K$143:$P$143</c:f>
              <c:numCache>
                <c:formatCode>0.0</c:formatCode>
                <c:ptCount val="6"/>
                <c:pt idx="0">
                  <c:v>-11.487753616053489</c:v>
                </c:pt>
                <c:pt idx="1">
                  <c:v>-6.1493761897629691</c:v>
                </c:pt>
                <c:pt idx="2">
                  <c:v>-6.0845355425095731</c:v>
                </c:pt>
                <c:pt idx="3">
                  <c:v>-4.6868432039844974</c:v>
                </c:pt>
                <c:pt idx="4">
                  <c:v>-4.4907149841935521</c:v>
                </c:pt>
                <c:pt idx="5">
                  <c:v>-4.2622184967729284</c:v>
                </c:pt>
              </c:numCache>
              <c:extLst/>
            </c:numRef>
          </c:val>
          <c:smooth val="1"/>
        </c:ser>
        <c:ser>
          <c:idx val="2"/>
          <c:order val="2"/>
          <c:tx>
            <c:strRef>
              <c:f>Makro!$C$144</c:f>
              <c:strCache>
                <c:ptCount val="1"/>
                <c:pt idx="0">
                  <c:v>Салдо спољнотрговинске размене (десна скала)</c:v>
                </c:pt>
              </c:strCache>
            </c:strRef>
          </c:tx>
          <c:spPr>
            <a:ln w="25400" cap="rnd" cmpd="sng" algn="ctr">
              <a:solidFill>
                <a:schemeClr val="accent4"/>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shade val="95000"/>
                          <a:satMod val="105000"/>
                        </a:schemeClr>
                      </a:solidFill>
                      <a:prstDash val="solid"/>
                      <a:round/>
                    </a:ln>
                    <a:effectLst/>
                  </c:spPr>
                </c15:leaderLines>
              </c:ext>
            </c:extLst>
          </c:dLbls>
          <c:cat>
            <c:numRef>
              <c:f>Makro!$K$140:$P$140</c:f>
              <c:numCache>
                <c:formatCode>General</c:formatCode>
                <c:ptCount val="6"/>
                <c:pt idx="0">
                  <c:v>2012</c:v>
                </c:pt>
                <c:pt idx="1">
                  <c:v>2013</c:v>
                </c:pt>
                <c:pt idx="2">
                  <c:v>2014</c:v>
                </c:pt>
                <c:pt idx="3">
                  <c:v>2015</c:v>
                </c:pt>
                <c:pt idx="4">
                  <c:v>2016</c:v>
                </c:pt>
                <c:pt idx="5">
                  <c:v>2017</c:v>
                </c:pt>
              </c:numCache>
              <c:extLst/>
            </c:numRef>
          </c:cat>
          <c:val>
            <c:numRef>
              <c:f>Makro!$K$144:$P$144</c:f>
              <c:numCache>
                <c:formatCode>0.0</c:formatCode>
                <c:ptCount val="6"/>
                <c:pt idx="0">
                  <c:v>-17.34346486079049</c:v>
                </c:pt>
                <c:pt idx="1">
                  <c:v>-11.188172020670386</c:v>
                </c:pt>
                <c:pt idx="2">
                  <c:v>-11.385631806251695</c:v>
                </c:pt>
                <c:pt idx="3">
                  <c:v>-9.3723168618328572</c:v>
                </c:pt>
                <c:pt idx="4">
                  <c:v>-8.4635981558909705</c:v>
                </c:pt>
                <c:pt idx="5">
                  <c:v>-7.595362561315703</c:v>
                </c:pt>
              </c:numCache>
              <c:extLst/>
            </c:numRef>
          </c:val>
          <c:smooth val="1"/>
        </c:ser>
        <c:dLbls>
          <c:showLegendKey val="0"/>
          <c:showVal val="0"/>
          <c:showCatName val="0"/>
          <c:showSerName val="0"/>
          <c:showPercent val="0"/>
          <c:showBubbleSize val="0"/>
        </c:dLbls>
        <c:marker val="1"/>
        <c:smooth val="0"/>
        <c:axId val="438679432"/>
        <c:axId val="333085936"/>
      </c:lineChart>
      <c:catAx>
        <c:axId val="333086720"/>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high"/>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333086328"/>
        <c:crosses val="autoZero"/>
        <c:auto val="1"/>
        <c:lblAlgn val="ctr"/>
        <c:lblOffset val="100"/>
        <c:noMultiLvlLbl val="0"/>
      </c:catAx>
      <c:valAx>
        <c:axId val="333086328"/>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chemeClr val="bg1">
                        <a:lumMod val="50000"/>
                      </a:schemeClr>
                    </a:solidFill>
                    <a:latin typeface="+mj-lt"/>
                    <a:ea typeface="+mn-ea"/>
                    <a:cs typeface="+mn-cs"/>
                  </a:defRPr>
                </a:pPr>
                <a:r>
                  <a:rPr lang="sr-Cyrl-RS"/>
                  <a:t>мил. ЕУР</a:t>
                </a:r>
                <a:endParaRPr lang="en-US"/>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bg1">
                      <a:lumMod val="50000"/>
                    </a:schemeClr>
                  </a:solidFill>
                  <a:latin typeface="+mj-lt"/>
                  <a:ea typeface="+mn-ea"/>
                  <a:cs typeface="+mn-cs"/>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333086720"/>
        <c:crosses val="autoZero"/>
        <c:crossBetween val="between"/>
      </c:valAx>
      <c:valAx>
        <c:axId val="333085936"/>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bg1">
                        <a:lumMod val="50000"/>
                      </a:schemeClr>
                    </a:solidFill>
                    <a:latin typeface="+mj-lt"/>
                    <a:ea typeface="+mn-ea"/>
                    <a:cs typeface="+mn-cs"/>
                  </a:defRPr>
                </a:pPr>
                <a:r>
                  <a:rPr lang="sr-Cyrl-CS"/>
                  <a:t>% БДП</a:t>
                </a:r>
              </a:p>
            </c:rich>
          </c:tx>
          <c:layout>
            <c:manualLayout>
              <c:xMode val="edge"/>
              <c:yMode val="edge"/>
              <c:x val="0.96482676224611763"/>
              <c:y val="0.3410436235663467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bg1">
                      <a:lumMod val="50000"/>
                    </a:schemeClr>
                  </a:solidFill>
                  <a:latin typeface="+mj-lt"/>
                  <a:ea typeface="+mn-ea"/>
                  <a:cs typeface="+mn-cs"/>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438679432"/>
        <c:crosses val="max"/>
        <c:crossBetween val="between"/>
      </c:valAx>
      <c:catAx>
        <c:axId val="438679432"/>
        <c:scaling>
          <c:orientation val="minMax"/>
        </c:scaling>
        <c:delete val="1"/>
        <c:axPos val="b"/>
        <c:numFmt formatCode="General" sourceLinked="1"/>
        <c:majorTickMark val="out"/>
        <c:minorTickMark val="none"/>
        <c:tickLblPos val="nextTo"/>
        <c:crossAx val="333085936"/>
        <c:crosses val="autoZero"/>
        <c:auto val="1"/>
        <c:lblAlgn val="ctr"/>
        <c:lblOffset val="100"/>
        <c:noMultiLvlLbl val="0"/>
      </c:catAx>
      <c:spPr>
        <a:solidFill>
          <a:schemeClr val="accent3">
            <a:tint val="20000"/>
          </a:schemeClr>
        </a:solidFill>
        <a:ln>
          <a:noFill/>
        </a:ln>
        <a:effectLst/>
      </c:spPr>
    </c:plotArea>
    <c:legend>
      <c:legendPos val="b"/>
      <c:layout>
        <c:manualLayout>
          <c:xMode val="edge"/>
          <c:yMode val="edge"/>
          <c:x val="5.7327986285978225E-2"/>
          <c:y val="0.73748111901767199"/>
          <c:w val="0.85072879330944162"/>
          <c:h val="0.207084661463268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a:solidFill>
            <a:schemeClr val="bg1">
              <a:lumMod val="50000"/>
            </a:schemeClr>
          </a:solidFill>
          <a:latin typeface="+mj-lt"/>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2248011431542473"/>
          <c:y val="7.2222418138070038E-2"/>
          <c:w val="0.80820394625500092"/>
          <c:h val="0.681816035131531"/>
        </c:manualLayout>
      </c:layout>
      <c:barChart>
        <c:barDir val="col"/>
        <c:grouping val="clustered"/>
        <c:varyColors val="0"/>
        <c:ser>
          <c:idx val="0"/>
          <c:order val="0"/>
          <c:tx>
            <c:strRef>
              <c:f>Makro!$C$114</c:f>
              <c:strCache>
                <c:ptCount val="1"/>
                <c:pt idx="0">
                  <c:v>Извоз роба и услуга, фоб</c:v>
                </c:pt>
              </c:strCache>
            </c:strRef>
          </c:tx>
          <c:spPr>
            <a:solidFill>
              <a:schemeClr val="accent3">
                <a:shade val="58000"/>
              </a:schemeClr>
            </a:solidFill>
            <a:ln w="9525" cap="flat" cmpd="sng" algn="ctr">
              <a:solidFill>
                <a:schemeClr val="accent3">
                  <a:shade val="50000"/>
                  <a:shade val="95000"/>
                  <a:satMod val="105000"/>
                </a:schemeClr>
              </a:solidFill>
              <a:prstDash val="solid"/>
              <a:round/>
            </a:ln>
            <a:effectLst/>
          </c:spPr>
          <c:invertIfNegative val="0"/>
          <c:dLbls>
            <c:delete val="1"/>
          </c:dLbls>
          <c:cat>
            <c:numRef>
              <c:f>Makro!$G$113:$P$113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Makro!$G$114:$P$114</c:f>
              <c:numCache>
                <c:formatCode>#,##0</c:formatCode>
                <c:ptCount val="10"/>
                <c:pt idx="0">
                  <c:v>10157.479512790251</c:v>
                </c:pt>
                <c:pt idx="1">
                  <c:v>8477.2474378221232</c:v>
                </c:pt>
                <c:pt idx="2">
                  <c:v>10069.984413136664</c:v>
                </c:pt>
                <c:pt idx="3">
                  <c:v>11472.275898490647</c:v>
                </c:pt>
                <c:pt idx="4">
                  <c:v>11497.266746153709</c:v>
                </c:pt>
                <c:pt idx="5">
                  <c:v>13962.477856863119</c:v>
                </c:pt>
                <c:pt idx="6">
                  <c:v>14297.732035928146</c:v>
                </c:pt>
                <c:pt idx="7">
                  <c:v>14624.539631705364</c:v>
                </c:pt>
                <c:pt idx="8">
                  <c:v>15358.306400000001</c:v>
                </c:pt>
                <c:pt idx="9">
                  <c:v>16432.183999999994</c:v>
                </c:pt>
              </c:numCache>
            </c:numRef>
          </c:val>
        </c:ser>
        <c:ser>
          <c:idx val="1"/>
          <c:order val="1"/>
          <c:tx>
            <c:strRef>
              <c:f>Makro!$C$115</c:f>
              <c:strCache>
                <c:ptCount val="1"/>
                <c:pt idx="0">
                  <c:v>Увоз роба и услуга, фоб</c:v>
                </c:pt>
              </c:strCache>
            </c:strRef>
          </c:tx>
          <c:spPr>
            <a:solidFill>
              <a:schemeClr val="accent3">
                <a:lumMod val="20000"/>
                <a:lumOff val="80000"/>
              </a:schemeClr>
            </a:solidFill>
            <a:ln w="9525" cap="flat" cmpd="sng" algn="ctr">
              <a:solidFill>
                <a:schemeClr val="accent3">
                  <a:shade val="50000"/>
                  <a:shade val="95000"/>
                  <a:satMod val="105000"/>
                </a:schemeClr>
              </a:solidFill>
              <a:prstDash val="solid"/>
              <a:round/>
            </a:ln>
            <a:effectLst/>
          </c:spPr>
          <c:invertIfNegative val="0"/>
          <c:dLbls>
            <c:delete val="1"/>
          </c:dLbls>
          <c:cat>
            <c:numRef>
              <c:f>Makro!$G$113:$P$113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Makro!$G$115:$P$115</c:f>
              <c:numCache>
                <c:formatCode>#,##0</c:formatCode>
                <c:ptCount val="10"/>
                <c:pt idx="0">
                  <c:v>18843.545890378737</c:v>
                </c:pt>
                <c:pt idx="1">
                  <c:v>13401.720979091722</c:v>
                </c:pt>
                <c:pt idx="2">
                  <c:v>14646.958642927311</c:v>
                </c:pt>
                <c:pt idx="3">
                  <c:v>16617.914128134773</c:v>
                </c:pt>
                <c:pt idx="4">
                  <c:v>16992.189371423352</c:v>
                </c:pt>
                <c:pt idx="5">
                  <c:v>17795.893676895277</c:v>
                </c:pt>
                <c:pt idx="6">
                  <c:v>18077.020958083842</c:v>
                </c:pt>
                <c:pt idx="7">
                  <c:v>17724.606084867883</c:v>
                </c:pt>
                <c:pt idx="8">
                  <c:v>18280.6888</c:v>
                </c:pt>
                <c:pt idx="9">
                  <c:v>19185.181600000004</c:v>
                </c:pt>
              </c:numCache>
            </c:numRef>
          </c:val>
        </c:ser>
        <c:dLbls>
          <c:showLegendKey val="0"/>
          <c:showVal val="1"/>
          <c:showCatName val="0"/>
          <c:showSerName val="0"/>
          <c:showPercent val="0"/>
          <c:showBubbleSize val="0"/>
        </c:dLbls>
        <c:gapWidth val="87"/>
        <c:overlap val="40"/>
        <c:axId val="438679824"/>
        <c:axId val="438680216"/>
      </c:barChart>
      <c:lineChart>
        <c:grouping val="standard"/>
        <c:varyColors val="0"/>
        <c:ser>
          <c:idx val="2"/>
          <c:order val="2"/>
          <c:tx>
            <c:strRef>
              <c:f>Makro!$C$116</c:f>
              <c:strCache>
                <c:ptCount val="1"/>
                <c:pt idx="0">
                  <c:v>Извоз роба и услуга, %БДП</c:v>
                </c:pt>
              </c:strCache>
            </c:strRef>
          </c:tx>
          <c:spPr>
            <a:ln w="19050" cap="rnd" cmpd="sng" algn="ctr">
              <a:solidFill>
                <a:schemeClr val="tx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Makro!$G$113:$P$113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Makro!$G$116:$P$116</c:f>
              <c:numCache>
                <c:formatCode>0.0</c:formatCode>
                <c:ptCount val="10"/>
                <c:pt idx="0">
                  <c:v>30.136847760870062</c:v>
                </c:pt>
                <c:pt idx="1">
                  <c:v>27.654057554697847</c:v>
                </c:pt>
                <c:pt idx="2">
                  <c:v>33.830194992515601</c:v>
                </c:pt>
                <c:pt idx="3">
                  <c:v>34.323676253318389</c:v>
                </c:pt>
                <c:pt idx="4">
                  <c:v>36.288489466631361</c:v>
                </c:pt>
                <c:pt idx="5">
                  <c:v>40.750758965688014</c:v>
                </c:pt>
                <c:pt idx="6">
                  <c:v>43.073899873384946</c:v>
                </c:pt>
                <c:pt idx="7">
                  <c:v>44.213832657344504</c:v>
                </c:pt>
                <c:pt idx="8">
                  <c:v>44.47964569066955</c:v>
                </c:pt>
                <c:pt idx="9">
                  <c:v>45.335453672117396</c:v>
                </c:pt>
              </c:numCache>
            </c:numRef>
          </c:val>
          <c:smooth val="1"/>
        </c:ser>
        <c:ser>
          <c:idx val="3"/>
          <c:order val="3"/>
          <c:tx>
            <c:strRef>
              <c:f>Makro!$C$117</c:f>
              <c:strCache>
                <c:ptCount val="1"/>
                <c:pt idx="0">
                  <c:v>Увоз роба и услуга, % БДП</c:v>
                </c:pt>
              </c:strCache>
            </c:strRef>
          </c:tx>
          <c:spPr>
            <a:ln w="28575" cap="rnd" cmpd="sng" algn="ctr">
              <a:solidFill>
                <a:schemeClr val="accent4"/>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Makro!$G$113:$P$113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Makro!$G$117:$P$117</c:f>
              <c:numCache>
                <c:formatCode>0.0</c:formatCode>
                <c:ptCount val="10"/>
                <c:pt idx="0">
                  <c:v>55.908069817737207</c:v>
                </c:pt>
                <c:pt idx="1">
                  <c:v>43.718431720452102</c:v>
                </c:pt>
                <c:pt idx="2">
                  <c:v>49.20657734992443</c:v>
                </c:pt>
                <c:pt idx="3">
                  <c:v>49.718809901929468</c:v>
                </c:pt>
                <c:pt idx="4">
                  <c:v>53.631954327421852</c:v>
                </c:pt>
                <c:pt idx="5">
                  <c:v>51.9389309863584</c:v>
                </c:pt>
                <c:pt idx="6">
                  <c:v>54.45953167963664</c:v>
                </c:pt>
                <c:pt idx="7">
                  <c:v>53.586149519177361</c:v>
                </c:pt>
                <c:pt idx="8">
                  <c:v>52.94324384656052</c:v>
                </c:pt>
                <c:pt idx="9">
                  <c:v>52.930816233433099</c:v>
                </c:pt>
              </c:numCache>
            </c:numRef>
          </c:val>
          <c:smooth val="0"/>
        </c:ser>
        <c:dLbls>
          <c:showLegendKey val="0"/>
          <c:showVal val="0"/>
          <c:showCatName val="0"/>
          <c:showSerName val="0"/>
          <c:showPercent val="0"/>
          <c:showBubbleSize val="0"/>
        </c:dLbls>
        <c:marker val="1"/>
        <c:smooth val="0"/>
        <c:axId val="438681000"/>
        <c:axId val="438680608"/>
      </c:lineChart>
      <c:catAx>
        <c:axId val="438679824"/>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438680216"/>
        <c:crosses val="autoZero"/>
        <c:auto val="1"/>
        <c:lblAlgn val="ctr"/>
        <c:lblOffset val="100"/>
        <c:tickLblSkip val="1"/>
        <c:tickMarkSkip val="1"/>
        <c:noMultiLvlLbl val="0"/>
      </c:catAx>
      <c:valAx>
        <c:axId val="438680216"/>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chemeClr val="bg1">
                        <a:lumMod val="50000"/>
                      </a:schemeClr>
                    </a:solidFill>
                    <a:latin typeface="+mj-lt"/>
                    <a:ea typeface="+mn-ea"/>
                    <a:cs typeface="+mn-cs"/>
                  </a:defRPr>
                </a:pPr>
                <a:r>
                  <a:rPr lang="sr-Cyrl-CS"/>
                  <a:t>у мил. евра</a:t>
                </a:r>
              </a:p>
            </c:rich>
          </c:tx>
          <c:layout>
            <c:manualLayout>
              <c:xMode val="edge"/>
              <c:yMode val="edge"/>
              <c:x val="1.8665238305437834E-3"/>
              <c:y val="0.3383462889717409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bg1">
                      <a:lumMod val="50000"/>
                    </a:schemeClr>
                  </a:solidFill>
                  <a:latin typeface="+mj-lt"/>
                  <a:ea typeface="+mn-ea"/>
                  <a:cs typeface="+mn-cs"/>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438679824"/>
        <c:crosses val="autoZero"/>
        <c:crossBetween val="between"/>
      </c:valAx>
      <c:valAx>
        <c:axId val="438680608"/>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bg1">
                        <a:lumMod val="50000"/>
                      </a:schemeClr>
                    </a:solidFill>
                    <a:latin typeface="+mj-lt"/>
                    <a:ea typeface="+mn-ea"/>
                    <a:cs typeface="+mn-cs"/>
                  </a:defRPr>
                </a:pPr>
                <a:r>
                  <a:rPr lang="sr-Cyrl-RS"/>
                  <a:t>учешће у БДП</a:t>
                </a:r>
                <a:endParaRPr lang="en-US"/>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bg1">
                      <a:lumMod val="50000"/>
                    </a:schemeClr>
                  </a:solidFill>
                  <a:latin typeface="+mj-lt"/>
                  <a:ea typeface="+mn-ea"/>
                  <a:cs typeface="+mn-cs"/>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crossAx val="438681000"/>
        <c:crosses val="max"/>
        <c:crossBetween val="between"/>
      </c:valAx>
      <c:catAx>
        <c:axId val="438681000"/>
        <c:scaling>
          <c:orientation val="minMax"/>
        </c:scaling>
        <c:delete val="1"/>
        <c:axPos val="b"/>
        <c:numFmt formatCode="General" sourceLinked="1"/>
        <c:majorTickMark val="out"/>
        <c:minorTickMark val="none"/>
        <c:tickLblPos val="nextTo"/>
        <c:crossAx val="438680608"/>
        <c:crosses val="autoZero"/>
        <c:auto val="1"/>
        <c:lblAlgn val="ctr"/>
        <c:lblOffset val="100"/>
        <c:noMultiLvlLbl val="0"/>
      </c:catAx>
      <c:spPr>
        <a:solidFill>
          <a:schemeClr val="accent3">
            <a:tint val="20000"/>
          </a:schemeClr>
        </a:solidFill>
        <a:ln>
          <a:noFill/>
        </a:ln>
        <a:effectLst/>
      </c:spPr>
    </c:plotArea>
    <c:legend>
      <c:legendPos val="b"/>
      <c:layout>
        <c:manualLayout>
          <c:xMode val="edge"/>
          <c:yMode val="edge"/>
          <c:x val="2.9995177671515452E-2"/>
          <c:y val="0.86767712288391163"/>
          <c:w val="0.92691926833129024"/>
          <c:h val="0.106432909478548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j-lt"/>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a:solidFill>
            <a:schemeClr val="bg1">
              <a:lumMod val="50000"/>
            </a:schemeClr>
          </a:solidFill>
          <a:latin typeface="+mj-lt"/>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2"/>
          <c:order val="1"/>
          <c:tx>
            <c:strRef>
              <c:f>'BoP (2)'!$A$66</c:f>
              <c:strCache>
                <c:ptCount val="1"/>
                <c:pt idx="0">
                  <c:v>Салдо робне размене </c:v>
                </c:pt>
              </c:strCache>
            </c:strRef>
          </c:tx>
          <c:spPr>
            <a:solidFill>
              <a:schemeClr val="accent3">
                <a:shade val="68000"/>
              </a:schemeClr>
            </a:solidFill>
            <a:ln>
              <a:noFill/>
            </a:ln>
            <a:effectLst/>
          </c:spPr>
          <c:invertIfNegative val="0"/>
          <c:cat>
            <c:numRef>
              <c:f>'BoP (2)'!$O$63:$T$63</c:f>
              <c:numCache>
                <c:formatCode>0</c:formatCode>
                <c:ptCount val="6"/>
                <c:pt idx="0">
                  <c:v>2012</c:v>
                </c:pt>
                <c:pt idx="1">
                  <c:v>2013</c:v>
                </c:pt>
                <c:pt idx="2">
                  <c:v>2014</c:v>
                </c:pt>
                <c:pt idx="3">
                  <c:v>2015</c:v>
                </c:pt>
                <c:pt idx="4">
                  <c:v>2016</c:v>
                </c:pt>
                <c:pt idx="5">
                  <c:v>2017</c:v>
                </c:pt>
              </c:numCache>
            </c:numRef>
          </c:cat>
          <c:val>
            <c:numRef>
              <c:f>'BoP (2)'!$O$66:$T$66</c:f>
              <c:numCache>
                <c:formatCode>#,##0.0</c:formatCode>
                <c:ptCount val="6"/>
                <c:pt idx="0">
                  <c:v>-17.781923913818396</c:v>
                </c:pt>
                <c:pt idx="1">
                  <c:v>-12.120689246729476</c:v>
                </c:pt>
                <c:pt idx="2">
                  <c:v>-12.533343396253921</c:v>
                </c:pt>
                <c:pt idx="3">
                  <c:v>-10.954991522364546</c:v>
                </c:pt>
                <c:pt idx="4">
                  <c:v>-10.223888892632255</c:v>
                </c:pt>
                <c:pt idx="5">
                  <c:v>-9.5694853668254272</c:v>
                </c:pt>
              </c:numCache>
            </c:numRef>
          </c:val>
        </c:ser>
        <c:ser>
          <c:idx val="5"/>
          <c:order val="2"/>
          <c:tx>
            <c:strRef>
              <c:f>'BoP (2)'!$A$69</c:f>
              <c:strCache>
                <c:ptCount val="1"/>
                <c:pt idx="0">
                  <c:v>Салдо услуге </c:v>
                </c:pt>
              </c:strCache>
            </c:strRef>
          </c:tx>
          <c:spPr>
            <a:solidFill>
              <a:schemeClr val="bg1">
                <a:lumMod val="50000"/>
              </a:schemeClr>
            </a:solidFill>
            <a:ln>
              <a:noFill/>
            </a:ln>
            <a:effectLst/>
          </c:spPr>
          <c:invertIfNegative val="0"/>
          <c:cat>
            <c:numRef>
              <c:f>'BoP (2)'!$O$63:$T$63</c:f>
              <c:numCache>
                <c:formatCode>0</c:formatCode>
                <c:ptCount val="6"/>
                <c:pt idx="0">
                  <c:v>2012</c:v>
                </c:pt>
                <c:pt idx="1">
                  <c:v>2013</c:v>
                </c:pt>
                <c:pt idx="2">
                  <c:v>2014</c:v>
                </c:pt>
                <c:pt idx="3">
                  <c:v>2015</c:v>
                </c:pt>
                <c:pt idx="4">
                  <c:v>2016</c:v>
                </c:pt>
                <c:pt idx="5">
                  <c:v>2017</c:v>
                </c:pt>
              </c:numCache>
            </c:numRef>
          </c:cat>
          <c:val>
            <c:numRef>
              <c:f>'BoP (2)'!$C$69:$T$69</c:f>
              <c:numCache>
                <c:formatCode>#,##0.0</c:formatCode>
                <c:ptCount val="6"/>
                <c:pt idx="0">
                  <c:v>0.43815377142107437</c:v>
                </c:pt>
                <c:pt idx="1">
                  <c:v>0.93251722605909648</c:v>
                </c:pt>
                <c:pt idx="2">
                  <c:v>1.1477115900022274</c:v>
                </c:pt>
                <c:pt idx="3">
                  <c:v>1.5826746605316788</c:v>
                </c:pt>
                <c:pt idx="4">
                  <c:v>1.760290736741289</c:v>
                </c:pt>
                <c:pt idx="5">
                  <c:v>1.9741228055097384</c:v>
                </c:pt>
              </c:numCache>
            </c:numRef>
          </c:val>
        </c:ser>
        <c:ser>
          <c:idx val="6"/>
          <c:order val="3"/>
          <c:tx>
            <c:strRef>
              <c:f>'BoP (2)'!$A$70</c:f>
              <c:strCache>
                <c:ptCount val="1"/>
                <c:pt idx="0">
                  <c:v>Салдо доходка           </c:v>
                </c:pt>
              </c:strCache>
            </c:strRef>
          </c:tx>
          <c:spPr>
            <a:solidFill>
              <a:schemeClr val="accent4">
                <a:lumMod val="40000"/>
                <a:lumOff val="60000"/>
              </a:schemeClr>
            </a:solidFill>
            <a:ln>
              <a:noFill/>
            </a:ln>
            <a:effectLst/>
          </c:spPr>
          <c:invertIfNegative val="0"/>
          <c:cat>
            <c:numRef>
              <c:f>'BoP (2)'!$O$63:$T$63</c:f>
              <c:numCache>
                <c:formatCode>0</c:formatCode>
                <c:ptCount val="6"/>
                <c:pt idx="0">
                  <c:v>2012</c:v>
                </c:pt>
                <c:pt idx="1">
                  <c:v>2013</c:v>
                </c:pt>
                <c:pt idx="2">
                  <c:v>2014</c:v>
                </c:pt>
                <c:pt idx="3">
                  <c:v>2015</c:v>
                </c:pt>
                <c:pt idx="4">
                  <c:v>2016</c:v>
                </c:pt>
                <c:pt idx="5">
                  <c:v>2017</c:v>
                </c:pt>
              </c:numCache>
            </c:numRef>
          </c:cat>
          <c:val>
            <c:numRef>
              <c:f>'BoP (2)'!$O$70:$T$70</c:f>
              <c:numCache>
                <c:formatCode>#,##0.0</c:formatCode>
                <c:ptCount val="6"/>
                <c:pt idx="0">
                  <c:v>-3.4447189038672885</c:v>
                </c:pt>
                <c:pt idx="1">
                  <c:v>-4.12201365973426</c:v>
                </c:pt>
                <c:pt idx="2">
                  <c:v>-4.5490843334712867</c:v>
                </c:pt>
                <c:pt idx="3">
                  <c:v>-4.9279190351558189</c:v>
                </c:pt>
                <c:pt idx="4">
                  <c:v>-5.2130332705958509</c:v>
                </c:pt>
                <c:pt idx="5">
                  <c:v>-5.2971699349560257</c:v>
                </c:pt>
              </c:numCache>
            </c:numRef>
          </c:val>
        </c:ser>
        <c:ser>
          <c:idx val="7"/>
          <c:order val="4"/>
          <c:tx>
            <c:strRef>
              <c:f>'BoP (2)'!$A$71</c:f>
              <c:strCache>
                <c:ptCount val="1"/>
                <c:pt idx="0">
                  <c:v>Салдо текућих  трансфера</c:v>
                </c:pt>
              </c:strCache>
            </c:strRef>
          </c:tx>
          <c:spPr>
            <a:solidFill>
              <a:schemeClr val="accent6">
                <a:lumMod val="20000"/>
                <a:lumOff val="80000"/>
              </a:schemeClr>
            </a:solidFill>
            <a:ln>
              <a:noFill/>
            </a:ln>
            <a:effectLst/>
          </c:spPr>
          <c:invertIfNegative val="0"/>
          <c:cat>
            <c:numRef>
              <c:f>'BoP (2)'!$O$63:$T$63</c:f>
              <c:numCache>
                <c:formatCode>0</c:formatCode>
                <c:ptCount val="6"/>
                <c:pt idx="0">
                  <c:v>2012</c:v>
                </c:pt>
                <c:pt idx="1">
                  <c:v>2013</c:v>
                </c:pt>
                <c:pt idx="2">
                  <c:v>2014</c:v>
                </c:pt>
                <c:pt idx="3">
                  <c:v>2015</c:v>
                </c:pt>
                <c:pt idx="4">
                  <c:v>2016</c:v>
                </c:pt>
                <c:pt idx="5">
                  <c:v>2017</c:v>
                </c:pt>
              </c:numCache>
            </c:numRef>
          </c:cat>
          <c:val>
            <c:numRef>
              <c:f>'BoP (2)'!$O$71:$T$71</c:f>
              <c:numCache>
                <c:formatCode>#,##0.0</c:formatCode>
                <c:ptCount val="6"/>
                <c:pt idx="0">
                  <c:v>9.3014968596763659</c:v>
                </c:pt>
                <c:pt idx="1">
                  <c:v>9.1935609179011681</c:v>
                </c:pt>
                <c:pt idx="2">
                  <c:v>9.8513283248020596</c:v>
                </c:pt>
                <c:pt idx="3">
                  <c:v>9.6442096454889956</c:v>
                </c:pt>
                <c:pt idx="4">
                  <c:v>9.180730815438249</c:v>
                </c:pt>
                <c:pt idx="5">
                  <c:v>8.5803117175589776</c:v>
                </c:pt>
              </c:numCache>
            </c:numRef>
          </c:val>
        </c:ser>
        <c:ser>
          <c:idx val="9"/>
          <c:order val="5"/>
          <c:tx>
            <c:strRef>
              <c:f>'BoP (2)'!$A$73</c:f>
              <c:strCache>
                <c:ptCount val="1"/>
                <c:pt idx="0">
                  <c:v>Финансијски рачун</c:v>
                </c:pt>
              </c:strCache>
            </c:strRef>
          </c:tx>
          <c:spPr>
            <a:solidFill>
              <a:schemeClr val="accent6">
                <a:lumMod val="75000"/>
              </a:schemeClr>
            </a:solidFill>
            <a:ln>
              <a:solidFill>
                <a:schemeClr val="tx1">
                  <a:alpha val="24000"/>
                </a:schemeClr>
              </a:solidFill>
            </a:ln>
            <a:effectLst>
              <a:outerShdw blurRad="482600" dist="1270000" dir="14100000" sx="1000" sy="1000" algn="ctr" rotWithShape="0">
                <a:schemeClr val="accent4">
                  <a:lumMod val="50000"/>
                  <a:alpha val="37000"/>
                </a:schemeClr>
              </a:outerShdw>
            </a:effectLst>
          </c:spPr>
          <c:invertIfNegative val="0"/>
          <c:cat>
            <c:numRef>
              <c:f>'BoP (2)'!$O$63:$T$63</c:f>
              <c:numCache>
                <c:formatCode>0</c:formatCode>
                <c:ptCount val="6"/>
                <c:pt idx="0">
                  <c:v>2012</c:v>
                </c:pt>
                <c:pt idx="1">
                  <c:v>2013</c:v>
                </c:pt>
                <c:pt idx="2">
                  <c:v>2014</c:v>
                </c:pt>
                <c:pt idx="3">
                  <c:v>2015</c:v>
                </c:pt>
                <c:pt idx="4">
                  <c:v>2016</c:v>
                </c:pt>
                <c:pt idx="5">
                  <c:v>2017</c:v>
                </c:pt>
              </c:numCache>
            </c:numRef>
          </c:cat>
          <c:val>
            <c:numRef>
              <c:f>'BoP (2)'!$O$73:$T$73</c:f>
              <c:numCache>
                <c:formatCode>#,##0.0</c:formatCode>
                <c:ptCount val="6"/>
                <c:pt idx="0">
                  <c:v>11.017505552069197</c:v>
                </c:pt>
                <c:pt idx="1">
                  <c:v>5.5896898260581072</c:v>
                </c:pt>
                <c:pt idx="2">
                  <c:v>6.0983284130613349</c:v>
                </c:pt>
                <c:pt idx="3">
                  <c:v>4.9169469352956643</c:v>
                </c:pt>
                <c:pt idx="4">
                  <c:v>4.4312970540125605</c:v>
                </c:pt>
                <c:pt idx="5">
                  <c:v>3.9735528072488266</c:v>
                </c:pt>
              </c:numCache>
            </c:numRef>
          </c:val>
        </c:ser>
        <c:dLbls>
          <c:showLegendKey val="0"/>
          <c:showVal val="0"/>
          <c:showCatName val="0"/>
          <c:showSerName val="0"/>
          <c:showPercent val="0"/>
          <c:showBubbleSize val="0"/>
        </c:dLbls>
        <c:gapWidth val="212"/>
        <c:overlap val="90"/>
        <c:axId val="494558704"/>
        <c:axId val="494556352"/>
      </c:barChart>
      <c:lineChart>
        <c:grouping val="standard"/>
        <c:varyColors val="0"/>
        <c:ser>
          <c:idx val="1"/>
          <c:order val="0"/>
          <c:tx>
            <c:strRef>
              <c:f>'BoP (2)'!$A$64</c:f>
              <c:strCache>
                <c:ptCount val="1"/>
                <c:pt idx="0">
                  <c:v>Текући рачун, десна скала </c:v>
                </c:pt>
              </c:strCache>
            </c:strRef>
          </c:tx>
          <c:spPr>
            <a:ln w="28575" cap="rnd">
              <a:solidFill>
                <a:schemeClr val="tx1"/>
              </a:solidFill>
              <a:round/>
            </a:ln>
            <a:effectLst/>
          </c:spPr>
          <c:marker>
            <c:symbol val="none"/>
          </c:marker>
          <c:dLbls>
            <c:dLbl>
              <c:idx val="0"/>
              <c:layout>
                <c:manualLayout>
                  <c:x val="1.6851231176426496E-2"/>
                  <c:y val="-9.2330634627689674E-4"/>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561223831067168E-2"/>
                  <c:y val="-4.961370258536353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6042456525418264E-2"/>
                      <c:h val="5.5574210879785084E-2"/>
                    </c:manualLayout>
                  </c15:layout>
                </c:ext>
              </c:extLst>
            </c:dLbl>
            <c:dLbl>
              <c:idx val="2"/>
              <c:layout>
                <c:manualLayout>
                  <c:x val="2.4590029503568867E-2"/>
                  <c:y val="-7.14404319339196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4590029503568787E-2"/>
                  <c:y val="-5.12926817660217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7884955273566653E-2"/>
                  <c:y val="-4.625574422404724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8258277487084559E-2"/>
                      <c:h val="5.5574210879785084E-2"/>
                    </c:manualLayout>
                  </c15:layout>
                </c:ext>
              </c:extLst>
            </c:dLbl>
            <c:dLbl>
              <c:idx val="5"/>
              <c:layout>
                <c:manualLayout>
                  <c:x val="1.3510924695237219E-2"/>
                  <c:y val="9.1505687376720324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'BoP (2)'!$O$63:$T$63</c:f>
              <c:numCache>
                <c:formatCode>0</c:formatCode>
                <c:ptCount val="6"/>
                <c:pt idx="0">
                  <c:v>2012</c:v>
                </c:pt>
                <c:pt idx="1">
                  <c:v>2013</c:v>
                </c:pt>
                <c:pt idx="2">
                  <c:v>2014</c:v>
                </c:pt>
                <c:pt idx="3">
                  <c:v>2015</c:v>
                </c:pt>
                <c:pt idx="4">
                  <c:v>2016</c:v>
                </c:pt>
                <c:pt idx="5">
                  <c:v>2017</c:v>
                </c:pt>
              </c:numCache>
            </c:numRef>
          </c:cat>
          <c:val>
            <c:numRef>
              <c:f>'BoP (2)'!$C$64:$T$64</c:f>
              <c:numCache>
                <c:formatCode>#,##0.0</c:formatCode>
                <c:ptCount val="6"/>
                <c:pt idx="0">
                  <c:v>-11.486992186588239</c:v>
                </c:pt>
                <c:pt idx="1">
                  <c:v>-6.1166247625034709</c:v>
                </c:pt>
                <c:pt idx="2">
                  <c:v>-6.0833878149209184</c:v>
                </c:pt>
                <c:pt idx="3">
                  <c:v>-4.6560262514996928</c:v>
                </c:pt>
                <c:pt idx="4">
                  <c:v>-4.495900611048568</c:v>
                </c:pt>
                <c:pt idx="5">
                  <c:v>-4.3122207787127369</c:v>
                </c:pt>
              </c:numCache>
            </c:numRef>
          </c:val>
          <c:smooth val="1"/>
        </c:ser>
        <c:ser>
          <c:idx val="0"/>
          <c:order val="6"/>
          <c:spPr>
            <a:ln w="28575" cap="rnd">
              <a:solidFill>
                <a:schemeClr val="accent3">
                  <a:shade val="42000"/>
                </a:schemeClr>
              </a:solidFill>
              <a:round/>
            </a:ln>
            <a:effectLst/>
          </c:spPr>
          <c:marker>
            <c:symbol val="none"/>
          </c:marker>
          <c:cat>
            <c:numRef>
              <c:f>'BoP (2)'!$O$63:$T$63</c:f>
              <c:numCache>
                <c:formatCode>0</c:formatCode>
                <c:ptCount val="6"/>
                <c:pt idx="0">
                  <c:v>2012</c:v>
                </c:pt>
                <c:pt idx="1">
                  <c:v>2013</c:v>
                </c:pt>
                <c:pt idx="2">
                  <c:v>2014</c:v>
                </c:pt>
                <c:pt idx="3">
                  <c:v>2015</c:v>
                </c:pt>
                <c:pt idx="4">
                  <c:v>2016</c:v>
                </c:pt>
                <c:pt idx="5">
                  <c:v>2017</c:v>
                </c:pt>
              </c:numCache>
            </c:numRef>
          </c:cat>
          <c:val>
            <c:numRef>
              <c:f>'BoP (2)'!$O$62</c:f>
              <c:numCache>
                <c:formatCode>#,##0.0</c:formatCode>
                <c:ptCount val="1"/>
                <c:pt idx="0">
                  <c:v>-1</c:v>
                </c:pt>
              </c:numCache>
            </c:numRef>
          </c:val>
          <c:smooth val="0"/>
        </c:ser>
        <c:dLbls>
          <c:showLegendKey val="0"/>
          <c:showVal val="0"/>
          <c:showCatName val="0"/>
          <c:showSerName val="0"/>
          <c:showPercent val="0"/>
          <c:showBubbleSize val="0"/>
        </c:dLbls>
        <c:marker val="1"/>
        <c:smooth val="0"/>
        <c:axId val="494556744"/>
        <c:axId val="494555960"/>
      </c:lineChart>
      <c:catAx>
        <c:axId val="494558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j-lt"/>
                <a:ea typeface="+mn-ea"/>
                <a:cs typeface="+mn-cs"/>
              </a:defRPr>
            </a:pPr>
            <a:endParaRPr lang="en-US"/>
          </a:p>
        </c:txPr>
        <c:crossAx val="494556352"/>
        <c:crosses val="autoZero"/>
        <c:auto val="1"/>
        <c:lblAlgn val="ctr"/>
        <c:lblOffset val="100"/>
        <c:noMultiLvlLbl val="0"/>
      </c:catAx>
      <c:valAx>
        <c:axId val="494556352"/>
        <c:scaling>
          <c:orientation val="minMax"/>
          <c:max val="24"/>
          <c:min val="-2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j-lt"/>
                <a:ea typeface="+mn-ea"/>
                <a:cs typeface="+mn-cs"/>
              </a:defRPr>
            </a:pPr>
            <a:endParaRPr lang="en-US"/>
          </a:p>
        </c:txPr>
        <c:crossAx val="494558704"/>
        <c:crosses val="autoZero"/>
        <c:crossBetween val="between"/>
      </c:valAx>
      <c:valAx>
        <c:axId val="49455596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j-lt"/>
                <a:ea typeface="+mn-ea"/>
                <a:cs typeface="+mn-cs"/>
              </a:defRPr>
            </a:pPr>
            <a:endParaRPr lang="en-US"/>
          </a:p>
        </c:txPr>
        <c:crossAx val="494556744"/>
        <c:crosses val="max"/>
        <c:crossBetween val="between"/>
      </c:valAx>
      <c:catAx>
        <c:axId val="494556744"/>
        <c:scaling>
          <c:orientation val="minMax"/>
        </c:scaling>
        <c:delete val="1"/>
        <c:axPos val="b"/>
        <c:numFmt formatCode="0" sourceLinked="1"/>
        <c:majorTickMark val="out"/>
        <c:minorTickMark val="none"/>
        <c:tickLblPos val="nextTo"/>
        <c:crossAx val="494555960"/>
        <c:crosses val="autoZero"/>
        <c:auto val="1"/>
        <c:lblAlgn val="ctr"/>
        <c:lblOffset val="100"/>
        <c:noMultiLvlLbl val="0"/>
      </c:catAx>
      <c:spPr>
        <a:solidFill>
          <a:schemeClr val="accent3">
            <a:lumMod val="20000"/>
            <a:lumOff val="80000"/>
          </a:schemeClr>
        </a:solidFill>
        <a:ln>
          <a:solidFill>
            <a:schemeClr val="accent3">
              <a:lumMod val="40000"/>
              <a:lumOff val="60000"/>
            </a:schemeClr>
          </a:solid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bg1">
                  <a:lumMod val="50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bg1">
              <a:lumMod val="50000"/>
            </a:schemeClr>
          </a:solidFill>
          <a:latin typeface="+mj-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1204903150547"/>
          <c:y val="4.0575094779819187E-2"/>
          <c:w val="0.85002402868655502"/>
          <c:h val="0.9041889763779527"/>
        </c:manualLayout>
      </c:layout>
      <c:barChart>
        <c:barDir val="bar"/>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0"/>
                </a:srgbClr>
              </a:outerShdw>
            </a:effectLst>
          </c:spPr>
          <c:invertIfNegative val="0"/>
          <c:dPt>
            <c:idx val="4"/>
            <c:invertIfNegative val="0"/>
            <c:bubble3D val="0"/>
          </c:dPt>
          <c:dPt>
            <c:idx val="5"/>
            <c:invertIfNegative val="0"/>
            <c:bubble3D val="0"/>
            <c:spPr>
              <a:solidFill>
                <a:schemeClr val="accent2"/>
              </a:solidFill>
              <a:ln>
                <a:noFill/>
              </a:ln>
              <a:effectLst>
                <a:outerShdw blurRad="40000" dist="23000" dir="5400000" rotWithShape="0">
                  <a:srgbClr val="000000">
                    <a:alpha val="0"/>
                  </a:srgbClr>
                </a:outerShdw>
              </a:effectLst>
            </c:spPr>
          </c:dPt>
          <c:dPt>
            <c:idx val="8"/>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0"/>
                  </a:srgbClr>
                </a:outerShdw>
              </a:effectLst>
            </c:spPr>
          </c:dPt>
          <c:dPt>
            <c:idx val="10"/>
            <c:invertIfNegative val="0"/>
            <c:bubble3D val="0"/>
          </c:dPt>
          <c:dPt>
            <c:idx val="11"/>
            <c:invertIfNegative val="0"/>
            <c:bubble3D val="0"/>
          </c:dPt>
          <c:dPt>
            <c:idx val="16"/>
            <c:invertIfNegative val="0"/>
            <c:bubble3D val="0"/>
          </c:dPt>
          <c:dPt>
            <c:idx val="17"/>
            <c:invertIfNegative val="0"/>
            <c:bubble3D val="0"/>
          </c:dPt>
          <c:dLbls>
            <c:dLbl>
              <c:idx val="0"/>
              <c:layout>
                <c:manualLayout>
                  <c:x val="-9.0513573862968627E-2"/>
                  <c:y val="1.0986140253212757E-16"/>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5.9701492537313432E-2"/>
                  <c:y val="-2.9962546816479402E-3"/>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5.4726368159203981E-2"/>
                  <c:y val="-5.4930701266063787E-17"/>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5.9701492537313432E-2"/>
                  <c:y val="0"/>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6.4676616915422883E-2"/>
                  <c:y val="0"/>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5.9701492537313612E-2"/>
                  <c:y val="-2.7465350633031894E-17"/>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3.482587064676617E-2"/>
                  <c:y val="0"/>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3.4250793277705957E-2"/>
                  <c:y val="-1.373267531651594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'Т-дефицит-дуг'!$I$5:$I$34</c:f>
              <c:strCache>
                <c:ptCount val="30"/>
                <c:pt idx="0">
                  <c:v>Словенија</c:v>
                </c:pt>
                <c:pt idx="1">
                  <c:v>Грчка</c:v>
                </c:pt>
                <c:pt idx="2">
                  <c:v>Шпанија</c:v>
                </c:pt>
                <c:pt idx="3">
                  <c:v>УК</c:v>
                </c:pt>
                <c:pt idx="4">
                  <c:v>Ирска</c:v>
                </c:pt>
                <c:pt idx="5">
                  <c:v>Србија</c:v>
                </c:pt>
                <c:pt idx="6">
                  <c:v>Хрватска</c:v>
                </c:pt>
                <c:pt idx="7">
                  <c:v>Кипар</c:v>
                </c:pt>
                <c:pt idx="8">
                  <c:v>Португалија</c:v>
                </c:pt>
                <c:pt idx="9">
                  <c:v>Француска</c:v>
                </c:pt>
                <c:pt idx="10">
                  <c:v>Пољска</c:v>
                </c:pt>
                <c:pt idx="11">
                  <c:v>ЕУ 27</c:v>
                </c:pt>
                <c:pt idx="12">
                  <c:v>Белгија</c:v>
                </c:pt>
                <c:pt idx="13">
                  <c:v>Италија</c:v>
                </c:pt>
                <c:pt idx="14">
                  <c:v>Малта</c:v>
                </c:pt>
                <c:pt idx="15">
                  <c:v>Словачка</c:v>
                </c:pt>
                <c:pt idx="16">
                  <c:v>Литванија</c:v>
                </c:pt>
                <c:pt idx="17">
                  <c:v>Мађарска</c:v>
                </c:pt>
                <c:pt idx="18">
                  <c:v>Финска</c:v>
                </c:pt>
                <c:pt idx="19">
                  <c:v>Холандија</c:v>
                </c:pt>
                <c:pt idx="20">
                  <c:v>Румунија</c:v>
                </c:pt>
                <c:pt idx="21">
                  <c:v>Аустрија</c:v>
                </c:pt>
                <c:pt idx="22">
                  <c:v>Чешка Република</c:v>
                </c:pt>
                <c:pt idx="23">
                  <c:v>Шведска</c:v>
                </c:pt>
                <c:pt idx="24">
                  <c:v>Бугарска</c:v>
                </c:pt>
                <c:pt idx="25">
                  <c:v>Летонија</c:v>
                </c:pt>
                <c:pt idx="26">
                  <c:v>Данска</c:v>
                </c:pt>
                <c:pt idx="27">
                  <c:v>Естонија</c:v>
                </c:pt>
                <c:pt idx="28">
                  <c:v>Немачка</c:v>
                </c:pt>
                <c:pt idx="29">
                  <c:v>Луксембург</c:v>
                </c:pt>
              </c:strCache>
            </c:strRef>
          </c:cat>
          <c:val>
            <c:numRef>
              <c:f>'Т-дефицит-дуг'!$J$5:$J$34</c:f>
              <c:numCache>
                <c:formatCode>#,##0.0</c:formatCode>
                <c:ptCount val="30"/>
                <c:pt idx="0">
                  <c:v>-14.6</c:v>
                </c:pt>
                <c:pt idx="1">
                  <c:v>-12.2</c:v>
                </c:pt>
                <c:pt idx="2">
                  <c:v>-6.8</c:v>
                </c:pt>
                <c:pt idx="3">
                  <c:v>-5.8</c:v>
                </c:pt>
                <c:pt idx="4">
                  <c:v>-5.7</c:v>
                </c:pt>
                <c:pt idx="5">
                  <c:v>-5.3</c:v>
                </c:pt>
                <c:pt idx="6">
                  <c:v>-5.2</c:v>
                </c:pt>
                <c:pt idx="7">
                  <c:v>-4.9000000000000004</c:v>
                </c:pt>
                <c:pt idx="8">
                  <c:v>-4.9000000000000004</c:v>
                </c:pt>
                <c:pt idx="9">
                  <c:v>-4.0999999999999996</c:v>
                </c:pt>
                <c:pt idx="10">
                  <c:v>-4</c:v>
                </c:pt>
                <c:pt idx="11">
                  <c:v>-3.2</c:v>
                </c:pt>
                <c:pt idx="12">
                  <c:v>-2.9</c:v>
                </c:pt>
                <c:pt idx="13">
                  <c:v>-2.8</c:v>
                </c:pt>
                <c:pt idx="14">
                  <c:v>-2.7</c:v>
                </c:pt>
                <c:pt idx="15">
                  <c:v>-2.6</c:v>
                </c:pt>
                <c:pt idx="16">
                  <c:v>-2.6</c:v>
                </c:pt>
                <c:pt idx="17">
                  <c:v>-2.4</c:v>
                </c:pt>
                <c:pt idx="18">
                  <c:v>-2.4</c:v>
                </c:pt>
                <c:pt idx="19">
                  <c:v>-2.2999999999999998</c:v>
                </c:pt>
                <c:pt idx="20">
                  <c:v>-2.2000000000000002</c:v>
                </c:pt>
                <c:pt idx="21">
                  <c:v>-1.5</c:v>
                </c:pt>
                <c:pt idx="22">
                  <c:v>-1.3</c:v>
                </c:pt>
                <c:pt idx="23">
                  <c:v>-1.3</c:v>
                </c:pt>
                <c:pt idx="24">
                  <c:v>-1.2</c:v>
                </c:pt>
                <c:pt idx="25">
                  <c:v>-0.9</c:v>
                </c:pt>
                <c:pt idx="26">
                  <c:v>-0.7</c:v>
                </c:pt>
                <c:pt idx="27">
                  <c:v>-0.5</c:v>
                </c:pt>
                <c:pt idx="28">
                  <c:v>0.1</c:v>
                </c:pt>
                <c:pt idx="29">
                  <c:v>0.6</c:v>
                </c:pt>
              </c:numCache>
            </c:numRef>
          </c:val>
        </c:ser>
        <c:dLbls>
          <c:showLegendKey val="0"/>
          <c:showVal val="0"/>
          <c:showCatName val="0"/>
          <c:showSerName val="0"/>
          <c:showPercent val="0"/>
          <c:showBubbleSize val="0"/>
        </c:dLbls>
        <c:gapWidth val="100"/>
        <c:axId val="278570120"/>
        <c:axId val="278569728"/>
      </c:barChart>
      <c:catAx>
        <c:axId val="278570120"/>
        <c:scaling>
          <c:orientation val="minMax"/>
        </c:scaling>
        <c:delete val="0"/>
        <c:axPos val="l"/>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bg1">
                    <a:lumMod val="50000"/>
                  </a:schemeClr>
                </a:solidFill>
                <a:latin typeface="Cambria" panose="02040503050406030204" pitchFamily="18" charset="0"/>
                <a:ea typeface="+mn-ea"/>
                <a:cs typeface="+mn-cs"/>
              </a:defRPr>
            </a:pPr>
            <a:endParaRPr lang="en-US"/>
          </a:p>
        </c:txPr>
        <c:crossAx val="278569728"/>
        <c:crosses val="autoZero"/>
        <c:auto val="1"/>
        <c:lblAlgn val="ctr"/>
        <c:lblOffset val="100"/>
        <c:tickLblSkip val="1"/>
        <c:noMultiLvlLbl val="0"/>
      </c:catAx>
      <c:valAx>
        <c:axId val="278569728"/>
        <c:scaling>
          <c:orientation val="minMax"/>
          <c:max val="1"/>
          <c:min val="-15"/>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bg1">
                    <a:lumMod val="50000"/>
                  </a:schemeClr>
                </a:solidFill>
                <a:latin typeface="Cambria" panose="02040503050406030204" pitchFamily="18" charset="0"/>
                <a:ea typeface="+mn-ea"/>
                <a:cs typeface="+mn-cs"/>
              </a:defRPr>
            </a:pPr>
            <a:endParaRPr lang="en-US"/>
          </a:p>
        </c:txPr>
        <c:crossAx val="278570120"/>
        <c:crosses val="autoZero"/>
        <c:crossBetween val="between"/>
        <c:majorUnit val="3"/>
      </c:valAx>
      <c:spPr>
        <a:solidFill>
          <a:srgbClr val="9BBB59">
            <a:lumMod val="20000"/>
            <a:lumOff val="80000"/>
          </a:srgb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chemeClr val="bg1">
              <a:lumMod val="50000"/>
            </a:schemeClr>
          </a:solidFill>
          <a:latin typeface="Cambria" panose="02040503050406030204" pitchFamily="18"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withinLinear" id="16">
  <a:schemeClr val="accent3"/>
</cs:colorStyle>
</file>

<file path=word/charts/colors17.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6.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7.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2.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3.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6.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7.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0.80741</cdr:x>
      <cdr:y>0.05818</cdr:y>
    </cdr:from>
    <cdr:to>
      <cdr:x>0.99309</cdr:x>
      <cdr:y>0.89697</cdr:y>
    </cdr:to>
    <cdr:sp macro="" textlink="">
      <cdr:nvSpPr>
        <cdr:cNvPr id="4" name="Rectangle 3"/>
        <cdr:cNvSpPr/>
      </cdr:nvSpPr>
      <cdr:spPr>
        <a:xfrm xmlns:a="http://schemas.openxmlformats.org/drawingml/2006/main">
          <a:off x="4627659" y="182879"/>
          <a:ext cx="1064246" cy="2636521"/>
        </a:xfrm>
        <a:prstGeom xmlns:a="http://schemas.openxmlformats.org/drawingml/2006/main" prst="rect">
          <a:avLst/>
        </a:prstGeom>
        <a:solidFill xmlns:a="http://schemas.openxmlformats.org/drawingml/2006/main">
          <a:schemeClr val="accent3">
            <a:lumMod val="20000"/>
            <a:lumOff val="80000"/>
            <a:alpha val="36000"/>
          </a:schemeClr>
        </a:solidFill>
        <a:ln xmlns:a="http://schemas.openxmlformats.org/drawingml/2006/main" w="15875">
          <a:solidFill>
            <a:schemeClr val="tx2"/>
          </a:solidFill>
          <a:prstDash val="sysDot"/>
        </a:ln>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b="1"/>
        </a:p>
      </cdr:txBody>
    </cdr:sp>
  </cdr:relSizeAnchor>
</c:userShapes>
</file>

<file path=word/drawings/drawing10.xml><?xml version="1.0" encoding="utf-8"?>
<c:userShapes xmlns:c="http://schemas.openxmlformats.org/drawingml/2006/chart">
  <cdr:relSizeAnchor xmlns:cdr="http://schemas.openxmlformats.org/drawingml/2006/chartDrawing">
    <cdr:from>
      <cdr:x>0.16716</cdr:x>
      <cdr:y>0.87374</cdr:y>
    </cdr:from>
    <cdr:to>
      <cdr:x>0.87463</cdr:x>
      <cdr:y>0.91077</cdr:y>
    </cdr:to>
    <cdr:sp macro="" textlink="">
      <cdr:nvSpPr>
        <cdr:cNvPr id="2" name="TextBox 1"/>
        <cdr:cNvSpPr txBox="1"/>
      </cdr:nvSpPr>
      <cdr:spPr>
        <a:xfrm xmlns:a="http://schemas.openxmlformats.org/drawingml/2006/main">
          <a:off x="1447840" y="5492750"/>
          <a:ext cx="6127680" cy="2328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0.72761</cdr:x>
      <cdr:y>0.02062</cdr:y>
    </cdr:from>
    <cdr:to>
      <cdr:x>0.73507</cdr:x>
      <cdr:y>0.94021</cdr:y>
    </cdr:to>
    <cdr:sp macro="" textlink="">
      <cdr:nvSpPr>
        <cdr:cNvPr id="7" name="Straight Connector 6"/>
        <cdr:cNvSpPr/>
      </cdr:nvSpPr>
      <cdr:spPr>
        <a:xfrm xmlns:a="http://schemas.openxmlformats.org/drawingml/2006/main" rot="5400000" flipH="1">
          <a:off x="-257175" y="2209800"/>
          <a:ext cx="4248150" cy="19049"/>
        </a:xfrm>
        <a:prstGeom xmlns:a="http://schemas.openxmlformats.org/drawingml/2006/main" prst="line">
          <a:avLst/>
        </a:prstGeom>
        <a:ln xmlns:a="http://schemas.openxmlformats.org/drawingml/2006/main" w="19050">
          <a:prstDash val="dash"/>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0.35821</cdr:x>
      <cdr:y>0.02226</cdr:y>
    </cdr:from>
    <cdr:to>
      <cdr:x>0.68284</cdr:x>
      <cdr:y>0.24948</cdr:y>
    </cdr:to>
    <cdr:sp macro="" textlink="">
      <cdr:nvSpPr>
        <cdr:cNvPr id="8" name="TextBox 7"/>
        <cdr:cNvSpPr txBox="1"/>
      </cdr:nvSpPr>
      <cdr:spPr>
        <a:xfrm xmlns:a="http://schemas.openxmlformats.org/drawingml/2006/main">
          <a:off x="914399" y="102833"/>
          <a:ext cx="828675" cy="10496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baseline="0">
              <a:solidFill>
                <a:schemeClr val="bg1">
                  <a:lumMod val="50000"/>
                </a:schemeClr>
              </a:solidFill>
              <a:latin typeface="+mj-lt"/>
              <a:cs typeface="Times New Roman" panose="02020603050405020304" pitchFamily="18" charset="0"/>
            </a:rPr>
            <a:t>Ниво дефицита дозвољен уговором из Мастрихта</a:t>
          </a:r>
          <a:r>
            <a:rPr lang="sr-Latn-CS" sz="900" baseline="0">
              <a:solidFill>
                <a:schemeClr val="bg1">
                  <a:lumMod val="50000"/>
                </a:schemeClr>
              </a:solidFill>
              <a:latin typeface="+mj-lt"/>
              <a:cs typeface="Times New Roman" panose="02020603050405020304" pitchFamily="18" charset="0"/>
            </a:rPr>
            <a:t> </a:t>
          </a:r>
          <a:endParaRPr lang="sr-Cyrl-RS" sz="900" baseline="0">
            <a:solidFill>
              <a:schemeClr val="bg1">
                <a:lumMod val="50000"/>
              </a:schemeClr>
            </a:solidFill>
            <a:latin typeface="+mj-lt"/>
            <a:cs typeface="Times New Roman" panose="02020603050405020304" pitchFamily="18" charset="0"/>
          </a:endParaRPr>
        </a:p>
        <a:p xmlns:a="http://schemas.openxmlformats.org/drawingml/2006/main">
          <a:r>
            <a:rPr lang="sr-Cyrl-RS" sz="900" baseline="0">
              <a:solidFill>
                <a:schemeClr val="bg1">
                  <a:lumMod val="50000"/>
                </a:schemeClr>
              </a:solidFill>
              <a:latin typeface="+mj-lt"/>
              <a:cs typeface="Times New Roman" panose="02020603050405020304" pitchFamily="18" charset="0"/>
            </a:rPr>
            <a:t>(-3%</a:t>
          </a:r>
          <a:r>
            <a:rPr lang="sr-Latn-RS" sz="900" baseline="0">
              <a:solidFill>
                <a:schemeClr val="bg1">
                  <a:lumMod val="50000"/>
                </a:schemeClr>
              </a:solidFill>
              <a:latin typeface="+mj-lt"/>
              <a:cs typeface="Times New Roman" panose="02020603050405020304" pitchFamily="18" charset="0"/>
            </a:rPr>
            <a:t> </a:t>
          </a:r>
          <a:r>
            <a:rPr lang="sr-Cyrl-RS" sz="900" baseline="0">
              <a:solidFill>
                <a:schemeClr val="bg1">
                  <a:lumMod val="50000"/>
                </a:schemeClr>
              </a:solidFill>
              <a:latin typeface="+mj-lt"/>
              <a:cs typeface="Times New Roman" panose="02020603050405020304" pitchFamily="18" charset="0"/>
            </a:rPr>
            <a:t>БДП)</a:t>
          </a:r>
        </a:p>
      </cdr:txBody>
    </cdr:sp>
  </cdr:relSizeAnchor>
  <cdr:relSizeAnchor xmlns:cdr="http://schemas.openxmlformats.org/drawingml/2006/chartDrawing">
    <cdr:from>
      <cdr:x>0.55034</cdr:x>
      <cdr:y>0.06428</cdr:y>
    </cdr:from>
    <cdr:to>
      <cdr:x>0.64935</cdr:x>
      <cdr:y>0.06453</cdr:y>
    </cdr:to>
    <cdr:sp macro="" textlink="">
      <cdr:nvSpPr>
        <cdr:cNvPr id="10" name="Straight Arrow Connector 9"/>
        <cdr:cNvSpPr/>
      </cdr:nvSpPr>
      <cdr:spPr>
        <a:xfrm xmlns:a="http://schemas.openxmlformats.org/drawingml/2006/main">
          <a:off x="1404843" y="160712"/>
          <a:ext cx="252743" cy="625"/>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0.16716</cdr:x>
      <cdr:y>0.87374</cdr:y>
    </cdr:from>
    <cdr:to>
      <cdr:x>0.87463</cdr:x>
      <cdr:y>0.91077</cdr:y>
    </cdr:to>
    <cdr:sp macro="" textlink="">
      <cdr:nvSpPr>
        <cdr:cNvPr id="2" name="TextBox 1"/>
        <cdr:cNvSpPr txBox="1"/>
      </cdr:nvSpPr>
      <cdr:spPr>
        <a:xfrm xmlns:a="http://schemas.openxmlformats.org/drawingml/2006/main">
          <a:off x="1447840" y="5492750"/>
          <a:ext cx="6127680" cy="2328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0.05254</cdr:x>
      <cdr:y>0.91751</cdr:y>
    </cdr:from>
    <cdr:to>
      <cdr:x>0.4741</cdr:x>
      <cdr:y>0.98485</cdr:y>
    </cdr:to>
    <cdr:sp macro="" textlink="">
      <cdr:nvSpPr>
        <cdr:cNvPr id="3" name="TextBox 2"/>
        <cdr:cNvSpPr txBox="1"/>
      </cdr:nvSpPr>
      <cdr:spPr>
        <a:xfrm xmlns:a="http://schemas.openxmlformats.org/drawingml/2006/main">
          <a:off x="455083" y="5767916"/>
          <a:ext cx="3651250" cy="4233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0.56557</cdr:x>
      <cdr:y>0.01856</cdr:y>
    </cdr:from>
    <cdr:to>
      <cdr:x>0.56912</cdr:x>
      <cdr:y>0.94021</cdr:y>
    </cdr:to>
    <cdr:sp macro="" textlink="">
      <cdr:nvSpPr>
        <cdr:cNvPr id="11" name="Straight Connector 10"/>
        <cdr:cNvSpPr/>
      </cdr:nvSpPr>
      <cdr:spPr>
        <a:xfrm xmlns:a="http://schemas.openxmlformats.org/drawingml/2006/main" rot="5400000" flipH="1">
          <a:off x="-609600" y="2209798"/>
          <a:ext cx="4257674" cy="9525"/>
        </a:xfrm>
        <a:prstGeom xmlns:a="http://schemas.openxmlformats.org/drawingml/2006/main" prst="line">
          <a:avLst/>
        </a:prstGeom>
        <a:ln xmlns:a="http://schemas.openxmlformats.org/drawingml/2006/main" w="19050">
          <a:prstDash val="dash"/>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0.67228</cdr:x>
      <cdr:y>0.55709</cdr:y>
    </cdr:from>
    <cdr:to>
      <cdr:x>0.98878</cdr:x>
      <cdr:y>0.80619</cdr:y>
    </cdr:to>
    <cdr:sp macro="" textlink="">
      <cdr:nvSpPr>
        <cdr:cNvPr id="12" name="TextBox 11"/>
        <cdr:cNvSpPr txBox="1"/>
      </cdr:nvSpPr>
      <cdr:spPr>
        <a:xfrm xmlns:a="http://schemas.openxmlformats.org/drawingml/2006/main">
          <a:off x="1800225" y="2573547"/>
          <a:ext cx="847525" cy="11507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a:solidFill>
                <a:schemeClr val="bg1">
                  <a:lumMod val="50000"/>
                </a:schemeClr>
              </a:solidFill>
              <a:latin typeface="Cambria" panose="02040503050406030204" pitchFamily="18" charset="0"/>
              <a:cs typeface="Times New Roman" panose="02020603050405020304" pitchFamily="18" charset="0"/>
            </a:rPr>
            <a:t>Ниво јавног</a:t>
          </a:r>
          <a:r>
            <a:rPr lang="sr-Cyrl-CS" sz="900" baseline="0">
              <a:solidFill>
                <a:schemeClr val="bg1">
                  <a:lumMod val="50000"/>
                </a:schemeClr>
              </a:solidFill>
              <a:latin typeface="Cambria" panose="02040503050406030204" pitchFamily="18" charset="0"/>
              <a:cs typeface="Times New Roman" panose="02020603050405020304" pitchFamily="18" charset="0"/>
            </a:rPr>
            <a:t> дуга</a:t>
          </a:r>
          <a:r>
            <a:rPr lang="sr-Cyrl-CS" sz="900">
              <a:solidFill>
                <a:schemeClr val="bg1">
                  <a:lumMod val="50000"/>
                </a:schemeClr>
              </a:solidFill>
              <a:latin typeface="Cambria" panose="02040503050406030204" pitchFamily="18" charset="0"/>
              <a:cs typeface="Times New Roman" panose="02020603050405020304" pitchFamily="18" charset="0"/>
            </a:rPr>
            <a:t> дозвољен</a:t>
          </a:r>
          <a:r>
            <a:rPr lang="sr-Cyrl-CS" sz="900" baseline="0">
              <a:solidFill>
                <a:schemeClr val="bg1">
                  <a:lumMod val="50000"/>
                </a:schemeClr>
              </a:solidFill>
              <a:latin typeface="Cambria" panose="02040503050406030204" pitchFamily="18" charset="0"/>
              <a:cs typeface="Times New Roman" panose="02020603050405020304" pitchFamily="18" charset="0"/>
            </a:rPr>
            <a:t> уговором из Мастрихта (60% БДП</a:t>
          </a:r>
          <a:r>
            <a:rPr lang="sr-Cyrl-CS" sz="900" baseline="0">
              <a:solidFill>
                <a:schemeClr val="tx1">
                  <a:lumMod val="65000"/>
                  <a:lumOff val="35000"/>
                </a:schemeClr>
              </a:solidFill>
              <a:latin typeface="Cambria" panose="02040503050406030204" pitchFamily="18" charset="0"/>
              <a:cs typeface="Times New Roman" panose="02020603050405020304" pitchFamily="18" charset="0"/>
            </a:rPr>
            <a:t>)</a:t>
          </a:r>
          <a:endParaRPr lang="sr-Cyrl-RS" sz="900" baseline="0">
            <a:solidFill>
              <a:schemeClr val="tx1">
                <a:lumMod val="65000"/>
                <a:lumOff val="35000"/>
              </a:schemeClr>
            </a:solidFill>
            <a:latin typeface="Cambria" panose="02040503050406030204" pitchFamily="18" charset="0"/>
            <a:cs typeface="Times New Roman" panose="02020603050405020304" pitchFamily="18" charset="0"/>
          </a:endParaRPr>
        </a:p>
        <a:p xmlns:a="http://schemas.openxmlformats.org/drawingml/2006/main">
          <a:endParaRPr lang="en-US" sz="1100">
            <a:latin typeface="+mj-lt"/>
          </a:endParaRPr>
        </a:p>
      </cdr:txBody>
    </cdr:sp>
  </cdr:relSizeAnchor>
  <cdr:relSizeAnchor xmlns:cdr="http://schemas.openxmlformats.org/drawingml/2006/chartDrawing">
    <cdr:from>
      <cdr:x>0.56</cdr:x>
      <cdr:y>0.59713</cdr:y>
    </cdr:from>
    <cdr:to>
      <cdr:x>0.64581</cdr:x>
      <cdr:y>0.59738</cdr:y>
    </cdr:to>
    <cdr:sp macro="" textlink="">
      <cdr:nvSpPr>
        <cdr:cNvPr id="14" name="Straight Arrow Connector 13"/>
        <cdr:cNvSpPr/>
      </cdr:nvSpPr>
      <cdr:spPr>
        <a:xfrm xmlns:a="http://schemas.openxmlformats.org/drawingml/2006/main" rot="10800000">
          <a:off x="1499566" y="1880721"/>
          <a:ext cx="229781" cy="788"/>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0.78939</cdr:x>
      <cdr:y>0.06852</cdr:y>
    </cdr:from>
    <cdr:to>
      <cdr:x>0.90239</cdr:x>
      <cdr:y>0.13062</cdr:y>
    </cdr:to>
    <cdr:sp macro="" textlink="">
      <cdr:nvSpPr>
        <cdr:cNvPr id="2" name="TextBox 1"/>
        <cdr:cNvSpPr txBox="1"/>
      </cdr:nvSpPr>
      <cdr:spPr>
        <a:xfrm xmlns:a="http://schemas.openxmlformats.org/drawingml/2006/main">
          <a:off x="4524376" y="304800"/>
          <a:ext cx="647699" cy="27622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sr-Cyrl-CS" sz="1000">
              <a:solidFill>
                <a:schemeClr val="bg1">
                  <a:lumMod val="50000"/>
                </a:schemeClr>
              </a:solidFill>
              <a:latin typeface="+mj-lt"/>
            </a:rPr>
            <a:t>у % БДП</a:t>
          </a:r>
          <a:endParaRPr lang="en-US" sz="1000">
            <a:solidFill>
              <a:schemeClr val="bg1">
                <a:lumMod val="50000"/>
              </a:schemeClr>
            </a:solidFill>
            <a:latin typeface="+mj-lt"/>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0.0841</cdr:x>
      <cdr:y>0.71624</cdr:y>
    </cdr:from>
    <cdr:to>
      <cdr:x>0.95865</cdr:x>
      <cdr:y>0.71973</cdr:y>
    </cdr:to>
    <cdr:sp macro="" textlink="">
      <cdr:nvSpPr>
        <cdr:cNvPr id="3" name="Straight Connector 2"/>
        <cdr:cNvSpPr/>
      </cdr:nvSpPr>
      <cdr:spPr>
        <a:xfrm xmlns:a="http://schemas.openxmlformats.org/drawingml/2006/main" flipV="1">
          <a:off x="751230" y="3023739"/>
          <a:ext cx="7811771" cy="14734"/>
        </a:xfrm>
        <a:prstGeom xmlns:a="http://schemas.openxmlformats.org/drawingml/2006/main" prst="line">
          <a:avLst/>
        </a:prstGeom>
        <a:ln xmlns:a="http://schemas.openxmlformats.org/drawingml/2006/main" w="19050">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0.29369</cdr:x>
      <cdr:y>0.11787</cdr:y>
    </cdr:from>
    <cdr:to>
      <cdr:x>0.35969</cdr:x>
      <cdr:y>0.30029</cdr:y>
    </cdr:to>
    <cdr:sp macro="" textlink="">
      <cdr:nvSpPr>
        <cdr:cNvPr id="5" name="Straight Arrow Connector 4"/>
        <cdr:cNvSpPr/>
      </cdr:nvSpPr>
      <cdr:spPr>
        <a:xfrm xmlns:a="http://schemas.openxmlformats.org/drawingml/2006/main" flipV="1">
          <a:off x="1683280" y="386050"/>
          <a:ext cx="378279" cy="597485"/>
        </a:xfrm>
        <a:prstGeom xmlns:a="http://schemas.openxmlformats.org/drawingml/2006/main" prst="straightConnector1">
          <a:avLst/>
        </a:prstGeom>
        <a:ln xmlns:a="http://schemas.openxmlformats.org/drawingml/2006/main">
          <a:solidFill>
            <a:schemeClr val="dk1">
              <a:alpha val="54000"/>
            </a:schemeClr>
          </a:solidFill>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0.29411</cdr:x>
      <cdr:y>0.05098</cdr:y>
    </cdr:from>
    <cdr:to>
      <cdr:x>0.43006</cdr:x>
      <cdr:y>0.11653</cdr:y>
    </cdr:to>
    <cdr:sp macro="" textlink="">
      <cdr:nvSpPr>
        <cdr:cNvPr id="6" name="TextBox 5"/>
        <cdr:cNvSpPr txBox="1"/>
      </cdr:nvSpPr>
      <cdr:spPr>
        <a:xfrm xmlns:a="http://schemas.openxmlformats.org/drawingml/2006/main">
          <a:off x="1685677" y="166978"/>
          <a:ext cx="779227" cy="214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aseline="0">
              <a:latin typeface="Cambria" panose="02040503050406030204" pitchFamily="18" charset="0"/>
              <a:cs typeface="Times New Roman" pitchFamily="18" charset="0"/>
            </a:rPr>
            <a:t>Експанзивна</a:t>
          </a:r>
          <a:r>
            <a:rPr lang="en-US" sz="900" baseline="0">
              <a:latin typeface="Cambria" panose="02040503050406030204" pitchFamily="18" charset="0"/>
            </a:rPr>
            <a:t> </a:t>
          </a:r>
        </a:p>
      </cdr:txBody>
    </cdr:sp>
  </cdr:relSizeAnchor>
  <cdr:relSizeAnchor xmlns:cdr="http://schemas.openxmlformats.org/drawingml/2006/chartDrawing">
    <cdr:from>
      <cdr:x>0.80047</cdr:x>
      <cdr:y>0.77345</cdr:y>
    </cdr:from>
    <cdr:to>
      <cdr:x>0.97249</cdr:x>
      <cdr:y>0.83753</cdr:y>
    </cdr:to>
    <cdr:sp macro="" textlink="">
      <cdr:nvSpPr>
        <cdr:cNvPr id="7" name="TextBox 6"/>
        <cdr:cNvSpPr txBox="1"/>
      </cdr:nvSpPr>
      <cdr:spPr>
        <a:xfrm xmlns:a="http://schemas.openxmlformats.org/drawingml/2006/main">
          <a:off x="4587904" y="2533292"/>
          <a:ext cx="985960" cy="2099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aseline="0">
              <a:latin typeface="Cambria" panose="02040503050406030204" pitchFamily="18" charset="0"/>
              <a:cs typeface="Times New Roman" pitchFamily="18" charset="0"/>
            </a:rPr>
            <a:t>Рестриктивна</a:t>
          </a:r>
          <a:endParaRPr lang="en-US" sz="800" baseline="0">
            <a:latin typeface="Cambria" panose="02040503050406030204" pitchFamily="18" charset="0"/>
            <a:cs typeface="Times New Roman" pitchFamily="18" charset="0"/>
          </a:endParaRPr>
        </a:p>
      </cdr:txBody>
    </cdr:sp>
  </cdr:relSizeAnchor>
  <cdr:relSizeAnchor xmlns:cdr="http://schemas.openxmlformats.org/drawingml/2006/chartDrawing">
    <cdr:from>
      <cdr:x>0.14981</cdr:x>
      <cdr:y>0.05898</cdr:y>
    </cdr:from>
    <cdr:to>
      <cdr:x>0.3116</cdr:x>
      <cdr:y>0.57546</cdr:y>
    </cdr:to>
    <cdr:sp macro="" textlink="">
      <cdr:nvSpPr>
        <cdr:cNvPr id="11" name="Oval 10"/>
        <cdr:cNvSpPr/>
      </cdr:nvSpPr>
      <cdr:spPr>
        <a:xfrm xmlns:a="http://schemas.openxmlformats.org/drawingml/2006/main">
          <a:off x="1141566" y="242112"/>
          <a:ext cx="1232851" cy="2120298"/>
        </a:xfrm>
        <a:prstGeom xmlns:a="http://schemas.openxmlformats.org/drawingml/2006/main" prst="ellipse">
          <a:avLst/>
        </a:prstGeom>
        <a:solidFill xmlns:a="http://schemas.openxmlformats.org/drawingml/2006/main">
          <a:schemeClr val="bg1">
            <a:lumMod val="50000"/>
            <a:alpha val="16000"/>
          </a:schemeClr>
        </a:solidFill>
        <a:ln xmlns:a="http://schemas.openxmlformats.org/drawingml/2006/main">
          <a:solidFill>
            <a:schemeClr val="tx1">
              <a:alpha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0.3163</cdr:x>
      <cdr:y>0.06581</cdr:y>
    </cdr:from>
    <cdr:to>
      <cdr:x>0.75053</cdr:x>
      <cdr:y>0.71615</cdr:y>
    </cdr:to>
    <cdr:sp macro="" textlink="">
      <cdr:nvSpPr>
        <cdr:cNvPr id="12" name="Oval 11"/>
        <cdr:cNvSpPr/>
      </cdr:nvSpPr>
      <cdr:spPr>
        <a:xfrm xmlns:a="http://schemas.openxmlformats.org/drawingml/2006/main">
          <a:off x="1812897" y="215549"/>
          <a:ext cx="2488759" cy="2130086"/>
        </a:xfrm>
        <a:prstGeom xmlns:a="http://schemas.openxmlformats.org/drawingml/2006/main" prst="ellipse">
          <a:avLst/>
        </a:prstGeom>
        <a:solidFill xmlns:a="http://schemas.openxmlformats.org/drawingml/2006/main">
          <a:schemeClr val="accent6">
            <a:lumMod val="75000"/>
            <a:alpha val="15000"/>
          </a:schemeClr>
        </a:solidFill>
        <a:ln xmlns:a="http://schemas.openxmlformats.org/drawingml/2006/main">
          <a:solidFill>
            <a:schemeClr val="tx1">
              <a:alpha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sz="800">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0.15954</cdr:x>
      <cdr:y>0.0704</cdr:y>
    </cdr:from>
    <cdr:to>
      <cdr:x>0.31908</cdr:x>
      <cdr:y>0.1408</cdr:y>
    </cdr:to>
    <cdr:sp macro="" textlink="">
      <cdr:nvSpPr>
        <cdr:cNvPr id="18" name="TextBox 17"/>
        <cdr:cNvSpPr txBox="1"/>
      </cdr:nvSpPr>
      <cdr:spPr>
        <a:xfrm xmlns:a="http://schemas.openxmlformats.org/drawingml/2006/main">
          <a:off x="914401" y="230589"/>
          <a:ext cx="914400" cy="230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aseline="0">
              <a:latin typeface="Cambria" panose="02040503050406030204" pitchFamily="18" charset="0"/>
              <a:cs typeface="Times New Roman" pitchFamily="18" charset="0"/>
            </a:rPr>
            <a:t>Проциклична</a:t>
          </a:r>
          <a:endParaRPr lang="en-US" sz="800" baseline="0">
            <a:latin typeface="Cambria" panose="02040503050406030204" pitchFamily="18" charset="0"/>
            <a:cs typeface="Times New Roman" pitchFamily="18" charset="0"/>
          </a:endParaRPr>
        </a:p>
      </cdr:txBody>
    </cdr:sp>
  </cdr:relSizeAnchor>
  <cdr:relSizeAnchor xmlns:cdr="http://schemas.openxmlformats.org/drawingml/2006/chartDrawing">
    <cdr:from>
      <cdr:x>0.4481</cdr:x>
      <cdr:y>0.14725</cdr:y>
    </cdr:from>
    <cdr:to>
      <cdr:x>0.65897</cdr:x>
      <cdr:y>0.20879</cdr:y>
    </cdr:to>
    <cdr:sp macro="" textlink="">
      <cdr:nvSpPr>
        <cdr:cNvPr id="19" name="TextBox 18"/>
        <cdr:cNvSpPr txBox="1"/>
      </cdr:nvSpPr>
      <cdr:spPr>
        <a:xfrm xmlns:a="http://schemas.openxmlformats.org/drawingml/2006/main">
          <a:off x="2568271" y="482293"/>
          <a:ext cx="1208599" cy="2015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aseline="0">
              <a:latin typeface="Cambria" panose="02040503050406030204" pitchFamily="18" charset="0"/>
              <a:cs typeface="Times New Roman" pitchFamily="18" charset="0"/>
            </a:rPr>
            <a:t>Контрациклична</a:t>
          </a:r>
          <a:endParaRPr lang="en-US" sz="800" baseline="0">
            <a:latin typeface="Cambria" panose="02040503050406030204" pitchFamily="18" charset="0"/>
            <a:cs typeface="Times New Roman" pitchFamily="18" charset="0"/>
          </a:endParaRPr>
        </a:p>
      </cdr:txBody>
    </cdr:sp>
  </cdr:relSizeAnchor>
  <cdr:relSizeAnchor xmlns:cdr="http://schemas.openxmlformats.org/drawingml/2006/chartDrawing">
    <cdr:from>
      <cdr:x>0.74843</cdr:x>
      <cdr:y>0.29241</cdr:y>
    </cdr:from>
    <cdr:to>
      <cdr:x>0.89766</cdr:x>
      <cdr:y>0.83087</cdr:y>
    </cdr:to>
    <cdr:sp macro="" textlink="">
      <cdr:nvSpPr>
        <cdr:cNvPr id="10" name="Oval 9"/>
        <cdr:cNvSpPr/>
      </cdr:nvSpPr>
      <cdr:spPr>
        <a:xfrm xmlns:a="http://schemas.openxmlformats.org/drawingml/2006/main">
          <a:off x="5845600" y="1253338"/>
          <a:ext cx="1165561" cy="2307974"/>
        </a:xfrm>
        <a:prstGeom xmlns:a="http://schemas.openxmlformats.org/drawingml/2006/main" prst="ellipse">
          <a:avLst/>
        </a:prstGeom>
        <a:solidFill xmlns:a="http://schemas.openxmlformats.org/drawingml/2006/main">
          <a:schemeClr val="accent1">
            <a:alpha val="33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0.7533</cdr:x>
      <cdr:y>0.70889</cdr:y>
    </cdr:from>
    <cdr:to>
      <cdr:x>0.90174</cdr:x>
      <cdr:y>0.77092</cdr:y>
    </cdr:to>
    <cdr:sp macro="" textlink="">
      <cdr:nvSpPr>
        <cdr:cNvPr id="13" name="TextBox 12"/>
        <cdr:cNvSpPr txBox="1"/>
      </cdr:nvSpPr>
      <cdr:spPr>
        <a:xfrm xmlns:a="http://schemas.openxmlformats.org/drawingml/2006/main">
          <a:off x="4317557" y="2321849"/>
          <a:ext cx="850791" cy="2031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800" baseline="0">
              <a:latin typeface="Cambria" panose="02040503050406030204" pitchFamily="18" charset="0"/>
            </a:rPr>
            <a:t>Проциклична</a:t>
          </a:r>
          <a:endParaRPr lang="en-US" sz="800" baseline="0">
            <a:latin typeface="Cambria" panose="020405030504060302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0.07318</cdr:x>
      <cdr:y>0.00664</cdr:y>
    </cdr:from>
    <cdr:to>
      <cdr:x>0.77448</cdr:x>
      <cdr:y>0.98266</cdr:y>
    </cdr:to>
    <cdr:sp macro="" textlink="">
      <cdr:nvSpPr>
        <cdr:cNvPr id="58" name="Rectangle 57"/>
        <cdr:cNvSpPr/>
      </cdr:nvSpPr>
      <cdr:spPr>
        <a:xfrm xmlns:a="http://schemas.openxmlformats.org/drawingml/2006/main">
          <a:off x="371522" y="22777"/>
          <a:ext cx="3560400" cy="3348000"/>
        </a:xfrm>
        <a:prstGeom xmlns:a="http://schemas.openxmlformats.org/drawingml/2006/main" prst="rect">
          <a:avLst/>
        </a:prstGeom>
        <a:solidFill xmlns:a="http://schemas.openxmlformats.org/drawingml/2006/main">
          <a:schemeClr val="accent3">
            <a:lumMod val="40000"/>
            <a:lumOff val="60000"/>
            <a:alpha val="34902"/>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sr-Latn-RS"/>
        </a:p>
      </cdr:txBody>
    </cdr:sp>
  </cdr:relSizeAnchor>
  <cdr:relSizeAnchor xmlns:cdr="http://schemas.openxmlformats.org/drawingml/2006/chartDrawing">
    <cdr:from>
      <cdr:x>0.10319</cdr:x>
      <cdr:y>0.0425</cdr:y>
    </cdr:from>
    <cdr:to>
      <cdr:x>0.77486</cdr:x>
      <cdr:y>0.75166</cdr:y>
    </cdr:to>
    <cdr:cxnSp macro="">
      <cdr:nvCxnSpPr>
        <cdr:cNvPr id="3" name="Elbow Connector 2"/>
        <cdr:cNvCxnSpPr/>
      </cdr:nvCxnSpPr>
      <cdr:spPr>
        <a:xfrm xmlns:a="http://schemas.openxmlformats.org/drawingml/2006/main">
          <a:off x="523876" y="152399"/>
          <a:ext cx="3409950" cy="2543175"/>
        </a:xfrm>
        <a:prstGeom xmlns:a="http://schemas.openxmlformats.org/drawingml/2006/main" prst="bentConnector3">
          <a:avLst>
            <a:gd name="adj1" fmla="val 0"/>
          </a:avLst>
        </a:prstGeom>
        <a:ln xmlns:a="http://schemas.openxmlformats.org/drawingml/2006/main" w="22225">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0.43417</cdr:x>
      <cdr:y>0.10706</cdr:y>
    </cdr:from>
    <cdr:to>
      <cdr:x>0.43902</cdr:x>
      <cdr:y>0.75432</cdr:y>
    </cdr:to>
    <cdr:cxnSp macro="">
      <cdr:nvCxnSpPr>
        <cdr:cNvPr id="12" name="Straight Connector 11"/>
        <cdr:cNvCxnSpPr/>
      </cdr:nvCxnSpPr>
      <cdr:spPr>
        <a:xfrm xmlns:a="http://schemas.openxmlformats.org/drawingml/2006/main">
          <a:off x="2204211" y="383926"/>
          <a:ext cx="24640" cy="2321173"/>
        </a:xfrm>
        <a:prstGeom xmlns:a="http://schemas.openxmlformats.org/drawingml/2006/main" prst="line">
          <a:avLst/>
        </a:prstGeom>
        <a:ln xmlns:a="http://schemas.openxmlformats.org/drawingml/2006/main">
          <a:solidFill>
            <a:schemeClr val="accent3"/>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0.59128</cdr:x>
      <cdr:y>0.63479</cdr:y>
    </cdr:from>
    <cdr:to>
      <cdr:x>0.59287</cdr:x>
      <cdr:y>0.75166</cdr:y>
    </cdr:to>
    <cdr:cxnSp macro="">
      <cdr:nvCxnSpPr>
        <cdr:cNvPr id="13" name="Straight Connector 12"/>
        <cdr:cNvCxnSpPr/>
      </cdr:nvCxnSpPr>
      <cdr:spPr>
        <a:xfrm xmlns:a="http://schemas.openxmlformats.org/drawingml/2006/main" flipH="1">
          <a:off x="3001848" y="2276474"/>
          <a:ext cx="8053" cy="419099"/>
        </a:xfrm>
        <a:prstGeom xmlns:a="http://schemas.openxmlformats.org/drawingml/2006/main" prst="line">
          <a:avLst/>
        </a:prstGeom>
        <a:ln xmlns:a="http://schemas.openxmlformats.org/drawingml/2006/main">
          <a:solidFill>
            <a:schemeClr val="accent3">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0.42964</cdr:x>
      <cdr:y>0.78353</cdr:y>
    </cdr:from>
    <cdr:to>
      <cdr:x>0.59287</cdr:x>
      <cdr:y>0.78619</cdr:y>
    </cdr:to>
    <cdr:cxnSp macro="">
      <cdr:nvCxnSpPr>
        <cdr:cNvPr id="25" name="Straight Arrow Connector 24"/>
        <cdr:cNvCxnSpPr/>
      </cdr:nvCxnSpPr>
      <cdr:spPr>
        <a:xfrm xmlns:a="http://schemas.openxmlformats.org/drawingml/2006/main">
          <a:off x="2181226" y="2809874"/>
          <a:ext cx="828675" cy="9525"/>
        </a:xfrm>
        <a:prstGeom xmlns:a="http://schemas.openxmlformats.org/drawingml/2006/main" prst="straightConnector1">
          <a:avLst/>
        </a:prstGeom>
        <a:ln xmlns:a="http://schemas.openxmlformats.org/drawingml/2006/main">
          <a:solidFill>
            <a:schemeClr val="accent3">
              <a:lumMod val="75000"/>
            </a:schemeClr>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0.11518</cdr:x>
      <cdr:y>0.91809</cdr:y>
    </cdr:from>
    <cdr:to>
      <cdr:x>0.59486</cdr:x>
      <cdr:y>0.91905</cdr:y>
    </cdr:to>
    <cdr:cxnSp macro="">
      <cdr:nvCxnSpPr>
        <cdr:cNvPr id="26" name="Straight Arrow Connector 25"/>
        <cdr:cNvCxnSpPr/>
      </cdr:nvCxnSpPr>
      <cdr:spPr>
        <a:xfrm xmlns:a="http://schemas.openxmlformats.org/drawingml/2006/main" flipV="1">
          <a:off x="541238" y="2189688"/>
          <a:ext cx="2254016" cy="2290"/>
        </a:xfrm>
        <a:prstGeom xmlns:a="http://schemas.openxmlformats.org/drawingml/2006/main" prst="straightConnector1">
          <a:avLst/>
        </a:prstGeom>
        <a:ln xmlns:a="http://schemas.openxmlformats.org/drawingml/2006/main" w="19050">
          <a:solidFill>
            <a:schemeClr val="accent3">
              <a:lumMod val="75000"/>
            </a:schemeClr>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0.2364</cdr:x>
      <cdr:y>0.89679</cdr:y>
    </cdr:from>
    <cdr:to>
      <cdr:x>0.61255</cdr:x>
      <cdr:y>0.97894</cdr:y>
    </cdr:to>
    <cdr:sp macro="" textlink="">
      <cdr:nvSpPr>
        <cdr:cNvPr id="29" name="TextBox 28"/>
        <cdr:cNvSpPr txBox="1"/>
      </cdr:nvSpPr>
      <cdr:spPr>
        <a:xfrm xmlns:a="http://schemas.openxmlformats.org/drawingml/2006/main">
          <a:off x="1110844" y="2138901"/>
          <a:ext cx="1767528" cy="195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1000" b="0">
              <a:solidFill>
                <a:schemeClr val="accent3">
                  <a:lumMod val="50000"/>
                </a:schemeClr>
              </a:solidFill>
              <a:effectLst/>
              <a:latin typeface="Cambria" pitchFamily="18" charset="0"/>
              <a:ea typeface="+mn-ea"/>
              <a:cs typeface="+mn-cs"/>
            </a:rPr>
            <a:t>А</a:t>
          </a:r>
          <a:r>
            <a:rPr lang="sr-Latn-RS" sz="1000" b="0">
              <a:solidFill>
                <a:schemeClr val="accent3">
                  <a:lumMod val="50000"/>
                </a:schemeClr>
              </a:solidFill>
              <a:effectLst/>
              <a:latin typeface="Cambria" pitchFamily="18" charset="0"/>
              <a:ea typeface="+mn-ea"/>
              <a:cs typeface="+mn-cs"/>
            </a:rPr>
            <a:t>псолутни CaR </a:t>
          </a:r>
          <a:endParaRPr lang="sr-Latn-BA" sz="1000" b="0">
            <a:solidFill>
              <a:schemeClr val="accent3">
                <a:lumMod val="50000"/>
              </a:schemeClr>
            </a:solidFill>
            <a:latin typeface="Cambria" pitchFamily="18" charset="0"/>
          </a:endParaRPr>
        </a:p>
      </cdr:txBody>
    </cdr:sp>
  </cdr:relSizeAnchor>
  <cdr:relSizeAnchor xmlns:cdr="http://schemas.openxmlformats.org/drawingml/2006/chartDrawing">
    <cdr:from>
      <cdr:x>0.34584</cdr:x>
      <cdr:y>0.7862</cdr:y>
    </cdr:from>
    <cdr:to>
      <cdr:x>0.50844</cdr:x>
      <cdr:y>0.90741</cdr:y>
    </cdr:to>
    <cdr:sp macro="" textlink="">
      <cdr:nvSpPr>
        <cdr:cNvPr id="30" name="TextBox 1"/>
        <cdr:cNvSpPr txBox="1"/>
      </cdr:nvSpPr>
      <cdr:spPr>
        <a:xfrm xmlns:a="http://schemas.openxmlformats.org/drawingml/2006/main">
          <a:off x="1755775" y="2819430"/>
          <a:ext cx="825501" cy="43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r-Latn-CS" sz="800" b="0">
              <a:solidFill>
                <a:schemeClr val="accent3">
                  <a:lumMod val="50000"/>
                </a:schemeClr>
              </a:solidFill>
              <a:effectLst/>
              <a:latin typeface="+mj-lt"/>
              <a:ea typeface="+mn-ea"/>
              <a:cs typeface="+mn-cs"/>
            </a:rPr>
            <a:t>O</a:t>
          </a:r>
          <a:r>
            <a:rPr lang="sr-Cyrl-CS" sz="800" b="0">
              <a:solidFill>
                <a:schemeClr val="accent3">
                  <a:lumMod val="50000"/>
                </a:schemeClr>
              </a:solidFill>
              <a:effectLst/>
              <a:latin typeface="Cambria" pitchFamily="18" charset="0"/>
              <a:ea typeface="+mn-ea"/>
              <a:cs typeface="+mn-cs"/>
            </a:rPr>
            <a:t>чекивани</a:t>
          </a:r>
          <a:r>
            <a:rPr lang="sr-Cyrl-CS" sz="800" b="0" baseline="0">
              <a:solidFill>
                <a:schemeClr val="accent3">
                  <a:lumMod val="50000"/>
                </a:schemeClr>
              </a:solidFill>
              <a:effectLst/>
              <a:latin typeface="+mj-lt"/>
              <a:ea typeface="+mn-ea"/>
              <a:cs typeface="+mn-cs"/>
            </a:rPr>
            <a:t> </a:t>
          </a:r>
        </a:p>
        <a:p xmlns:a="http://schemas.openxmlformats.org/drawingml/2006/main">
          <a:pPr algn="ctr"/>
          <a:r>
            <a:rPr lang="sr-Cyrl-CS" sz="800" b="0">
              <a:solidFill>
                <a:schemeClr val="accent3">
                  <a:lumMod val="50000"/>
                </a:schemeClr>
              </a:solidFill>
              <a:effectLst/>
              <a:latin typeface="+mj-lt"/>
              <a:ea typeface="+mn-ea"/>
              <a:cs typeface="+mn-cs"/>
            </a:rPr>
            <a:t>трошкови</a:t>
          </a:r>
          <a:endParaRPr lang="sr-Latn-BA" sz="800" b="0">
            <a:solidFill>
              <a:schemeClr val="accent3">
                <a:lumMod val="50000"/>
              </a:schemeClr>
            </a:solidFill>
            <a:latin typeface="+mj-lt"/>
          </a:endParaRPr>
        </a:p>
      </cdr:txBody>
    </cdr:sp>
  </cdr:relSizeAnchor>
  <cdr:relSizeAnchor xmlns:cdr="http://schemas.openxmlformats.org/drawingml/2006/chartDrawing">
    <cdr:from>
      <cdr:x>0.5147</cdr:x>
      <cdr:y>0.78354</cdr:y>
    </cdr:from>
    <cdr:to>
      <cdr:x>0.6773</cdr:x>
      <cdr:y>0.90475</cdr:y>
    </cdr:to>
    <cdr:sp macro="" textlink="">
      <cdr:nvSpPr>
        <cdr:cNvPr id="31" name="TextBox 1"/>
        <cdr:cNvSpPr txBox="1"/>
      </cdr:nvSpPr>
      <cdr:spPr>
        <a:xfrm xmlns:a="http://schemas.openxmlformats.org/drawingml/2006/main">
          <a:off x="2613025" y="2809903"/>
          <a:ext cx="825501" cy="4346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r-Cyrl-CS" sz="800" b="0">
              <a:solidFill>
                <a:schemeClr val="accent3">
                  <a:lumMod val="50000"/>
                </a:schemeClr>
              </a:solidFill>
              <a:effectLst/>
              <a:latin typeface="Cambria" pitchFamily="18" charset="0"/>
              <a:ea typeface="+mn-ea"/>
              <a:cs typeface="+mn-cs"/>
            </a:rPr>
            <a:t>Релативни</a:t>
          </a:r>
          <a:endParaRPr lang="sr-Cyrl-CS" sz="800" b="0" baseline="0">
            <a:solidFill>
              <a:schemeClr val="accent3">
                <a:lumMod val="50000"/>
              </a:schemeClr>
            </a:solidFill>
            <a:effectLst/>
            <a:latin typeface="Cambria" pitchFamily="18" charset="0"/>
            <a:ea typeface="+mn-ea"/>
            <a:cs typeface="+mn-cs"/>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sr-Latn-RS" sz="800" b="0">
              <a:solidFill>
                <a:schemeClr val="accent3">
                  <a:lumMod val="50000"/>
                </a:schemeClr>
              </a:solidFill>
              <a:effectLst/>
              <a:latin typeface="Cambria" pitchFamily="18" charset="0"/>
              <a:ea typeface="+mn-ea"/>
              <a:cs typeface="+mn-cs"/>
            </a:rPr>
            <a:t>CaR </a:t>
          </a:r>
          <a:endParaRPr lang="sr-Latn-BA" sz="800">
            <a:solidFill>
              <a:schemeClr val="accent3">
                <a:lumMod val="50000"/>
              </a:schemeClr>
            </a:solidFill>
            <a:effectLst/>
            <a:latin typeface="Cambria" pitchFamily="18" charset="0"/>
          </a:endParaRPr>
        </a:p>
        <a:p xmlns:a="http://schemas.openxmlformats.org/drawingml/2006/main">
          <a:pPr algn="ctr"/>
          <a:endParaRPr lang="sr-Latn-BA" sz="900" b="0">
            <a:solidFill>
              <a:schemeClr val="accent3">
                <a:lumMod val="50000"/>
              </a:schemeClr>
            </a:solidFill>
            <a:latin typeface="Cambria"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0.68198</cdr:x>
      <cdr:y>0.04824</cdr:y>
    </cdr:from>
    <cdr:to>
      <cdr:x>0.96549</cdr:x>
      <cdr:y>0.70801</cdr:y>
    </cdr:to>
    <cdr:sp macro="" textlink="">
      <cdr:nvSpPr>
        <cdr:cNvPr id="2" name="Rectangle 1"/>
        <cdr:cNvSpPr/>
      </cdr:nvSpPr>
      <cdr:spPr>
        <a:xfrm xmlns:a="http://schemas.openxmlformats.org/drawingml/2006/main">
          <a:off x="3676651" y="220553"/>
          <a:ext cx="1528450" cy="3016469"/>
        </a:xfrm>
        <a:prstGeom xmlns:a="http://schemas.openxmlformats.org/drawingml/2006/main" prst="rect">
          <a:avLst/>
        </a:prstGeom>
        <a:solidFill xmlns:a="http://schemas.openxmlformats.org/drawingml/2006/main">
          <a:schemeClr val="accent1">
            <a:lumMod val="20000"/>
            <a:lumOff val="80000"/>
            <a:alpha val="36000"/>
          </a:schemeClr>
        </a:solidFill>
        <a:ln xmlns:a="http://schemas.openxmlformats.org/drawingml/2006/main" w="15875">
          <a:solidFill>
            <a:schemeClr val="tx2"/>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0.62819</cdr:x>
      <cdr:y>0.02813</cdr:y>
    </cdr:from>
    <cdr:to>
      <cdr:x>0.9239</cdr:x>
      <cdr:y>0.70573</cdr:y>
    </cdr:to>
    <cdr:sp macro="" textlink="">
      <cdr:nvSpPr>
        <cdr:cNvPr id="2" name="Rectangle 1"/>
        <cdr:cNvSpPr/>
      </cdr:nvSpPr>
      <cdr:spPr bwMode="auto">
        <a:xfrm xmlns:a="http://schemas.openxmlformats.org/drawingml/2006/main">
          <a:off x="3600477" y="102888"/>
          <a:ext cx="1694865" cy="2478387"/>
        </a:xfrm>
        <a:prstGeom xmlns:a="http://schemas.openxmlformats.org/drawingml/2006/main" prst="rect">
          <a:avLst/>
        </a:prstGeom>
        <a:solidFill xmlns:a="http://schemas.openxmlformats.org/drawingml/2006/main">
          <a:schemeClr val="accent3">
            <a:lumMod val="20000"/>
            <a:lumOff val="80000"/>
            <a:alpha val="36000"/>
          </a:schemeClr>
        </a:solidFill>
        <a:ln xmlns:a="http://schemas.openxmlformats.org/drawingml/2006/main" w="15875" cap="flat" cmpd="sng" algn="ctr">
          <a:solidFill>
            <a:schemeClr val="tx2"/>
          </a:solidFill>
          <a:prstDash val="sysDot"/>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0.65234</cdr:x>
      <cdr:y>0.04978</cdr:y>
    </cdr:from>
    <cdr:to>
      <cdr:x>0.9733</cdr:x>
      <cdr:y>0.89757</cdr:y>
    </cdr:to>
    <cdr:sp macro="" textlink="">
      <cdr:nvSpPr>
        <cdr:cNvPr id="2" name="Rectangle 1"/>
        <cdr:cNvSpPr/>
      </cdr:nvSpPr>
      <cdr:spPr bwMode="auto">
        <a:xfrm xmlns:a="http://schemas.openxmlformats.org/drawingml/2006/main">
          <a:off x="3342904" y="136565"/>
          <a:ext cx="1644732" cy="2325649"/>
        </a:xfrm>
        <a:prstGeom xmlns:a="http://schemas.openxmlformats.org/drawingml/2006/main" prst="rect">
          <a:avLst/>
        </a:prstGeom>
        <a:solidFill xmlns:a="http://schemas.openxmlformats.org/drawingml/2006/main">
          <a:schemeClr val="accent3">
            <a:alpha val="12000"/>
          </a:schemeClr>
        </a:solidFill>
        <a:ln xmlns:a="http://schemas.openxmlformats.org/drawingml/2006/main" w="9525" cap="flat" cmpd="sng" algn="ctr">
          <a:solidFill>
            <a:srgbClr val="000000">
              <a:alpha val="15000"/>
            </a:srgbClr>
          </a:solidFill>
          <a:prstDash val="sysDot"/>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0.69965</cdr:x>
      <cdr:y>0.04167</cdr:y>
    </cdr:from>
    <cdr:to>
      <cdr:x>0.97809</cdr:x>
      <cdr:y>0.80243</cdr:y>
    </cdr:to>
    <cdr:sp macro="" textlink="">
      <cdr:nvSpPr>
        <cdr:cNvPr id="2" name="Rectangle 1"/>
        <cdr:cNvSpPr/>
      </cdr:nvSpPr>
      <cdr:spPr>
        <a:xfrm xmlns:a="http://schemas.openxmlformats.org/drawingml/2006/main">
          <a:off x="4010025" y="130582"/>
          <a:ext cx="1595908" cy="2384013"/>
        </a:xfrm>
        <a:prstGeom xmlns:a="http://schemas.openxmlformats.org/drawingml/2006/main" prst="rect">
          <a:avLst/>
        </a:prstGeom>
        <a:solidFill xmlns:a="http://schemas.openxmlformats.org/drawingml/2006/main">
          <a:schemeClr val="accent3">
            <a:lumMod val="20000"/>
            <a:lumOff val="80000"/>
            <a:alpha val="36000"/>
          </a:schemeClr>
        </a:solidFill>
        <a:ln xmlns:a="http://schemas.openxmlformats.org/drawingml/2006/main" w="15875">
          <a:solidFill>
            <a:schemeClr val="tx2"/>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0.52284</cdr:x>
      <cdr:y>0.05689</cdr:y>
    </cdr:from>
    <cdr:to>
      <cdr:x>0.91201</cdr:x>
      <cdr:y>0.69048</cdr:y>
    </cdr:to>
    <cdr:sp macro="" textlink="">
      <cdr:nvSpPr>
        <cdr:cNvPr id="2" name="Rectangle 1"/>
        <cdr:cNvSpPr/>
      </cdr:nvSpPr>
      <cdr:spPr>
        <a:xfrm xmlns:a="http://schemas.openxmlformats.org/drawingml/2006/main">
          <a:off x="2943210" y="247638"/>
          <a:ext cx="2190745" cy="2757955"/>
        </a:xfrm>
        <a:prstGeom xmlns:a="http://schemas.openxmlformats.org/drawingml/2006/main" prst="rect">
          <a:avLst/>
        </a:prstGeom>
        <a:solidFill xmlns:a="http://schemas.openxmlformats.org/drawingml/2006/main">
          <a:schemeClr val="accent3">
            <a:alpha val="12000"/>
          </a:schemeClr>
        </a:solidFill>
        <a:ln xmlns:a="http://schemas.openxmlformats.org/drawingml/2006/main" w="12700">
          <a:solidFill>
            <a:schemeClr val="accent3"/>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0.67147</cdr:x>
      <cdr:y>0.07142</cdr:y>
    </cdr:from>
    <cdr:to>
      <cdr:x>0.93064</cdr:x>
      <cdr:y>0.75367</cdr:y>
    </cdr:to>
    <cdr:sp macro="" textlink="">
      <cdr:nvSpPr>
        <cdr:cNvPr id="2" name="Rectangle 1"/>
        <cdr:cNvSpPr/>
      </cdr:nvSpPr>
      <cdr:spPr>
        <a:xfrm xmlns:a="http://schemas.openxmlformats.org/drawingml/2006/main">
          <a:off x="3848522" y="361950"/>
          <a:ext cx="1485478" cy="3457576"/>
        </a:xfrm>
        <a:prstGeom xmlns:a="http://schemas.openxmlformats.org/drawingml/2006/main" prst="rect">
          <a:avLst/>
        </a:prstGeom>
        <a:solidFill xmlns:a="http://schemas.openxmlformats.org/drawingml/2006/main">
          <a:schemeClr val="accent3">
            <a:lumMod val="20000"/>
            <a:lumOff val="80000"/>
            <a:alpha val="36000"/>
          </a:schemeClr>
        </a:solidFill>
        <a:ln xmlns:a="http://schemas.openxmlformats.org/drawingml/2006/main" w="15875">
          <a:solidFill>
            <a:schemeClr val="tx2"/>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0.16716</cdr:x>
      <cdr:y>0.87374</cdr:y>
    </cdr:from>
    <cdr:to>
      <cdr:x>0.87463</cdr:x>
      <cdr:y>0.91077</cdr:y>
    </cdr:to>
    <cdr:sp macro="" textlink="">
      <cdr:nvSpPr>
        <cdr:cNvPr id="2" name="TextBox 1"/>
        <cdr:cNvSpPr txBox="1"/>
      </cdr:nvSpPr>
      <cdr:spPr>
        <a:xfrm xmlns:a="http://schemas.openxmlformats.org/drawingml/2006/main">
          <a:off x="1447840" y="5492750"/>
          <a:ext cx="6127680" cy="2328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0.82463</cdr:x>
      <cdr:y>0.03371</cdr:y>
    </cdr:from>
    <cdr:to>
      <cdr:x>0.82836</cdr:x>
      <cdr:y>0.94831</cdr:y>
    </cdr:to>
    <cdr:sp macro="" textlink="">
      <cdr:nvSpPr>
        <cdr:cNvPr id="7" name="Straight Connector 6"/>
        <cdr:cNvSpPr/>
      </cdr:nvSpPr>
      <cdr:spPr>
        <a:xfrm xmlns:a="http://schemas.openxmlformats.org/drawingml/2006/main" rot="5400000" flipH="1">
          <a:off x="171449" y="2076448"/>
          <a:ext cx="3876676" cy="9526"/>
        </a:xfrm>
        <a:prstGeom xmlns:a="http://schemas.openxmlformats.org/drawingml/2006/main" prst="line">
          <a:avLst/>
        </a:prstGeom>
        <a:ln xmlns:a="http://schemas.openxmlformats.org/drawingml/2006/main" w="19050">
          <a:prstDash val="dash"/>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0.39179</cdr:x>
      <cdr:y>0.04125</cdr:y>
    </cdr:from>
    <cdr:to>
      <cdr:x>0.72312</cdr:x>
      <cdr:y>0.38704</cdr:y>
    </cdr:to>
    <cdr:sp macro="" textlink="">
      <cdr:nvSpPr>
        <cdr:cNvPr id="8" name="TextBox 7"/>
        <cdr:cNvSpPr txBox="1"/>
      </cdr:nvSpPr>
      <cdr:spPr>
        <a:xfrm xmlns:a="http://schemas.openxmlformats.org/drawingml/2006/main">
          <a:off x="1000125" y="174843"/>
          <a:ext cx="845783" cy="1465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baseline="0">
              <a:solidFill>
                <a:schemeClr val="bg1">
                  <a:lumMod val="50000"/>
                </a:schemeClr>
              </a:solidFill>
              <a:latin typeface="Times New Roman" panose="02020603050405020304" pitchFamily="18" charset="0"/>
              <a:ea typeface="+mn-ea"/>
              <a:cs typeface="Times New Roman" panose="02020603050405020304" pitchFamily="18" charset="0"/>
            </a:rPr>
            <a:t>Ниво дефицита дозвољен уговором из Мастрихта</a:t>
          </a:r>
          <a:r>
            <a:rPr lang="sr-Latn-CS" sz="900" baseline="0">
              <a:solidFill>
                <a:schemeClr val="bg1">
                  <a:lumMod val="50000"/>
                </a:schemeClr>
              </a:solidFill>
              <a:latin typeface="Times New Roman" panose="02020603050405020304" pitchFamily="18" charset="0"/>
              <a:ea typeface="+mn-ea"/>
              <a:cs typeface="Times New Roman" panose="02020603050405020304" pitchFamily="18" charset="0"/>
            </a:rPr>
            <a:t> </a:t>
          </a:r>
          <a:endParaRPr lang="sr-Cyrl-RS" sz="900" baseline="0">
            <a:solidFill>
              <a:schemeClr val="bg1">
                <a:lumMod val="50000"/>
              </a:schemeClr>
            </a:solidFill>
            <a:latin typeface="Times New Roman" panose="02020603050405020304" pitchFamily="18" charset="0"/>
            <a:ea typeface="+mn-ea"/>
            <a:cs typeface="Times New Roman" panose="02020603050405020304" pitchFamily="18" charset="0"/>
          </a:endParaRPr>
        </a:p>
        <a:p xmlns:a="http://schemas.openxmlformats.org/drawingml/2006/main">
          <a:r>
            <a:rPr lang="sr-Cyrl-RS" sz="900" baseline="0">
              <a:solidFill>
                <a:schemeClr val="bg1">
                  <a:lumMod val="50000"/>
                </a:schemeClr>
              </a:solidFill>
              <a:latin typeface="Times New Roman" panose="02020603050405020304" pitchFamily="18" charset="0"/>
              <a:ea typeface="+mn-ea"/>
              <a:cs typeface="Times New Roman" panose="02020603050405020304" pitchFamily="18" charset="0"/>
            </a:rPr>
            <a:t>(-3% БДП)</a:t>
          </a:r>
          <a:endParaRPr lang="en-US" sz="900">
            <a:solidFill>
              <a:schemeClr val="bg1">
                <a:lumMod val="50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0.66362</cdr:x>
      <cdr:y>0.07677</cdr:y>
    </cdr:from>
    <cdr:to>
      <cdr:x>0.76263</cdr:x>
      <cdr:y>0.07702</cdr:y>
    </cdr:to>
    <cdr:sp macro="" textlink="">
      <cdr:nvSpPr>
        <cdr:cNvPr id="10" name="Straight Arrow Connector 9"/>
        <cdr:cNvSpPr/>
      </cdr:nvSpPr>
      <cdr:spPr>
        <a:xfrm xmlns:a="http://schemas.openxmlformats.org/drawingml/2006/main">
          <a:off x="1763561" y="197433"/>
          <a:ext cx="263116" cy="643"/>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0.16716</cdr:x>
      <cdr:y>0.87374</cdr:y>
    </cdr:from>
    <cdr:to>
      <cdr:x>0.87463</cdr:x>
      <cdr:y>0.91077</cdr:y>
    </cdr:to>
    <cdr:sp macro="" textlink="">
      <cdr:nvSpPr>
        <cdr:cNvPr id="2" name="TextBox 1"/>
        <cdr:cNvSpPr txBox="1"/>
      </cdr:nvSpPr>
      <cdr:spPr>
        <a:xfrm xmlns:a="http://schemas.openxmlformats.org/drawingml/2006/main">
          <a:off x="1447840" y="5492750"/>
          <a:ext cx="6127680" cy="2328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0.05254</cdr:x>
      <cdr:y>0.91751</cdr:y>
    </cdr:from>
    <cdr:to>
      <cdr:x>0.4741</cdr:x>
      <cdr:y>0.98485</cdr:y>
    </cdr:to>
    <cdr:sp macro="" textlink="">
      <cdr:nvSpPr>
        <cdr:cNvPr id="3" name="TextBox 2"/>
        <cdr:cNvSpPr txBox="1"/>
      </cdr:nvSpPr>
      <cdr:spPr>
        <a:xfrm xmlns:a="http://schemas.openxmlformats.org/drawingml/2006/main">
          <a:off x="455083" y="5767916"/>
          <a:ext cx="3651250" cy="4233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0.57194</cdr:x>
      <cdr:y>0.03166</cdr:y>
    </cdr:from>
    <cdr:to>
      <cdr:x>0.57554</cdr:x>
      <cdr:y>0.96789</cdr:y>
    </cdr:to>
    <cdr:sp macro="" textlink="">
      <cdr:nvSpPr>
        <cdr:cNvPr id="11" name="Straight Connector 10"/>
        <cdr:cNvSpPr/>
      </cdr:nvSpPr>
      <cdr:spPr>
        <a:xfrm xmlns:a="http://schemas.openxmlformats.org/drawingml/2006/main" rot="5400000" flipH="1" flipV="1">
          <a:off x="-452438" y="2100261"/>
          <a:ext cx="3943351" cy="9525"/>
        </a:xfrm>
        <a:prstGeom xmlns:a="http://schemas.openxmlformats.org/drawingml/2006/main" prst="line">
          <a:avLst/>
        </a:prstGeom>
        <a:ln xmlns:a="http://schemas.openxmlformats.org/drawingml/2006/main" w="19050">
          <a:prstDash val="dash"/>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0.60432</cdr:x>
      <cdr:y>0.69426</cdr:y>
    </cdr:from>
    <cdr:to>
      <cdr:x>0.97781</cdr:x>
      <cdr:y>0.91361</cdr:y>
    </cdr:to>
    <cdr:sp macro="" textlink="">
      <cdr:nvSpPr>
        <cdr:cNvPr id="12" name="TextBox 11"/>
        <cdr:cNvSpPr txBox="1"/>
      </cdr:nvSpPr>
      <cdr:spPr>
        <a:xfrm xmlns:a="http://schemas.openxmlformats.org/drawingml/2006/main">
          <a:off x="1600200" y="2924175"/>
          <a:ext cx="988981" cy="923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a:solidFill>
                <a:schemeClr val="bg1">
                  <a:lumMod val="50000"/>
                </a:schemeClr>
              </a:solidFill>
              <a:latin typeface="+mj-lt"/>
              <a:cs typeface="Times New Roman" panose="02020603050405020304" pitchFamily="18" charset="0"/>
            </a:rPr>
            <a:t>Ниво јавног</a:t>
          </a:r>
          <a:r>
            <a:rPr lang="sr-Cyrl-CS" sz="900" baseline="0">
              <a:solidFill>
                <a:schemeClr val="bg1">
                  <a:lumMod val="50000"/>
                </a:schemeClr>
              </a:solidFill>
              <a:latin typeface="+mj-lt"/>
              <a:cs typeface="Times New Roman" panose="02020603050405020304" pitchFamily="18" charset="0"/>
            </a:rPr>
            <a:t> дуга</a:t>
          </a:r>
          <a:r>
            <a:rPr lang="sr-Cyrl-CS" sz="900">
              <a:solidFill>
                <a:schemeClr val="bg1">
                  <a:lumMod val="50000"/>
                </a:schemeClr>
              </a:solidFill>
              <a:latin typeface="+mj-lt"/>
              <a:cs typeface="Times New Roman" panose="02020603050405020304" pitchFamily="18" charset="0"/>
            </a:rPr>
            <a:t> дозвољен</a:t>
          </a:r>
          <a:r>
            <a:rPr lang="sr-Cyrl-CS" sz="900" baseline="0">
              <a:solidFill>
                <a:schemeClr val="bg1">
                  <a:lumMod val="50000"/>
                </a:schemeClr>
              </a:solidFill>
              <a:latin typeface="+mj-lt"/>
              <a:cs typeface="Times New Roman" panose="02020603050405020304" pitchFamily="18" charset="0"/>
            </a:rPr>
            <a:t> </a:t>
          </a:r>
        </a:p>
        <a:p xmlns:a="http://schemas.openxmlformats.org/drawingml/2006/main">
          <a:r>
            <a:rPr lang="sr-Cyrl-CS" sz="900" baseline="0">
              <a:solidFill>
                <a:schemeClr val="bg1">
                  <a:lumMod val="50000"/>
                </a:schemeClr>
              </a:solidFill>
              <a:latin typeface="+mj-lt"/>
              <a:cs typeface="Times New Roman" panose="02020603050405020304" pitchFamily="18" charset="0"/>
            </a:rPr>
            <a:t>уговором из Мастрихта </a:t>
          </a:r>
        </a:p>
        <a:p xmlns:a="http://schemas.openxmlformats.org/drawingml/2006/main">
          <a:r>
            <a:rPr lang="sr-Cyrl-CS" sz="900" baseline="0">
              <a:solidFill>
                <a:schemeClr val="bg1">
                  <a:lumMod val="50000"/>
                </a:schemeClr>
              </a:solidFill>
              <a:latin typeface="+mj-lt"/>
              <a:cs typeface="Times New Roman" panose="02020603050405020304" pitchFamily="18" charset="0"/>
            </a:rPr>
            <a:t>(60% БДП)</a:t>
          </a:r>
          <a:endParaRPr lang="sr-Cyrl-RS" sz="900" baseline="0">
            <a:solidFill>
              <a:schemeClr val="bg1">
                <a:lumMod val="50000"/>
              </a:schemeClr>
            </a:solidFill>
            <a:latin typeface="+mj-lt"/>
            <a:cs typeface="Times New Roman" panose="02020603050405020304" pitchFamily="18" charset="0"/>
          </a:endParaRPr>
        </a:p>
        <a:p xmlns:a="http://schemas.openxmlformats.org/drawingml/2006/main">
          <a:endParaRPr lang="en-US" sz="1100">
            <a:latin typeface="+mj-lt"/>
          </a:endParaRPr>
        </a:p>
      </cdr:txBody>
    </cdr:sp>
  </cdr:relSizeAnchor>
  <cdr:relSizeAnchor xmlns:cdr="http://schemas.openxmlformats.org/drawingml/2006/chartDrawing">
    <cdr:from>
      <cdr:x>0.57668</cdr:x>
      <cdr:y>0.89662</cdr:y>
    </cdr:from>
    <cdr:to>
      <cdr:x>0.66249</cdr:x>
      <cdr:y>0.89687</cdr:y>
    </cdr:to>
    <cdr:sp macro="" textlink="">
      <cdr:nvSpPr>
        <cdr:cNvPr id="14" name="Straight Arrow Connector 13"/>
        <cdr:cNvSpPr/>
      </cdr:nvSpPr>
      <cdr:spPr>
        <a:xfrm xmlns:a="http://schemas.openxmlformats.org/drawingml/2006/main" rot="10800000">
          <a:off x="1527015" y="3776536"/>
          <a:ext cx="227221" cy="1053"/>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0.19646</cdr:x>
      <cdr:y>0.028</cdr:y>
    </cdr:from>
    <cdr:to>
      <cdr:x>0.97263</cdr:x>
      <cdr:y>0.08</cdr:y>
    </cdr:to>
    <cdr:sp macro="" textlink="">
      <cdr:nvSpPr>
        <cdr:cNvPr id="4" name="TextBox 1"/>
        <cdr:cNvSpPr txBox="1"/>
      </cdr:nvSpPr>
      <cdr:spPr>
        <a:xfrm xmlns:a="http://schemas.openxmlformats.org/drawingml/2006/main">
          <a:off x="1162045" y="133350"/>
          <a:ext cx="4591067"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2803F1-B66A-487A-8276-F21242DC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93</Pages>
  <Words>37653</Words>
  <Characters>214626</Characters>
  <Application>Microsoft Office Word</Application>
  <DocSecurity>0</DocSecurity>
  <Lines>1788</Lines>
  <Paragraphs>503</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ФИСКАЛНА СТРАТЕГИЈА</vt:lpstr>
      <vt:lpstr/>
    </vt:vector>
  </TitlesOfParts>
  <Company>ВЛАДА РЕПУБЛИКЕ СРБИЈЕ</Company>
  <LinksUpToDate>false</LinksUpToDate>
  <CharactersWithSpaces>251776</CharactersWithSpaces>
  <SharedDoc>false</SharedDoc>
  <HLinks>
    <vt:vector size="156" baseType="variant">
      <vt:variant>
        <vt:i4>2752629</vt:i4>
      </vt:variant>
      <vt:variant>
        <vt:i4>153</vt:i4>
      </vt:variant>
      <vt:variant>
        <vt:i4>0</vt:i4>
      </vt:variant>
      <vt:variant>
        <vt:i4>5</vt:i4>
      </vt:variant>
      <vt:variant>
        <vt:lpwstr>http://www.imf.org/external/pubs/ft/weo/2009/update/01/pdf/0109.pdf</vt:lpwstr>
      </vt:variant>
      <vt:variant>
        <vt:lpwstr/>
      </vt:variant>
      <vt:variant>
        <vt:i4>1376317</vt:i4>
      </vt:variant>
      <vt:variant>
        <vt:i4>146</vt:i4>
      </vt:variant>
      <vt:variant>
        <vt:i4>0</vt:i4>
      </vt:variant>
      <vt:variant>
        <vt:i4>5</vt:i4>
      </vt:variant>
      <vt:variant>
        <vt:lpwstr/>
      </vt:variant>
      <vt:variant>
        <vt:lpwstr>_Toc369162176</vt:lpwstr>
      </vt:variant>
      <vt:variant>
        <vt:i4>1376317</vt:i4>
      </vt:variant>
      <vt:variant>
        <vt:i4>140</vt:i4>
      </vt:variant>
      <vt:variant>
        <vt:i4>0</vt:i4>
      </vt:variant>
      <vt:variant>
        <vt:i4>5</vt:i4>
      </vt:variant>
      <vt:variant>
        <vt:lpwstr/>
      </vt:variant>
      <vt:variant>
        <vt:lpwstr>_Toc369162175</vt:lpwstr>
      </vt:variant>
      <vt:variant>
        <vt:i4>1376317</vt:i4>
      </vt:variant>
      <vt:variant>
        <vt:i4>134</vt:i4>
      </vt:variant>
      <vt:variant>
        <vt:i4>0</vt:i4>
      </vt:variant>
      <vt:variant>
        <vt:i4>5</vt:i4>
      </vt:variant>
      <vt:variant>
        <vt:lpwstr/>
      </vt:variant>
      <vt:variant>
        <vt:lpwstr>_Toc369162174</vt:lpwstr>
      </vt:variant>
      <vt:variant>
        <vt:i4>1376317</vt:i4>
      </vt:variant>
      <vt:variant>
        <vt:i4>128</vt:i4>
      </vt:variant>
      <vt:variant>
        <vt:i4>0</vt:i4>
      </vt:variant>
      <vt:variant>
        <vt:i4>5</vt:i4>
      </vt:variant>
      <vt:variant>
        <vt:lpwstr/>
      </vt:variant>
      <vt:variant>
        <vt:lpwstr>_Toc369162173</vt:lpwstr>
      </vt:variant>
      <vt:variant>
        <vt:i4>1376317</vt:i4>
      </vt:variant>
      <vt:variant>
        <vt:i4>122</vt:i4>
      </vt:variant>
      <vt:variant>
        <vt:i4>0</vt:i4>
      </vt:variant>
      <vt:variant>
        <vt:i4>5</vt:i4>
      </vt:variant>
      <vt:variant>
        <vt:lpwstr/>
      </vt:variant>
      <vt:variant>
        <vt:lpwstr>_Toc369162172</vt:lpwstr>
      </vt:variant>
      <vt:variant>
        <vt:i4>1376317</vt:i4>
      </vt:variant>
      <vt:variant>
        <vt:i4>116</vt:i4>
      </vt:variant>
      <vt:variant>
        <vt:i4>0</vt:i4>
      </vt:variant>
      <vt:variant>
        <vt:i4>5</vt:i4>
      </vt:variant>
      <vt:variant>
        <vt:lpwstr/>
      </vt:variant>
      <vt:variant>
        <vt:lpwstr>_Toc369162171</vt:lpwstr>
      </vt:variant>
      <vt:variant>
        <vt:i4>1376317</vt:i4>
      </vt:variant>
      <vt:variant>
        <vt:i4>110</vt:i4>
      </vt:variant>
      <vt:variant>
        <vt:i4>0</vt:i4>
      </vt:variant>
      <vt:variant>
        <vt:i4>5</vt:i4>
      </vt:variant>
      <vt:variant>
        <vt:lpwstr/>
      </vt:variant>
      <vt:variant>
        <vt:lpwstr>_Toc369162170</vt:lpwstr>
      </vt:variant>
      <vt:variant>
        <vt:i4>1310781</vt:i4>
      </vt:variant>
      <vt:variant>
        <vt:i4>104</vt:i4>
      </vt:variant>
      <vt:variant>
        <vt:i4>0</vt:i4>
      </vt:variant>
      <vt:variant>
        <vt:i4>5</vt:i4>
      </vt:variant>
      <vt:variant>
        <vt:lpwstr/>
      </vt:variant>
      <vt:variant>
        <vt:lpwstr>_Toc369162169</vt:lpwstr>
      </vt:variant>
      <vt:variant>
        <vt:i4>1310781</vt:i4>
      </vt:variant>
      <vt:variant>
        <vt:i4>98</vt:i4>
      </vt:variant>
      <vt:variant>
        <vt:i4>0</vt:i4>
      </vt:variant>
      <vt:variant>
        <vt:i4>5</vt:i4>
      </vt:variant>
      <vt:variant>
        <vt:lpwstr/>
      </vt:variant>
      <vt:variant>
        <vt:lpwstr>_Toc369162168</vt:lpwstr>
      </vt:variant>
      <vt:variant>
        <vt:i4>1310781</vt:i4>
      </vt:variant>
      <vt:variant>
        <vt:i4>92</vt:i4>
      </vt:variant>
      <vt:variant>
        <vt:i4>0</vt:i4>
      </vt:variant>
      <vt:variant>
        <vt:i4>5</vt:i4>
      </vt:variant>
      <vt:variant>
        <vt:lpwstr/>
      </vt:variant>
      <vt:variant>
        <vt:lpwstr>_Toc369162167</vt:lpwstr>
      </vt:variant>
      <vt:variant>
        <vt:i4>1310781</vt:i4>
      </vt:variant>
      <vt:variant>
        <vt:i4>86</vt:i4>
      </vt:variant>
      <vt:variant>
        <vt:i4>0</vt:i4>
      </vt:variant>
      <vt:variant>
        <vt:i4>5</vt:i4>
      </vt:variant>
      <vt:variant>
        <vt:lpwstr/>
      </vt:variant>
      <vt:variant>
        <vt:lpwstr>_Toc369162166</vt:lpwstr>
      </vt:variant>
      <vt:variant>
        <vt:i4>1310781</vt:i4>
      </vt:variant>
      <vt:variant>
        <vt:i4>80</vt:i4>
      </vt:variant>
      <vt:variant>
        <vt:i4>0</vt:i4>
      </vt:variant>
      <vt:variant>
        <vt:i4>5</vt:i4>
      </vt:variant>
      <vt:variant>
        <vt:lpwstr/>
      </vt:variant>
      <vt:variant>
        <vt:lpwstr>_Toc369162165</vt:lpwstr>
      </vt:variant>
      <vt:variant>
        <vt:i4>1310781</vt:i4>
      </vt:variant>
      <vt:variant>
        <vt:i4>74</vt:i4>
      </vt:variant>
      <vt:variant>
        <vt:i4>0</vt:i4>
      </vt:variant>
      <vt:variant>
        <vt:i4>5</vt:i4>
      </vt:variant>
      <vt:variant>
        <vt:lpwstr/>
      </vt:variant>
      <vt:variant>
        <vt:lpwstr>_Toc369162164</vt:lpwstr>
      </vt:variant>
      <vt:variant>
        <vt:i4>1310781</vt:i4>
      </vt:variant>
      <vt:variant>
        <vt:i4>68</vt:i4>
      </vt:variant>
      <vt:variant>
        <vt:i4>0</vt:i4>
      </vt:variant>
      <vt:variant>
        <vt:i4>5</vt:i4>
      </vt:variant>
      <vt:variant>
        <vt:lpwstr/>
      </vt:variant>
      <vt:variant>
        <vt:lpwstr>_Toc369162163</vt:lpwstr>
      </vt:variant>
      <vt:variant>
        <vt:i4>1310781</vt:i4>
      </vt:variant>
      <vt:variant>
        <vt:i4>62</vt:i4>
      </vt:variant>
      <vt:variant>
        <vt:i4>0</vt:i4>
      </vt:variant>
      <vt:variant>
        <vt:i4>5</vt:i4>
      </vt:variant>
      <vt:variant>
        <vt:lpwstr/>
      </vt:variant>
      <vt:variant>
        <vt:lpwstr>_Toc369162162</vt:lpwstr>
      </vt:variant>
      <vt:variant>
        <vt:i4>1310781</vt:i4>
      </vt:variant>
      <vt:variant>
        <vt:i4>56</vt:i4>
      </vt:variant>
      <vt:variant>
        <vt:i4>0</vt:i4>
      </vt:variant>
      <vt:variant>
        <vt:i4>5</vt:i4>
      </vt:variant>
      <vt:variant>
        <vt:lpwstr/>
      </vt:variant>
      <vt:variant>
        <vt:lpwstr>_Toc369162161</vt:lpwstr>
      </vt:variant>
      <vt:variant>
        <vt:i4>1310781</vt:i4>
      </vt:variant>
      <vt:variant>
        <vt:i4>50</vt:i4>
      </vt:variant>
      <vt:variant>
        <vt:i4>0</vt:i4>
      </vt:variant>
      <vt:variant>
        <vt:i4>5</vt:i4>
      </vt:variant>
      <vt:variant>
        <vt:lpwstr/>
      </vt:variant>
      <vt:variant>
        <vt:lpwstr>_Toc369162160</vt:lpwstr>
      </vt:variant>
      <vt:variant>
        <vt:i4>1507389</vt:i4>
      </vt:variant>
      <vt:variant>
        <vt:i4>44</vt:i4>
      </vt:variant>
      <vt:variant>
        <vt:i4>0</vt:i4>
      </vt:variant>
      <vt:variant>
        <vt:i4>5</vt:i4>
      </vt:variant>
      <vt:variant>
        <vt:lpwstr/>
      </vt:variant>
      <vt:variant>
        <vt:lpwstr>_Toc369162159</vt:lpwstr>
      </vt:variant>
      <vt:variant>
        <vt:i4>1507389</vt:i4>
      </vt:variant>
      <vt:variant>
        <vt:i4>38</vt:i4>
      </vt:variant>
      <vt:variant>
        <vt:i4>0</vt:i4>
      </vt:variant>
      <vt:variant>
        <vt:i4>5</vt:i4>
      </vt:variant>
      <vt:variant>
        <vt:lpwstr/>
      </vt:variant>
      <vt:variant>
        <vt:lpwstr>_Toc369162158</vt:lpwstr>
      </vt:variant>
      <vt:variant>
        <vt:i4>1507389</vt:i4>
      </vt:variant>
      <vt:variant>
        <vt:i4>32</vt:i4>
      </vt:variant>
      <vt:variant>
        <vt:i4>0</vt:i4>
      </vt:variant>
      <vt:variant>
        <vt:i4>5</vt:i4>
      </vt:variant>
      <vt:variant>
        <vt:lpwstr/>
      </vt:variant>
      <vt:variant>
        <vt:lpwstr>_Toc369162157</vt:lpwstr>
      </vt:variant>
      <vt:variant>
        <vt:i4>1507389</vt:i4>
      </vt:variant>
      <vt:variant>
        <vt:i4>26</vt:i4>
      </vt:variant>
      <vt:variant>
        <vt:i4>0</vt:i4>
      </vt:variant>
      <vt:variant>
        <vt:i4>5</vt:i4>
      </vt:variant>
      <vt:variant>
        <vt:lpwstr/>
      </vt:variant>
      <vt:variant>
        <vt:lpwstr>_Toc369162156</vt:lpwstr>
      </vt:variant>
      <vt:variant>
        <vt:i4>1507389</vt:i4>
      </vt:variant>
      <vt:variant>
        <vt:i4>20</vt:i4>
      </vt:variant>
      <vt:variant>
        <vt:i4>0</vt:i4>
      </vt:variant>
      <vt:variant>
        <vt:i4>5</vt:i4>
      </vt:variant>
      <vt:variant>
        <vt:lpwstr/>
      </vt:variant>
      <vt:variant>
        <vt:lpwstr>_Toc369162155</vt:lpwstr>
      </vt:variant>
      <vt:variant>
        <vt:i4>1507389</vt:i4>
      </vt:variant>
      <vt:variant>
        <vt:i4>14</vt:i4>
      </vt:variant>
      <vt:variant>
        <vt:i4>0</vt:i4>
      </vt:variant>
      <vt:variant>
        <vt:i4>5</vt:i4>
      </vt:variant>
      <vt:variant>
        <vt:lpwstr/>
      </vt:variant>
      <vt:variant>
        <vt:lpwstr>_Toc369162154</vt:lpwstr>
      </vt:variant>
      <vt:variant>
        <vt:i4>1507389</vt:i4>
      </vt:variant>
      <vt:variant>
        <vt:i4>8</vt:i4>
      </vt:variant>
      <vt:variant>
        <vt:i4>0</vt:i4>
      </vt:variant>
      <vt:variant>
        <vt:i4>5</vt:i4>
      </vt:variant>
      <vt:variant>
        <vt:lpwstr/>
      </vt:variant>
      <vt:variant>
        <vt:lpwstr>_Toc369162153</vt:lpwstr>
      </vt:variant>
      <vt:variant>
        <vt:i4>1507389</vt:i4>
      </vt:variant>
      <vt:variant>
        <vt:i4>2</vt:i4>
      </vt:variant>
      <vt:variant>
        <vt:i4>0</vt:i4>
      </vt:variant>
      <vt:variant>
        <vt:i4>5</vt:i4>
      </vt:variant>
      <vt:variant>
        <vt:lpwstr/>
      </vt:variant>
      <vt:variant>
        <vt:lpwstr>_Toc369162152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ФИСКАЛНА СТРАТЕГИЈА</dc:title>
  <dc:subject>ЗА 2014. ГОДИНУ СА ПРОЈЕКЦИЈАМА ЗА 2015. И 2016. ГОДИНУ</dc:subject>
  <dc:creator>милица јовановић</dc:creator>
  <cp:lastModifiedBy>Milos Gligorijevic</cp:lastModifiedBy>
  <cp:revision>82</cp:revision>
  <cp:lastPrinted>2015-02-03T07:28:00Z</cp:lastPrinted>
  <dcterms:created xsi:type="dcterms:W3CDTF">2014-12-29T08:32:00Z</dcterms:created>
  <dcterms:modified xsi:type="dcterms:W3CDTF">2015-02-03T07:28:00Z</dcterms:modified>
</cp:coreProperties>
</file>