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30" w:rsidRPr="000D2D5B" w:rsidRDefault="00812B30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12B30" w:rsidRPr="000D2D5B" w:rsidRDefault="00812B30" w:rsidP="00812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5667E2" w:rsidRPr="000D2D5B" w:rsidRDefault="000D2D5B" w:rsidP="00A4336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dohodak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 24/01, 80/02, 80/02-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667E2" w:rsidRPr="000D2D5B">
        <w:rPr>
          <w:noProof/>
          <w:lang w:val="sr-Latn-CS"/>
        </w:rPr>
        <w:t xml:space="preserve"> 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135/04, 62/06, 65/06-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31/09, 44/09, 18/10, 50/11, 91/11-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93/12, 114/12-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47/13, 48/13-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8A1235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108/13</w:t>
      </w:r>
      <w:r w:rsidR="00ED1B5D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A1235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57/14</w:t>
      </w:r>
      <w:r w:rsidR="00ED1B5D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1B5D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D1B5D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5667E2" w:rsidRPr="000D2D5B" w:rsidRDefault="000D2D5B" w:rsidP="005667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5667E2" w:rsidRPr="000D2D5B" w:rsidRDefault="005667E2" w:rsidP="00A433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16DA" w:rsidRPr="000D2D5B" w:rsidRDefault="006E16DA" w:rsidP="00A433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16DA" w:rsidRPr="000D2D5B" w:rsidRDefault="006E16DA" w:rsidP="00A4336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0D2D5B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7736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D7736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D7736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D7736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AD7736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5667E2" w:rsidRPr="000D2D5B" w:rsidRDefault="000D2D5B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BLIŽIM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OPOREZIVANJE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6E16DA" w:rsidRPr="000D2D5B" w:rsidRDefault="006E16DA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16DA" w:rsidRPr="000D2D5B" w:rsidRDefault="006E16DA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16DA" w:rsidRPr="000D2D5B" w:rsidRDefault="006E16DA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0D2D5B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5667E2" w:rsidRPr="000D2D5B" w:rsidRDefault="000D2D5B" w:rsidP="005667E2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bližim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667E2" w:rsidRPr="000D2D5B">
        <w:rPr>
          <w:noProof/>
          <w:lang w:val="sr-Latn-CS"/>
        </w:rPr>
        <w:t xml:space="preserve">, </w:t>
      </w:r>
      <w:r>
        <w:rPr>
          <w:noProof/>
          <w:lang w:val="sr-Latn-CS"/>
        </w:rPr>
        <w:t>kriterijumima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paušalno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oporezivanje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prihode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667E2" w:rsidRPr="000D2D5B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667E2" w:rsidRPr="000D2D5B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667E2" w:rsidRPr="000D2D5B">
        <w:rPr>
          <w:noProof/>
          <w:lang w:val="sr-Latn-CS"/>
        </w:rPr>
        <w:t>. 65/01, 45/02, 47/02, 91/02, 23/03, 16/04, 76/04, 31/05</w:t>
      </w:r>
      <w:r w:rsidR="008E41BB" w:rsidRPr="000D2D5B">
        <w:rPr>
          <w:noProof/>
          <w:lang w:val="sr-Latn-CS"/>
        </w:rPr>
        <w:t>,</w:t>
      </w:r>
      <w:r w:rsidR="005667E2" w:rsidRPr="000D2D5B">
        <w:rPr>
          <w:noProof/>
          <w:lang w:val="sr-Latn-CS"/>
        </w:rPr>
        <w:t xml:space="preserve"> 25/13</w:t>
      </w:r>
      <w:r w:rsidR="008E41BB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E41BB" w:rsidRPr="000D2D5B">
        <w:rPr>
          <w:noProof/>
          <w:lang w:val="sr-Latn-CS"/>
        </w:rPr>
        <w:t xml:space="preserve"> 119/13</w:t>
      </w:r>
      <w:r w:rsidR="005667E2" w:rsidRPr="000D2D5B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667E2" w:rsidRPr="000D2D5B">
        <w:rPr>
          <w:noProof/>
          <w:lang w:val="sr-Latn-CS"/>
        </w:rPr>
        <w:t xml:space="preserve"> 1. </w:t>
      </w:r>
      <w:r>
        <w:rPr>
          <w:noProof/>
          <w:lang w:val="sr-Latn-CS"/>
        </w:rPr>
        <w:t>reči</w:t>
      </w:r>
      <w:r w:rsidR="005667E2" w:rsidRPr="000D2D5B">
        <w:rPr>
          <w:noProof/>
          <w:lang w:val="sr-Latn-CS"/>
        </w:rPr>
        <w:t>: „</w:t>
      </w:r>
      <w:r w:rsidR="008E41BB" w:rsidRPr="000D2D5B">
        <w:rPr>
          <w:noProof/>
          <w:lang w:val="sr-Latn-CS"/>
        </w:rPr>
        <w:t>48/13-</w:t>
      </w:r>
      <w:r>
        <w:rPr>
          <w:noProof/>
          <w:lang w:val="sr-Latn-CS"/>
        </w:rPr>
        <w:t>ispravka</w:t>
      </w:r>
      <w:r w:rsidR="008E41BB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E41BB" w:rsidRPr="000D2D5B">
        <w:rPr>
          <w:noProof/>
          <w:lang w:val="sr-Latn-CS"/>
        </w:rPr>
        <w:t xml:space="preserve"> 108/13</w:t>
      </w:r>
      <w:r w:rsidR="005667E2" w:rsidRPr="000D2D5B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5667E2" w:rsidRPr="000D2D5B">
        <w:rPr>
          <w:noProof/>
          <w:lang w:val="sr-Latn-CS"/>
        </w:rPr>
        <w:t>: „</w:t>
      </w:r>
      <w:r w:rsidR="008E41BB" w:rsidRPr="000D2D5B">
        <w:rPr>
          <w:noProof/>
          <w:lang w:val="sr-Latn-CS"/>
        </w:rPr>
        <w:t>48/13-</w:t>
      </w:r>
      <w:r>
        <w:rPr>
          <w:noProof/>
          <w:lang w:val="sr-Latn-CS"/>
        </w:rPr>
        <w:t>ispravka</w:t>
      </w:r>
      <w:r w:rsidR="008E41BB" w:rsidRPr="000D2D5B">
        <w:rPr>
          <w:noProof/>
          <w:lang w:val="sr-Latn-CS"/>
        </w:rPr>
        <w:t xml:space="preserve">, </w:t>
      </w:r>
      <w:r w:rsidR="00ED1B5D" w:rsidRPr="000D2D5B">
        <w:rPr>
          <w:noProof/>
          <w:lang w:val="sr-Latn-CS"/>
        </w:rPr>
        <w:t xml:space="preserve">108/13, 57/14 </w:t>
      </w:r>
      <w:r>
        <w:rPr>
          <w:noProof/>
          <w:lang w:val="sr-Latn-CS"/>
        </w:rPr>
        <w:t>i</w:t>
      </w:r>
      <w:r w:rsidR="00ED1B5D" w:rsidRPr="000D2D5B">
        <w:rPr>
          <w:noProof/>
          <w:lang w:val="sr-Latn-CS"/>
        </w:rPr>
        <w:t xml:space="preserve"> 68/14-</w:t>
      </w:r>
      <w:r>
        <w:rPr>
          <w:noProof/>
          <w:lang w:val="sr-Latn-CS"/>
        </w:rPr>
        <w:t>dr</w:t>
      </w:r>
      <w:r w:rsidR="00ED1B5D" w:rsidRPr="000D2D5B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5667E2" w:rsidRPr="000D2D5B">
        <w:rPr>
          <w:noProof/>
          <w:lang w:val="sr-Latn-CS"/>
        </w:rPr>
        <w:t>”.</w:t>
      </w:r>
    </w:p>
    <w:p w:rsidR="005667E2" w:rsidRPr="000D2D5B" w:rsidRDefault="005667E2" w:rsidP="005667E2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</w:p>
    <w:p w:rsidR="00A46214" w:rsidRPr="000D2D5B" w:rsidRDefault="000D2D5B" w:rsidP="00A46214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668A2" w:rsidRPr="000D2D5B">
        <w:rPr>
          <w:noProof/>
          <w:lang w:val="sr-Latn-CS"/>
        </w:rPr>
        <w:t xml:space="preserve"> 2. </w:t>
      </w:r>
      <w:r w:rsidR="00A46214" w:rsidRPr="000D2D5B">
        <w:rPr>
          <w:noProof/>
          <w:lang w:val="sr-Latn-CS"/>
        </w:rPr>
        <w:t xml:space="preserve"> </w:t>
      </w:r>
    </w:p>
    <w:p w:rsidR="00751210" w:rsidRPr="000D2D5B" w:rsidRDefault="000D2D5B" w:rsidP="007512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75121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51210" w:rsidRPr="000D2D5B" w:rsidRDefault="00751210" w:rsidP="007512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Preduzetnicima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povećana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osnovica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paušalnog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prvoj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povećane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osnovice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paušalni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paušalni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uvećati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E131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10%.</w:t>
      </w:r>
      <w:r w:rsidR="00BC1F50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</w:p>
    <w:p w:rsidR="00C31040" w:rsidRPr="000D2D5B" w:rsidRDefault="00C31040" w:rsidP="00A462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0D2D5B" w:rsidP="005667E2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667E2" w:rsidRPr="000D2D5B">
        <w:rPr>
          <w:noProof/>
          <w:lang w:val="sr-Latn-CS"/>
        </w:rPr>
        <w:t xml:space="preserve"> </w:t>
      </w:r>
      <w:r w:rsidR="00C23937" w:rsidRPr="000D2D5B">
        <w:rPr>
          <w:noProof/>
          <w:lang w:val="sr-Latn-CS"/>
        </w:rPr>
        <w:t>3</w:t>
      </w:r>
      <w:r w:rsidR="006668A2" w:rsidRPr="000D2D5B">
        <w:rPr>
          <w:noProof/>
          <w:lang w:val="sr-Latn-CS"/>
        </w:rPr>
        <w:t>.</w:t>
      </w:r>
    </w:p>
    <w:p w:rsidR="005667E2" w:rsidRPr="000D2D5B" w:rsidRDefault="000D2D5B" w:rsidP="005667E2">
      <w:pPr>
        <w:pStyle w:val="NormalWeb"/>
        <w:spacing w:before="0" w:beforeAutospacing="0" w:after="0" w:afterAutospacing="0"/>
        <w:ind w:firstLine="720"/>
        <w:jc w:val="both"/>
        <w:rPr>
          <w:noProof/>
          <w:color w:val="FF0000"/>
          <w:lang w:val="sr-Latn-CS"/>
        </w:rPr>
      </w:pPr>
      <w:r>
        <w:rPr>
          <w:noProof/>
          <w:lang w:val="sr-Latn-CS"/>
        </w:rPr>
        <w:t>Ova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5667E2" w:rsidRPr="000D2D5B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5667E2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667E2" w:rsidRPr="000D2D5B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D685B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9D685B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D685B" w:rsidRPr="000D2D5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D685B" w:rsidRPr="000D2D5B">
        <w:rPr>
          <w:noProof/>
          <w:lang w:val="sr-Latn-CS"/>
        </w:rPr>
        <w:t>”</w:t>
      </w:r>
      <w:r w:rsidR="005667E2" w:rsidRPr="000D2D5B">
        <w:rPr>
          <w:noProof/>
          <w:color w:val="FF0000"/>
          <w:lang w:val="sr-Latn-CS"/>
        </w:rPr>
        <w:t>.</w:t>
      </w:r>
    </w:p>
    <w:p w:rsidR="002D087C" w:rsidRPr="000D2D5B" w:rsidRDefault="002D087C" w:rsidP="005667E2">
      <w:pPr>
        <w:pStyle w:val="NormalWeb"/>
        <w:spacing w:before="0" w:beforeAutospacing="0" w:after="0" w:afterAutospacing="0"/>
        <w:ind w:firstLine="720"/>
        <w:jc w:val="both"/>
        <w:rPr>
          <w:noProof/>
          <w:color w:val="FF0000"/>
          <w:lang w:val="sr-Latn-CS"/>
        </w:rPr>
      </w:pPr>
    </w:p>
    <w:p w:rsidR="006E16DA" w:rsidRPr="000D2D5B" w:rsidRDefault="006E16DA" w:rsidP="005667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16DA" w:rsidRPr="000D2D5B" w:rsidRDefault="006E16DA" w:rsidP="005667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5667E2" w:rsidP="005667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667E2" w:rsidRPr="000D2D5B" w:rsidRDefault="005667E2" w:rsidP="005667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667E2" w:rsidRPr="000D2D5B" w:rsidRDefault="000D2D5B" w:rsidP="005667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E16D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  <w:r w:rsidR="00717EF4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8A1235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5667E2" w:rsidRPr="000D2D5B" w:rsidRDefault="005667E2" w:rsidP="005667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0D2D5B" w:rsidP="005667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667E2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667E2" w:rsidRPr="000D2D5B" w:rsidRDefault="005667E2" w:rsidP="005667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0D2D5B" w:rsidP="006E16D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5667E2" w:rsidRPr="000D2D5B" w:rsidRDefault="005667E2" w:rsidP="005667E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67E2" w:rsidRPr="000D2D5B" w:rsidRDefault="006E16DA" w:rsidP="006E16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8A1235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5667E2" w:rsidRPr="000D2D5B" w:rsidRDefault="005667E2" w:rsidP="005667E2">
      <w:pPr>
        <w:jc w:val="center"/>
        <w:rPr>
          <w:noProof/>
          <w:lang w:val="sr-Latn-CS"/>
        </w:rPr>
      </w:pPr>
    </w:p>
    <w:p w:rsidR="001F304A" w:rsidRPr="000D2D5B" w:rsidRDefault="001F304A" w:rsidP="001F3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lang w:val="sr-Latn-CS"/>
        </w:rPr>
      </w:pPr>
    </w:p>
    <w:p w:rsidR="006B59F9" w:rsidRPr="000D2D5B" w:rsidRDefault="006B59F9" w:rsidP="001F3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lang w:val="sr-Latn-CS"/>
        </w:rPr>
      </w:pPr>
    </w:p>
    <w:p w:rsidR="006B59F9" w:rsidRPr="000D2D5B" w:rsidRDefault="006B59F9" w:rsidP="001F3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lang w:val="sr-Latn-CS"/>
        </w:rPr>
      </w:pPr>
    </w:p>
    <w:p w:rsidR="006B59F9" w:rsidRPr="000D2D5B" w:rsidRDefault="006B59F9" w:rsidP="001F3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lang w:val="sr-Latn-CS"/>
        </w:rPr>
      </w:pPr>
    </w:p>
    <w:p w:rsidR="006B59F9" w:rsidRPr="000D2D5B" w:rsidRDefault="006B59F9" w:rsidP="001F3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lang w:val="sr-Latn-CS"/>
        </w:rPr>
      </w:pPr>
    </w:p>
    <w:p w:rsidR="00BC1F50" w:rsidRPr="000D2D5B" w:rsidRDefault="00BC1F50" w:rsidP="001F3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lang w:val="sr-Latn-CS"/>
        </w:rPr>
      </w:pPr>
    </w:p>
    <w:p w:rsidR="006B59F9" w:rsidRPr="000D2D5B" w:rsidRDefault="000D2D5B" w:rsidP="006E16DA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6B59F9" w:rsidRPr="000D2D5B" w:rsidRDefault="006B59F9" w:rsidP="006B59F9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E16DA" w:rsidRPr="000D2D5B" w:rsidRDefault="006E16DA" w:rsidP="006B59F9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</w:p>
    <w:p w:rsidR="006B59F9" w:rsidRPr="000D2D5B" w:rsidRDefault="006B59F9" w:rsidP="006B59F9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dohodak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 24/01, 80/02, 80/02-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135/04, 62/06, 65/06-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31/09, 44/09, 18/10, 50/11, 91/11-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93/12, 114/12-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 47/13, 48/13-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23937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108/13,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57/14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68/14-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oporezivanje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opredeljenja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paušalnog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osnovice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paušalnog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prvoj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izmenjene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povećane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osnovice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uvećanje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10%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B59F9" w:rsidRPr="000D2D5B" w:rsidRDefault="006B59F9" w:rsidP="006B59F9">
      <w:pPr>
        <w:spacing w:after="0" w:line="20" w:lineRule="atLeast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OBJAŠNJENJE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</w:p>
    <w:p w:rsidR="006B59F9" w:rsidRPr="000D2D5B" w:rsidRDefault="006B59F9" w:rsidP="006B59F9">
      <w:pPr>
        <w:spacing w:after="0" w:line="20" w:lineRule="atLeast"/>
        <w:ind w:left="1080"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6B59F9" w:rsidRPr="000D2D5B" w:rsidRDefault="000D2D5B" w:rsidP="006B59F9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pravnotehničko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brojeva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Službenog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objavljene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B59F9" w:rsidRPr="000D2D5B" w:rsidRDefault="000D2D5B" w:rsidP="006B59F9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23937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preduzetnicima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osnovica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paušalnog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prvoj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osnovice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uvećati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10%.  </w:t>
      </w:r>
    </w:p>
    <w:p w:rsidR="006B59F9" w:rsidRPr="000D2D5B" w:rsidRDefault="000D2D5B" w:rsidP="006B59F9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23937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689E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59F9" w:rsidRPr="000D2D5B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46E78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B59F9" w:rsidRPr="000D2D5B" w:rsidRDefault="006B59F9" w:rsidP="006B59F9">
      <w:pPr>
        <w:pStyle w:val="Default"/>
        <w:spacing w:line="20" w:lineRule="atLeast"/>
        <w:jc w:val="both"/>
        <w:rPr>
          <w:noProof/>
          <w:color w:val="auto"/>
          <w:lang w:val="sr-Latn-CS"/>
        </w:rPr>
      </w:pPr>
    </w:p>
    <w:p w:rsidR="006B59F9" w:rsidRPr="000D2D5B" w:rsidRDefault="006B59F9" w:rsidP="006B59F9">
      <w:pPr>
        <w:tabs>
          <w:tab w:val="left" w:pos="0"/>
        </w:tabs>
        <w:spacing w:after="0" w:line="20" w:lineRule="atLeast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6E16D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16DA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6B59F9" w:rsidRPr="000D2D5B" w:rsidRDefault="006B59F9" w:rsidP="006B59F9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6B59F9" w:rsidRPr="000D2D5B" w:rsidRDefault="006B59F9" w:rsidP="006B59F9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196.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B59F9" w:rsidRPr="000D2D5B" w:rsidRDefault="006B59F9" w:rsidP="006B59F9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oporezivanje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preciziran</w:t>
      </w:r>
      <w:r w:rsidR="00046E78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osnovice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prvoj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6C57CB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B59F9" w:rsidRPr="000D2D5B" w:rsidRDefault="006B59F9" w:rsidP="006B59F9">
      <w:pPr>
        <w:spacing w:after="0" w:line="20" w:lineRule="atLeast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V.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2D5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</w:p>
    <w:p w:rsidR="006B59F9" w:rsidRPr="000D2D5B" w:rsidRDefault="006B59F9" w:rsidP="006B59F9">
      <w:pPr>
        <w:spacing w:after="0" w:line="2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59F9" w:rsidRPr="000D2D5B" w:rsidRDefault="000D2D5B" w:rsidP="003261E6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59F9" w:rsidRPr="000D2D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6B59F9" w:rsidRPr="000D2D5B" w:rsidSect="006E1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B1" w:rsidRDefault="004E70B1" w:rsidP="000D2D5B">
      <w:pPr>
        <w:spacing w:after="0" w:line="240" w:lineRule="auto"/>
      </w:pPr>
      <w:r>
        <w:separator/>
      </w:r>
    </w:p>
  </w:endnote>
  <w:endnote w:type="continuationSeparator" w:id="0">
    <w:p w:rsidR="004E70B1" w:rsidRDefault="004E70B1" w:rsidP="000D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B" w:rsidRDefault="000D2D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B" w:rsidRDefault="000D2D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B" w:rsidRDefault="000D2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B1" w:rsidRDefault="004E70B1" w:rsidP="000D2D5B">
      <w:pPr>
        <w:spacing w:after="0" w:line="240" w:lineRule="auto"/>
      </w:pPr>
      <w:r>
        <w:separator/>
      </w:r>
    </w:p>
  </w:footnote>
  <w:footnote w:type="continuationSeparator" w:id="0">
    <w:p w:rsidR="004E70B1" w:rsidRDefault="004E70B1" w:rsidP="000D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B" w:rsidRDefault="000D2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B" w:rsidRDefault="000D2D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B" w:rsidRDefault="000D2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805"/>
    <w:rsid w:val="000274CD"/>
    <w:rsid w:val="000316D7"/>
    <w:rsid w:val="00045FAE"/>
    <w:rsid w:val="00046E78"/>
    <w:rsid w:val="000663DA"/>
    <w:rsid w:val="000713E2"/>
    <w:rsid w:val="00077686"/>
    <w:rsid w:val="00084B21"/>
    <w:rsid w:val="000939D5"/>
    <w:rsid w:val="000A7E4A"/>
    <w:rsid w:val="000B22EE"/>
    <w:rsid w:val="000C3050"/>
    <w:rsid w:val="000D2D5B"/>
    <w:rsid w:val="000F523B"/>
    <w:rsid w:val="00122BF3"/>
    <w:rsid w:val="00176424"/>
    <w:rsid w:val="00176E4D"/>
    <w:rsid w:val="001A3F66"/>
    <w:rsid w:val="001B4F97"/>
    <w:rsid w:val="001F304A"/>
    <w:rsid w:val="00201156"/>
    <w:rsid w:val="002415C0"/>
    <w:rsid w:val="002612E0"/>
    <w:rsid w:val="00261C05"/>
    <w:rsid w:val="002B2286"/>
    <w:rsid w:val="002D087C"/>
    <w:rsid w:val="002D4BF6"/>
    <w:rsid w:val="0030163F"/>
    <w:rsid w:val="003261E6"/>
    <w:rsid w:val="00351EE6"/>
    <w:rsid w:val="003869C7"/>
    <w:rsid w:val="0039366F"/>
    <w:rsid w:val="003D4BB9"/>
    <w:rsid w:val="003F175C"/>
    <w:rsid w:val="003F5BEF"/>
    <w:rsid w:val="004601B0"/>
    <w:rsid w:val="00476C32"/>
    <w:rsid w:val="004823BB"/>
    <w:rsid w:val="004E70B1"/>
    <w:rsid w:val="00503832"/>
    <w:rsid w:val="005667E2"/>
    <w:rsid w:val="00581216"/>
    <w:rsid w:val="005D128C"/>
    <w:rsid w:val="005D582E"/>
    <w:rsid w:val="0060547C"/>
    <w:rsid w:val="006344E8"/>
    <w:rsid w:val="00647BF2"/>
    <w:rsid w:val="00654AD8"/>
    <w:rsid w:val="006617BB"/>
    <w:rsid w:val="006668A2"/>
    <w:rsid w:val="00671659"/>
    <w:rsid w:val="00676E3C"/>
    <w:rsid w:val="006878D0"/>
    <w:rsid w:val="0069276F"/>
    <w:rsid w:val="006A71C7"/>
    <w:rsid w:val="006B59F9"/>
    <w:rsid w:val="006C57CB"/>
    <w:rsid w:val="006E131A"/>
    <w:rsid w:val="006E16DA"/>
    <w:rsid w:val="007151C3"/>
    <w:rsid w:val="00717EF4"/>
    <w:rsid w:val="00751210"/>
    <w:rsid w:val="007924BF"/>
    <w:rsid w:val="007976B8"/>
    <w:rsid w:val="007E66F2"/>
    <w:rsid w:val="00806478"/>
    <w:rsid w:val="00812B30"/>
    <w:rsid w:val="00836222"/>
    <w:rsid w:val="008A1235"/>
    <w:rsid w:val="008C7D3C"/>
    <w:rsid w:val="008E41BB"/>
    <w:rsid w:val="008F689E"/>
    <w:rsid w:val="00902DE3"/>
    <w:rsid w:val="0090431D"/>
    <w:rsid w:val="00904D6F"/>
    <w:rsid w:val="00914FD5"/>
    <w:rsid w:val="009220A8"/>
    <w:rsid w:val="00935B21"/>
    <w:rsid w:val="009459B8"/>
    <w:rsid w:val="00946D35"/>
    <w:rsid w:val="00964F62"/>
    <w:rsid w:val="009B455E"/>
    <w:rsid w:val="009B48BB"/>
    <w:rsid w:val="009B5AE7"/>
    <w:rsid w:val="009D685B"/>
    <w:rsid w:val="00A22C25"/>
    <w:rsid w:val="00A43361"/>
    <w:rsid w:val="00A46214"/>
    <w:rsid w:val="00A47E8A"/>
    <w:rsid w:val="00A718F9"/>
    <w:rsid w:val="00A73B1B"/>
    <w:rsid w:val="00A8720E"/>
    <w:rsid w:val="00AD7736"/>
    <w:rsid w:val="00AE4028"/>
    <w:rsid w:val="00AF52DB"/>
    <w:rsid w:val="00B3741A"/>
    <w:rsid w:val="00BB65AC"/>
    <w:rsid w:val="00BC1F50"/>
    <w:rsid w:val="00BC22A3"/>
    <w:rsid w:val="00BC4474"/>
    <w:rsid w:val="00C15DFA"/>
    <w:rsid w:val="00C23937"/>
    <w:rsid w:val="00C31040"/>
    <w:rsid w:val="00C37A81"/>
    <w:rsid w:val="00C51FB5"/>
    <w:rsid w:val="00D24DE0"/>
    <w:rsid w:val="00D278D9"/>
    <w:rsid w:val="00D33412"/>
    <w:rsid w:val="00D75D54"/>
    <w:rsid w:val="00D94F41"/>
    <w:rsid w:val="00DC448D"/>
    <w:rsid w:val="00DD6170"/>
    <w:rsid w:val="00DE1B7B"/>
    <w:rsid w:val="00E10684"/>
    <w:rsid w:val="00E26467"/>
    <w:rsid w:val="00E35375"/>
    <w:rsid w:val="00E8326A"/>
    <w:rsid w:val="00EC0453"/>
    <w:rsid w:val="00EC3A39"/>
    <w:rsid w:val="00ED1B5D"/>
    <w:rsid w:val="00EF70A4"/>
    <w:rsid w:val="00F34B23"/>
    <w:rsid w:val="00F877AB"/>
    <w:rsid w:val="00FA32E5"/>
    <w:rsid w:val="00FB6805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832"/>
    <w:rPr>
      <w:color w:val="8C290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9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D5B"/>
  </w:style>
  <w:style w:type="paragraph" w:styleId="Footer">
    <w:name w:val="footer"/>
    <w:basedOn w:val="Normal"/>
    <w:link w:val="FooterChar"/>
    <w:uiPriority w:val="99"/>
    <w:semiHidden/>
    <w:unhideWhenUsed/>
    <w:rsid w:val="000D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832"/>
    <w:rPr>
      <w:color w:val="8C290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9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214">
                  <w:marLeft w:val="0"/>
                  <w:marRight w:val="0"/>
                  <w:marTop w:val="0"/>
                  <w:marBottom w:val="0"/>
                  <w:divBdr>
                    <w:top w:val="single" w:sz="6" w:space="0" w:color="518215"/>
                    <w:left w:val="single" w:sz="6" w:space="0" w:color="518215"/>
                    <w:bottom w:val="single" w:sz="6" w:space="0" w:color="518215"/>
                    <w:right w:val="single" w:sz="6" w:space="0" w:color="518215"/>
                  </w:divBdr>
                  <w:divsChild>
                    <w:div w:id="64693140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2471">
                                      <w:blockQuote w:val="1"/>
                                      <w:marLeft w:val="72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Baucal Rajic</dc:creator>
  <cp:lastModifiedBy>jovan</cp:lastModifiedBy>
  <cp:revision>2</cp:revision>
  <cp:lastPrinted>2014-12-11T12:44:00Z</cp:lastPrinted>
  <dcterms:created xsi:type="dcterms:W3CDTF">2014-12-11T15:49:00Z</dcterms:created>
  <dcterms:modified xsi:type="dcterms:W3CDTF">2014-12-11T15:49:00Z</dcterms:modified>
</cp:coreProperties>
</file>