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8" w:rsidRPr="00353068" w:rsidRDefault="00F2005E" w:rsidP="002378B2">
      <w:pPr>
        <w:tabs>
          <w:tab w:val="left" w:pos="540"/>
          <w:tab w:val="left" w:pos="7830"/>
        </w:tabs>
        <w:spacing w:before="150" w:after="150" w:line="240" w:lineRule="auto"/>
        <w:ind w:righ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83/14)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 –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481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44/14), </w:t>
      </w:r>
    </w:p>
    <w:p w:rsidR="002378B2" w:rsidRPr="00353068" w:rsidRDefault="002378B2" w:rsidP="002378B2">
      <w:pPr>
        <w:tabs>
          <w:tab w:val="left" w:pos="540"/>
          <w:tab w:val="left" w:pos="7830"/>
        </w:tabs>
        <w:spacing w:before="150" w:after="150" w:line="240" w:lineRule="auto"/>
        <w:ind w:righ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F2005E" w:rsidP="002378B2">
      <w:pPr>
        <w:tabs>
          <w:tab w:val="left" w:pos="540"/>
          <w:tab w:val="left" w:pos="7830"/>
        </w:tabs>
        <w:spacing w:before="150" w:after="150" w:line="240" w:lineRule="auto"/>
        <w:ind w:righ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2378B2" w:rsidRPr="00353068" w:rsidRDefault="002378B2" w:rsidP="002378B2">
      <w:pPr>
        <w:tabs>
          <w:tab w:val="left" w:pos="540"/>
          <w:tab w:val="left" w:pos="7830"/>
        </w:tabs>
        <w:spacing w:before="150" w:after="150" w:line="240" w:lineRule="auto"/>
        <w:ind w:righ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F200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B61EE7" w:rsidRPr="00353068" w:rsidRDefault="00B61EE7" w:rsidP="00F200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33F20" w:rsidP="00F200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METODOM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</w:p>
    <w:p w:rsidR="00333F20" w:rsidRPr="00353068" w:rsidRDefault="00333F20" w:rsidP="000D017A">
      <w:pPr>
        <w:spacing w:before="150" w:after="15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333F20" w:rsidRPr="00353068" w:rsidRDefault="00333F20" w:rsidP="000D017A">
      <w:pPr>
        <w:spacing w:before="150" w:after="15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2005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UVODNE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33F20" w:rsidRPr="00353068" w:rsidRDefault="00353068" w:rsidP="000D017A">
      <w:pPr>
        <w:spacing w:before="150" w:after="15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Predmet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 </w:t>
      </w:r>
    </w:p>
    <w:p w:rsidR="00753676" w:rsidRPr="00353068" w:rsidRDefault="00353068" w:rsidP="00753676">
      <w:pPr>
        <w:spacing w:before="150" w:after="15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333F20" w:rsidRPr="00353068" w:rsidRDefault="00353068" w:rsidP="005B3083">
      <w:pPr>
        <w:spacing w:after="0" w:line="240" w:lineRule="auto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F2005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5B3083" w:rsidP="005B3083">
      <w:pPr>
        <w:pStyle w:val="Normal1"/>
        <w:spacing w:before="0" w:beforeAutospacing="0" w:after="0" w:afterAutospacing="0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iskazan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akcijama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udelima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5B3083">
      <w:pPr>
        <w:pStyle w:val="Normal1"/>
        <w:spacing w:before="0" w:beforeAutospacing="0" w:after="0" w:afterAutospacing="0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5B3083">
      <w:pPr>
        <w:pStyle w:val="Normal1"/>
        <w:spacing w:before="0" w:beforeAutospacing="0" w:after="0" w:afterAutospacing="0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raskinut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752F96">
      <w:pPr>
        <w:pStyle w:val="Normal1"/>
        <w:tabs>
          <w:tab w:val="left" w:pos="810"/>
        </w:tabs>
        <w:spacing w:before="0" w:beforeAutospacing="0" w:after="0" w:afterAutospacing="0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5B308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752F9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akcijama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udelima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52F96" w:rsidRPr="00353068" w:rsidRDefault="00752F96" w:rsidP="00752F96">
      <w:pPr>
        <w:pStyle w:val="Normal1"/>
        <w:tabs>
          <w:tab w:val="left" w:pos="810"/>
        </w:tabs>
        <w:spacing w:before="0" w:beforeAutospacing="0" w:after="0" w:afterAutospacing="0"/>
        <w:ind w:right="-187"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52F96" w:rsidRPr="00353068" w:rsidRDefault="00333F20" w:rsidP="00E817A1">
      <w:pPr>
        <w:tabs>
          <w:tab w:val="left" w:pos="4320"/>
        </w:tabs>
        <w:spacing w:after="0"/>
        <w:ind w:right="270"/>
        <w:jc w:val="center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  <w:r w:rsidR="00752F9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USLOVI</w:t>
      </w:r>
      <w:r w:rsidR="005B0ED8" w:rsidRP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ZA</w:t>
      </w:r>
      <w:r w:rsidR="005B0ED8" w:rsidRP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SPROVOĐENJE</w:t>
      </w:r>
      <w:r w:rsidR="005B0ED8" w:rsidRP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POSTUPKA</w:t>
      </w:r>
    </w:p>
    <w:p w:rsidR="00E817A1" w:rsidRPr="00353068" w:rsidRDefault="00E817A1" w:rsidP="00E817A1">
      <w:pPr>
        <w:tabs>
          <w:tab w:val="left" w:pos="4320"/>
        </w:tabs>
        <w:spacing w:after="0"/>
        <w:ind w:right="270"/>
        <w:jc w:val="center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</w:p>
    <w:p w:rsidR="00333F20" w:rsidRPr="00353068" w:rsidRDefault="00353068" w:rsidP="00753676">
      <w:pPr>
        <w:spacing w:after="0"/>
        <w:ind w:right="2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753676" w:rsidRPr="00353068" w:rsidRDefault="00753676" w:rsidP="00753676">
      <w:pPr>
        <w:spacing w:after="0"/>
        <w:ind w:right="2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753676">
      <w:pPr>
        <w:tabs>
          <w:tab w:val="left" w:pos="9360"/>
        </w:tabs>
        <w:spacing w:after="0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="00781B9B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1B9B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781B9B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781B9B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81B9B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/>
        <w:ind w:right="270" w:firstLine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Priprema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postupka</w:t>
      </w:r>
    </w:p>
    <w:p w:rsidR="00753676" w:rsidRPr="00353068" w:rsidRDefault="00753676" w:rsidP="0002434A">
      <w:pPr>
        <w:spacing w:after="0"/>
        <w:ind w:right="270" w:firstLine="720"/>
        <w:jc w:val="center"/>
        <w:rPr>
          <w:rFonts w:ascii="Times New Roman" w:hAnsi="Times New Roman" w:cs="Times New Roman"/>
          <w:i/>
          <w:iCs/>
          <w:cap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ind w:right="2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33F20" w:rsidRPr="00353068" w:rsidRDefault="00333F20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650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83CBA" w:rsidRPr="00353068" w:rsidRDefault="00C83CBA" w:rsidP="00553FA7">
      <w:pPr>
        <w:spacing w:before="150" w:after="15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Prodajna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dokumentacija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333F20" w:rsidRPr="00353068" w:rsidRDefault="00353068" w:rsidP="0002434A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čini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</w:t>
      </w:r>
    </w:p>
    <w:p w:rsidR="00333F20" w:rsidRPr="00353068" w:rsidRDefault="00353068" w:rsidP="0002434A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ugovor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čuvanju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poverljivih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podataka</w:t>
      </w:r>
      <w:r w:rsidR="00333F20" w:rsidRPr="00353068">
        <w:rPr>
          <w:noProof/>
          <w:kern w:val="36"/>
        </w:rPr>
        <w:t>;</w:t>
      </w:r>
    </w:p>
    <w:p w:rsidR="00333F20" w:rsidRPr="00353068" w:rsidRDefault="00353068" w:rsidP="0002434A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uputstvo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ponuđače</w:t>
      </w:r>
      <w:r w:rsidR="00333F20" w:rsidRPr="00353068">
        <w:rPr>
          <w:noProof/>
          <w:kern w:val="36"/>
        </w:rPr>
        <w:t>;</w:t>
      </w:r>
    </w:p>
    <w:p w:rsidR="00333F20" w:rsidRPr="00353068" w:rsidRDefault="00353068" w:rsidP="0002434A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obrazac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prijave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učestvovanje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333F20" w:rsidRPr="00353068">
        <w:rPr>
          <w:noProof/>
          <w:kern w:val="36"/>
        </w:rPr>
        <w:t>;</w:t>
      </w:r>
    </w:p>
    <w:p w:rsidR="00333F20" w:rsidRPr="00353068" w:rsidRDefault="00353068" w:rsidP="0002434A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nacrt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ugovora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333F20" w:rsidRPr="00353068">
        <w:rPr>
          <w:noProof/>
          <w:kern w:val="36"/>
        </w:rPr>
        <w:t>.</w:t>
      </w:r>
    </w:p>
    <w:p w:rsidR="00333F20" w:rsidRPr="00353068" w:rsidRDefault="00353068" w:rsidP="0002434A">
      <w:pPr>
        <w:spacing w:after="0"/>
        <w:ind w:firstLine="54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Pored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čini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privatizaciona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</w:t>
      </w:r>
    </w:p>
    <w:p w:rsidR="00333F20" w:rsidRPr="00353068" w:rsidRDefault="00353068" w:rsidP="0002434A">
      <w:pPr>
        <w:pStyle w:val="ListParagraph"/>
        <w:numPr>
          <w:ilvl w:val="0"/>
          <w:numId w:val="5"/>
        </w:numPr>
        <w:jc w:val="both"/>
        <w:rPr>
          <w:noProof/>
          <w:kern w:val="36"/>
        </w:rPr>
      </w:pPr>
      <w:r>
        <w:rPr>
          <w:noProof/>
          <w:kern w:val="36"/>
        </w:rPr>
        <w:t>u</w:t>
      </w:r>
      <w:r w:rsidR="00665095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333F20" w:rsidRPr="00353068">
        <w:rPr>
          <w:noProof/>
          <w:kern w:val="36"/>
        </w:rPr>
        <w:t>:</w:t>
      </w:r>
    </w:p>
    <w:p w:rsidR="00333F20" w:rsidRPr="00353068" w:rsidRDefault="00353068" w:rsidP="00665095">
      <w:pPr>
        <w:pStyle w:val="ListParagraph"/>
        <w:numPr>
          <w:ilvl w:val="0"/>
          <w:numId w:val="7"/>
        </w:numPr>
        <w:tabs>
          <w:tab w:val="left" w:pos="990"/>
        </w:tabs>
        <w:ind w:left="630" w:hanging="90"/>
        <w:jc w:val="both"/>
        <w:rPr>
          <w:noProof/>
        </w:rPr>
      </w:pPr>
      <w:r>
        <w:rPr>
          <w:noProof/>
        </w:rPr>
        <w:t>osnovne</w:t>
      </w:r>
      <w:r w:rsidR="00333F20" w:rsidRPr="00353068">
        <w:rPr>
          <w:noProof/>
        </w:rPr>
        <w:t xml:space="preserve"> </w:t>
      </w:r>
      <w:r>
        <w:rPr>
          <w:noProof/>
        </w:rPr>
        <w:t>podatke</w:t>
      </w:r>
      <w:r w:rsidR="00333F20" w:rsidRPr="00353068">
        <w:rPr>
          <w:noProof/>
        </w:rPr>
        <w:t xml:space="preserve"> </w:t>
      </w:r>
      <w:r>
        <w:rPr>
          <w:noProof/>
        </w:rPr>
        <w:t>o</w:t>
      </w:r>
      <w:r w:rsidR="00333F20" w:rsidRPr="00353068">
        <w:rPr>
          <w:noProof/>
        </w:rPr>
        <w:t xml:space="preserve"> </w:t>
      </w:r>
      <w:r>
        <w:rPr>
          <w:noProof/>
        </w:rPr>
        <w:t>subjektu</w:t>
      </w:r>
      <w:r w:rsidR="00333F20" w:rsidRPr="00353068">
        <w:rPr>
          <w:noProof/>
        </w:rPr>
        <w:t xml:space="preserve"> </w:t>
      </w:r>
      <w:r>
        <w:rPr>
          <w:noProof/>
        </w:rPr>
        <w:t>privatizacije</w:t>
      </w:r>
      <w:r w:rsidR="00333F20" w:rsidRPr="00353068">
        <w:rPr>
          <w:noProof/>
        </w:rPr>
        <w:t>;</w:t>
      </w:r>
    </w:p>
    <w:p w:rsidR="00333F20" w:rsidRPr="00353068" w:rsidRDefault="00353068" w:rsidP="00665095">
      <w:pPr>
        <w:pStyle w:val="ListParagraph"/>
        <w:numPr>
          <w:ilvl w:val="0"/>
          <w:numId w:val="7"/>
        </w:numPr>
        <w:tabs>
          <w:tab w:val="left" w:pos="990"/>
        </w:tabs>
        <w:ind w:left="630" w:hanging="90"/>
        <w:jc w:val="both"/>
        <w:rPr>
          <w:noProof/>
        </w:rPr>
      </w:pPr>
      <w:r>
        <w:rPr>
          <w:noProof/>
        </w:rPr>
        <w:t>podatke</w:t>
      </w:r>
      <w:r w:rsidR="00333F20" w:rsidRPr="00353068">
        <w:rPr>
          <w:noProof/>
        </w:rPr>
        <w:t xml:space="preserve"> </w:t>
      </w:r>
      <w:r>
        <w:rPr>
          <w:noProof/>
        </w:rPr>
        <w:t>o</w:t>
      </w:r>
      <w:r w:rsidR="00333F20" w:rsidRPr="00353068">
        <w:rPr>
          <w:noProof/>
        </w:rPr>
        <w:t xml:space="preserve"> </w:t>
      </w:r>
      <w:r>
        <w:rPr>
          <w:noProof/>
        </w:rPr>
        <w:t>stanju</w:t>
      </w:r>
      <w:r w:rsidR="00333F20" w:rsidRPr="00353068">
        <w:rPr>
          <w:noProof/>
        </w:rPr>
        <w:t xml:space="preserve"> </w:t>
      </w:r>
      <w:r>
        <w:rPr>
          <w:noProof/>
        </w:rPr>
        <w:t>sredstava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obaveza</w:t>
      </w:r>
      <w:r w:rsidR="00333F20" w:rsidRPr="00353068">
        <w:rPr>
          <w:noProof/>
        </w:rPr>
        <w:t xml:space="preserve"> (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nepokretnosti</w:t>
      </w:r>
      <w:r w:rsidR="00333F20" w:rsidRPr="00353068">
        <w:rPr>
          <w:noProof/>
        </w:rPr>
        <w:t xml:space="preserve">,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najvažnije</w:t>
      </w:r>
      <w:r w:rsidR="00333F20" w:rsidRPr="00353068">
        <w:rPr>
          <w:noProof/>
        </w:rPr>
        <w:t xml:space="preserve"> </w:t>
      </w:r>
      <w:r>
        <w:rPr>
          <w:noProof/>
        </w:rPr>
        <w:t>opreme</w:t>
      </w:r>
      <w:r w:rsidR="00333F20" w:rsidRPr="00353068">
        <w:rPr>
          <w:noProof/>
        </w:rPr>
        <w:t xml:space="preserve">,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imovine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potraživanja</w:t>
      </w:r>
      <w:r w:rsidR="00333F20" w:rsidRPr="00353068">
        <w:rPr>
          <w:noProof/>
        </w:rPr>
        <w:t xml:space="preserve"> </w:t>
      </w:r>
      <w:r>
        <w:rPr>
          <w:noProof/>
        </w:rPr>
        <w:t>koja</w:t>
      </w:r>
      <w:r w:rsidR="00333F20" w:rsidRPr="00353068">
        <w:rPr>
          <w:noProof/>
        </w:rPr>
        <w:t xml:space="preserve"> </w:t>
      </w:r>
      <w:r>
        <w:rPr>
          <w:noProof/>
        </w:rPr>
        <w:t>su</w:t>
      </w:r>
      <w:r w:rsidR="00333F20" w:rsidRPr="00353068">
        <w:rPr>
          <w:noProof/>
        </w:rPr>
        <w:t xml:space="preserve"> </w:t>
      </w:r>
      <w:r>
        <w:rPr>
          <w:noProof/>
        </w:rPr>
        <w:t>predmet</w:t>
      </w:r>
      <w:r w:rsidR="00333F20" w:rsidRPr="00353068">
        <w:rPr>
          <w:noProof/>
        </w:rPr>
        <w:t xml:space="preserve"> </w:t>
      </w:r>
      <w:r>
        <w:rPr>
          <w:noProof/>
        </w:rPr>
        <w:t>sudskih</w:t>
      </w:r>
      <w:r w:rsidR="00333F20" w:rsidRPr="00353068">
        <w:rPr>
          <w:noProof/>
        </w:rPr>
        <w:t xml:space="preserve"> </w:t>
      </w:r>
      <w:r>
        <w:rPr>
          <w:noProof/>
        </w:rPr>
        <w:t>sporova</w:t>
      </w:r>
      <w:r w:rsidR="00333F20" w:rsidRPr="00353068">
        <w:rPr>
          <w:noProof/>
        </w:rPr>
        <w:t xml:space="preserve"> </w:t>
      </w:r>
      <w:r>
        <w:rPr>
          <w:noProof/>
        </w:rPr>
        <w:t>sa</w:t>
      </w:r>
      <w:r w:rsidR="00333F20" w:rsidRPr="00353068">
        <w:rPr>
          <w:noProof/>
        </w:rPr>
        <w:t xml:space="preserve"> </w:t>
      </w:r>
      <w:r>
        <w:rPr>
          <w:noProof/>
        </w:rPr>
        <w:t>iznosom</w:t>
      </w:r>
      <w:r w:rsidR="00333F20" w:rsidRPr="00353068">
        <w:rPr>
          <w:noProof/>
        </w:rPr>
        <w:t xml:space="preserve"> </w:t>
      </w:r>
      <w:r>
        <w:rPr>
          <w:noProof/>
        </w:rPr>
        <w:t>vrednosti</w:t>
      </w:r>
      <w:r w:rsidR="00333F20" w:rsidRPr="00353068">
        <w:rPr>
          <w:noProof/>
        </w:rPr>
        <w:t xml:space="preserve"> </w:t>
      </w:r>
      <w:r>
        <w:rPr>
          <w:noProof/>
        </w:rPr>
        <w:t>sporova</w:t>
      </w:r>
      <w:r w:rsidR="00333F20" w:rsidRPr="00353068">
        <w:rPr>
          <w:noProof/>
        </w:rPr>
        <w:t xml:space="preserve">,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obaveza</w:t>
      </w:r>
      <w:r w:rsidR="00333F20" w:rsidRPr="00353068">
        <w:rPr>
          <w:noProof/>
        </w:rPr>
        <w:t xml:space="preserve"> </w:t>
      </w:r>
      <w:r>
        <w:rPr>
          <w:noProof/>
        </w:rPr>
        <w:t>koje</w:t>
      </w:r>
      <w:r w:rsidR="00333F20" w:rsidRPr="00353068">
        <w:rPr>
          <w:noProof/>
        </w:rPr>
        <w:t xml:space="preserve"> </w:t>
      </w:r>
      <w:r>
        <w:rPr>
          <w:noProof/>
        </w:rPr>
        <w:t>su</w:t>
      </w:r>
      <w:r w:rsidR="00333F20" w:rsidRPr="00353068">
        <w:rPr>
          <w:noProof/>
        </w:rPr>
        <w:t xml:space="preserve"> </w:t>
      </w:r>
      <w:r>
        <w:rPr>
          <w:noProof/>
        </w:rPr>
        <w:t>predmet</w:t>
      </w:r>
      <w:r w:rsidR="00333F20" w:rsidRPr="00353068">
        <w:rPr>
          <w:noProof/>
        </w:rPr>
        <w:t xml:space="preserve"> </w:t>
      </w:r>
      <w:r>
        <w:rPr>
          <w:noProof/>
        </w:rPr>
        <w:t>sudskih</w:t>
      </w:r>
      <w:r w:rsidR="00333F20" w:rsidRPr="00353068">
        <w:rPr>
          <w:noProof/>
        </w:rPr>
        <w:t xml:space="preserve"> </w:t>
      </w:r>
      <w:r>
        <w:rPr>
          <w:noProof/>
        </w:rPr>
        <w:t>sporova</w:t>
      </w:r>
      <w:r w:rsidR="00333F20" w:rsidRPr="00353068">
        <w:rPr>
          <w:noProof/>
        </w:rPr>
        <w:t xml:space="preserve"> </w:t>
      </w:r>
      <w:r>
        <w:rPr>
          <w:noProof/>
        </w:rPr>
        <w:t>sa</w:t>
      </w:r>
      <w:r w:rsidR="00333F20" w:rsidRPr="00353068">
        <w:rPr>
          <w:noProof/>
        </w:rPr>
        <w:t xml:space="preserve"> </w:t>
      </w:r>
      <w:r>
        <w:rPr>
          <w:noProof/>
        </w:rPr>
        <w:t>iznosom</w:t>
      </w:r>
      <w:r w:rsidR="00333F20" w:rsidRPr="00353068">
        <w:rPr>
          <w:noProof/>
        </w:rPr>
        <w:t xml:space="preserve"> </w:t>
      </w:r>
      <w:r>
        <w:rPr>
          <w:noProof/>
        </w:rPr>
        <w:t>vrednosti</w:t>
      </w:r>
      <w:r w:rsidR="00333F20" w:rsidRPr="00353068">
        <w:rPr>
          <w:noProof/>
        </w:rPr>
        <w:t xml:space="preserve"> </w:t>
      </w:r>
      <w:r>
        <w:rPr>
          <w:noProof/>
        </w:rPr>
        <w:t>sporova</w:t>
      </w:r>
      <w:r w:rsidR="00333F20" w:rsidRPr="00353068">
        <w:rPr>
          <w:noProof/>
        </w:rPr>
        <w:t xml:space="preserve">,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imovine</w:t>
      </w:r>
      <w:r w:rsidR="00333F20" w:rsidRPr="00353068">
        <w:rPr>
          <w:noProof/>
        </w:rPr>
        <w:t xml:space="preserve"> </w:t>
      </w:r>
      <w:r>
        <w:rPr>
          <w:noProof/>
        </w:rPr>
        <w:t>koja</w:t>
      </w:r>
      <w:r w:rsidR="00333F20" w:rsidRPr="00353068">
        <w:rPr>
          <w:noProof/>
        </w:rPr>
        <w:t xml:space="preserve"> </w:t>
      </w:r>
      <w:r>
        <w:rPr>
          <w:noProof/>
        </w:rPr>
        <w:t>je</w:t>
      </w:r>
      <w:r w:rsidR="00333F20" w:rsidRPr="00353068">
        <w:rPr>
          <w:noProof/>
        </w:rPr>
        <w:t xml:space="preserve"> </w:t>
      </w:r>
      <w:r>
        <w:rPr>
          <w:noProof/>
        </w:rPr>
        <w:t>pod</w:t>
      </w:r>
      <w:r w:rsidR="00333F20" w:rsidRPr="00353068">
        <w:rPr>
          <w:noProof/>
        </w:rPr>
        <w:t xml:space="preserve"> </w:t>
      </w:r>
      <w:r>
        <w:rPr>
          <w:noProof/>
        </w:rPr>
        <w:t>hipotekom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imovine</w:t>
      </w:r>
      <w:r w:rsidR="00333F20" w:rsidRPr="00353068">
        <w:rPr>
          <w:noProof/>
        </w:rPr>
        <w:t xml:space="preserve"> </w:t>
      </w:r>
      <w:r>
        <w:rPr>
          <w:noProof/>
        </w:rPr>
        <w:t>drugih</w:t>
      </w:r>
      <w:r w:rsidR="00333F20" w:rsidRPr="00353068">
        <w:rPr>
          <w:noProof/>
        </w:rPr>
        <w:t xml:space="preserve"> </w:t>
      </w:r>
      <w:r>
        <w:rPr>
          <w:noProof/>
        </w:rPr>
        <w:t>pravnih</w:t>
      </w:r>
      <w:r w:rsidR="00333F20" w:rsidRPr="00353068">
        <w:rPr>
          <w:noProof/>
        </w:rPr>
        <w:t xml:space="preserve"> </w:t>
      </w:r>
      <w:r>
        <w:rPr>
          <w:noProof/>
        </w:rPr>
        <w:t>lica</w:t>
      </w:r>
      <w:r w:rsidR="00333F20" w:rsidRPr="00353068">
        <w:rPr>
          <w:noProof/>
        </w:rPr>
        <w:t xml:space="preserve"> </w:t>
      </w:r>
      <w:r>
        <w:rPr>
          <w:noProof/>
        </w:rPr>
        <w:t>nad</w:t>
      </w:r>
      <w:r w:rsidR="00333F20" w:rsidRPr="00353068">
        <w:rPr>
          <w:noProof/>
        </w:rPr>
        <w:t xml:space="preserve"> </w:t>
      </w:r>
      <w:r>
        <w:rPr>
          <w:noProof/>
        </w:rPr>
        <w:t>kojima</w:t>
      </w:r>
      <w:r w:rsidR="00333F20" w:rsidRPr="00353068">
        <w:rPr>
          <w:noProof/>
        </w:rPr>
        <w:t xml:space="preserve"> </w:t>
      </w:r>
      <w:r>
        <w:rPr>
          <w:noProof/>
        </w:rPr>
        <w:t>subjekt</w:t>
      </w:r>
      <w:r w:rsidR="00333F20" w:rsidRPr="00353068">
        <w:rPr>
          <w:noProof/>
        </w:rPr>
        <w:t xml:space="preserve"> </w:t>
      </w:r>
      <w:r>
        <w:rPr>
          <w:noProof/>
        </w:rPr>
        <w:t>privatizacije</w:t>
      </w:r>
      <w:r w:rsidR="00333F20" w:rsidRPr="00353068">
        <w:rPr>
          <w:noProof/>
        </w:rPr>
        <w:t xml:space="preserve"> </w:t>
      </w:r>
      <w:r>
        <w:rPr>
          <w:noProof/>
        </w:rPr>
        <w:t>ima</w:t>
      </w:r>
      <w:r w:rsidR="00333F20" w:rsidRPr="00353068">
        <w:rPr>
          <w:noProof/>
        </w:rPr>
        <w:t xml:space="preserve"> </w:t>
      </w:r>
      <w:r>
        <w:rPr>
          <w:noProof/>
        </w:rPr>
        <w:t>hipoteku</w:t>
      </w:r>
      <w:r w:rsidR="00333F20" w:rsidRPr="00353068">
        <w:rPr>
          <w:noProof/>
        </w:rPr>
        <w:t>);</w:t>
      </w:r>
    </w:p>
    <w:p w:rsidR="00333F20" w:rsidRPr="00353068" w:rsidRDefault="00353068" w:rsidP="00EA1105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ind w:left="0" w:firstLine="630"/>
        <w:jc w:val="both"/>
        <w:rPr>
          <w:noProof/>
        </w:rPr>
      </w:pPr>
      <w:r>
        <w:rPr>
          <w:noProof/>
        </w:rPr>
        <w:t>analizu</w:t>
      </w:r>
      <w:r w:rsidR="00333F20" w:rsidRPr="00353068">
        <w:rPr>
          <w:noProof/>
        </w:rPr>
        <w:t xml:space="preserve"> </w:t>
      </w:r>
      <w:r>
        <w:rPr>
          <w:noProof/>
        </w:rPr>
        <w:t>dosadašnjeg</w:t>
      </w:r>
      <w:r w:rsidR="00333F20" w:rsidRPr="00353068">
        <w:rPr>
          <w:noProof/>
        </w:rPr>
        <w:t xml:space="preserve"> </w:t>
      </w:r>
      <w:r>
        <w:rPr>
          <w:noProof/>
        </w:rPr>
        <w:t>poslovanja</w:t>
      </w:r>
      <w:r w:rsidR="00333F20" w:rsidRPr="00353068">
        <w:rPr>
          <w:noProof/>
        </w:rPr>
        <w:t xml:space="preserve"> </w:t>
      </w:r>
      <w:r>
        <w:rPr>
          <w:noProof/>
        </w:rPr>
        <w:t>subjekta</w:t>
      </w:r>
      <w:r w:rsidR="00333F20" w:rsidRPr="00353068">
        <w:rPr>
          <w:noProof/>
        </w:rPr>
        <w:t xml:space="preserve"> </w:t>
      </w:r>
      <w:r>
        <w:rPr>
          <w:noProof/>
        </w:rPr>
        <w:t>privatizacije</w:t>
      </w:r>
      <w:r w:rsidR="00333F20" w:rsidRPr="00353068">
        <w:rPr>
          <w:noProof/>
        </w:rPr>
        <w:t xml:space="preserve"> (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organizacione</w:t>
      </w:r>
      <w:r w:rsidR="00333F20" w:rsidRPr="00353068">
        <w:rPr>
          <w:noProof/>
        </w:rPr>
        <w:t xml:space="preserve"> </w:t>
      </w:r>
      <w:r>
        <w:rPr>
          <w:noProof/>
        </w:rPr>
        <w:t>strukture</w:t>
      </w:r>
      <w:r w:rsidR="00333F20" w:rsidRPr="00353068">
        <w:rPr>
          <w:noProof/>
        </w:rPr>
        <w:t xml:space="preserve"> </w:t>
      </w:r>
      <w:r>
        <w:rPr>
          <w:noProof/>
        </w:rPr>
        <w:t>sa</w:t>
      </w:r>
      <w:r w:rsidR="00333F20" w:rsidRPr="00353068">
        <w:rPr>
          <w:noProof/>
        </w:rPr>
        <w:t xml:space="preserve"> </w:t>
      </w:r>
      <w:r>
        <w:rPr>
          <w:noProof/>
        </w:rPr>
        <w:t>brojem</w:t>
      </w:r>
      <w:r w:rsidR="00333F20" w:rsidRPr="00353068">
        <w:rPr>
          <w:noProof/>
        </w:rPr>
        <w:t xml:space="preserve"> </w:t>
      </w:r>
      <w:r>
        <w:rPr>
          <w:noProof/>
        </w:rPr>
        <w:t>zaposlenih</w:t>
      </w:r>
      <w:r w:rsidR="00333F20" w:rsidRPr="00353068">
        <w:rPr>
          <w:noProof/>
        </w:rPr>
        <w:t xml:space="preserve">, </w:t>
      </w:r>
      <w:r>
        <w:rPr>
          <w:noProof/>
        </w:rPr>
        <w:t>starosnom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kvalifikacionom</w:t>
      </w:r>
      <w:r w:rsidR="00333F20" w:rsidRPr="00353068">
        <w:rPr>
          <w:noProof/>
        </w:rPr>
        <w:t xml:space="preserve"> </w:t>
      </w:r>
      <w:r>
        <w:rPr>
          <w:noProof/>
        </w:rPr>
        <w:t>strukturom</w:t>
      </w:r>
      <w:r w:rsidR="00333F20" w:rsidRPr="00353068">
        <w:rPr>
          <w:noProof/>
        </w:rPr>
        <w:t xml:space="preserve">,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ukupnog</w:t>
      </w:r>
      <w:r w:rsidR="00333F20" w:rsidRPr="00353068">
        <w:rPr>
          <w:noProof/>
        </w:rPr>
        <w:t xml:space="preserve"> </w:t>
      </w:r>
      <w:r>
        <w:rPr>
          <w:noProof/>
        </w:rPr>
        <w:t>prihoda</w:t>
      </w:r>
      <w:r w:rsidR="00333F20" w:rsidRPr="00353068">
        <w:rPr>
          <w:noProof/>
        </w:rPr>
        <w:t xml:space="preserve"> </w:t>
      </w:r>
      <w:r>
        <w:rPr>
          <w:noProof/>
        </w:rPr>
        <w:t>po</w:t>
      </w:r>
      <w:r w:rsidR="00333F20" w:rsidRPr="00353068">
        <w:rPr>
          <w:noProof/>
        </w:rPr>
        <w:t xml:space="preserve"> </w:t>
      </w:r>
      <w:r>
        <w:rPr>
          <w:noProof/>
        </w:rPr>
        <w:t>osnovnim</w:t>
      </w:r>
      <w:r w:rsidR="00333F20" w:rsidRPr="00353068">
        <w:rPr>
          <w:noProof/>
        </w:rPr>
        <w:t xml:space="preserve"> </w:t>
      </w:r>
      <w:r>
        <w:rPr>
          <w:noProof/>
        </w:rPr>
        <w:t>vrstama</w:t>
      </w:r>
      <w:r w:rsidR="00333F20" w:rsidRPr="00353068">
        <w:rPr>
          <w:noProof/>
        </w:rPr>
        <w:t xml:space="preserve"> </w:t>
      </w:r>
      <w:r>
        <w:rPr>
          <w:noProof/>
        </w:rPr>
        <w:t>proizvoda</w:t>
      </w:r>
      <w:r w:rsidR="00333F20" w:rsidRPr="00353068">
        <w:rPr>
          <w:noProof/>
        </w:rPr>
        <w:t xml:space="preserve">, </w:t>
      </w:r>
      <w:r>
        <w:rPr>
          <w:noProof/>
        </w:rPr>
        <w:t>odnosno</w:t>
      </w:r>
      <w:r w:rsidR="00333F20" w:rsidRPr="00353068">
        <w:rPr>
          <w:noProof/>
        </w:rPr>
        <w:t xml:space="preserve"> </w:t>
      </w:r>
      <w:r>
        <w:rPr>
          <w:noProof/>
        </w:rPr>
        <w:t>usluga</w:t>
      </w:r>
      <w:r w:rsidR="00333F20" w:rsidRPr="00353068">
        <w:rPr>
          <w:noProof/>
        </w:rPr>
        <w:t xml:space="preserve">, </w:t>
      </w:r>
      <w:r>
        <w:rPr>
          <w:noProof/>
        </w:rPr>
        <w:t>strukturi</w:t>
      </w:r>
      <w:r w:rsidR="00CA5D94" w:rsidRPr="00353068">
        <w:rPr>
          <w:noProof/>
        </w:rPr>
        <w:t xml:space="preserve"> </w:t>
      </w:r>
      <w:r>
        <w:rPr>
          <w:noProof/>
        </w:rPr>
        <w:t>tržišta</w:t>
      </w:r>
      <w:r w:rsidR="00CA5D94" w:rsidRPr="00353068">
        <w:rPr>
          <w:noProof/>
        </w:rPr>
        <w:t>,</w:t>
      </w:r>
      <w:r w:rsidR="00333F20" w:rsidRPr="00353068">
        <w:rPr>
          <w:noProof/>
        </w:rPr>
        <w:t xml:space="preserve"> </w:t>
      </w:r>
      <w:r>
        <w:rPr>
          <w:noProof/>
        </w:rPr>
        <w:t>pregled</w:t>
      </w:r>
      <w:r w:rsidR="00333F20" w:rsidRPr="00353068">
        <w:rPr>
          <w:noProof/>
        </w:rPr>
        <w:t xml:space="preserve"> </w:t>
      </w:r>
      <w:r>
        <w:rPr>
          <w:noProof/>
        </w:rPr>
        <w:t>troškova</w:t>
      </w:r>
      <w:r w:rsidR="00333F20" w:rsidRPr="00353068">
        <w:rPr>
          <w:noProof/>
        </w:rPr>
        <w:t xml:space="preserve"> </w:t>
      </w:r>
      <w:r>
        <w:rPr>
          <w:noProof/>
        </w:rPr>
        <w:t>poslovanja</w:t>
      </w:r>
      <w:r w:rsidR="00333F20" w:rsidRPr="00353068">
        <w:rPr>
          <w:noProof/>
        </w:rPr>
        <w:t>);</w:t>
      </w:r>
    </w:p>
    <w:p w:rsidR="00333F20" w:rsidRPr="00353068" w:rsidRDefault="00353068" w:rsidP="00EA1105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ind w:left="630" w:hanging="90"/>
        <w:jc w:val="both"/>
        <w:rPr>
          <w:noProof/>
        </w:rPr>
      </w:pPr>
      <w:r>
        <w:rPr>
          <w:noProof/>
        </w:rPr>
        <w:t>statusnu</w:t>
      </w:r>
      <w:r w:rsidR="00333F20" w:rsidRPr="00353068">
        <w:rPr>
          <w:noProof/>
        </w:rPr>
        <w:t xml:space="preserve"> </w:t>
      </w:r>
      <w:r>
        <w:rPr>
          <w:noProof/>
        </w:rPr>
        <w:t>dokumentaciju</w:t>
      </w:r>
      <w:r w:rsidR="00333F20" w:rsidRPr="00353068">
        <w:rPr>
          <w:noProof/>
        </w:rPr>
        <w:t>;</w:t>
      </w:r>
    </w:p>
    <w:p w:rsidR="00333F20" w:rsidRPr="00353068" w:rsidRDefault="00353068" w:rsidP="00665095">
      <w:pPr>
        <w:pStyle w:val="ListParagraph"/>
        <w:numPr>
          <w:ilvl w:val="0"/>
          <w:numId w:val="7"/>
        </w:numPr>
        <w:tabs>
          <w:tab w:val="left" w:pos="990"/>
        </w:tabs>
        <w:ind w:left="630" w:hanging="90"/>
        <w:jc w:val="both"/>
        <w:rPr>
          <w:noProof/>
        </w:rPr>
      </w:pPr>
      <w:r>
        <w:rPr>
          <w:noProof/>
        </w:rPr>
        <w:t>imovinsko</w:t>
      </w:r>
      <w:r w:rsidR="00333F20" w:rsidRPr="00353068">
        <w:rPr>
          <w:noProof/>
        </w:rPr>
        <w:t xml:space="preserve">- </w:t>
      </w:r>
      <w:r>
        <w:rPr>
          <w:noProof/>
        </w:rPr>
        <w:t>pravnu</w:t>
      </w:r>
      <w:r w:rsidR="00333F20" w:rsidRPr="00353068">
        <w:rPr>
          <w:noProof/>
        </w:rPr>
        <w:t xml:space="preserve"> </w:t>
      </w:r>
      <w:r>
        <w:rPr>
          <w:noProof/>
        </w:rPr>
        <w:t>dokumentaciju</w:t>
      </w:r>
      <w:r w:rsidR="00333F20" w:rsidRPr="00353068">
        <w:rPr>
          <w:noProof/>
        </w:rPr>
        <w:t>;</w:t>
      </w:r>
    </w:p>
    <w:p w:rsidR="00333F20" w:rsidRPr="00353068" w:rsidRDefault="00353068" w:rsidP="0090478F">
      <w:pPr>
        <w:pStyle w:val="ListParagraph"/>
        <w:numPr>
          <w:ilvl w:val="0"/>
          <w:numId w:val="7"/>
        </w:numPr>
        <w:tabs>
          <w:tab w:val="left" w:pos="630"/>
          <w:tab w:val="left" w:pos="990"/>
        </w:tabs>
        <w:ind w:left="0" w:firstLine="540"/>
        <w:jc w:val="both"/>
        <w:rPr>
          <w:noProof/>
        </w:rPr>
      </w:pPr>
      <w:r>
        <w:rPr>
          <w:noProof/>
        </w:rPr>
        <w:t>finansijske</w:t>
      </w:r>
      <w:r w:rsidR="00333F20" w:rsidRPr="00353068">
        <w:rPr>
          <w:noProof/>
        </w:rPr>
        <w:t xml:space="preserve"> </w:t>
      </w:r>
      <w:r>
        <w:rPr>
          <w:noProof/>
        </w:rPr>
        <w:t>izveštaje</w:t>
      </w:r>
      <w:r w:rsidR="00333F20" w:rsidRPr="00353068">
        <w:rPr>
          <w:noProof/>
        </w:rPr>
        <w:t xml:space="preserve"> </w:t>
      </w:r>
      <w:r>
        <w:rPr>
          <w:noProof/>
        </w:rPr>
        <w:t>za</w:t>
      </w:r>
      <w:r w:rsidR="00333F20" w:rsidRPr="00353068">
        <w:rPr>
          <w:noProof/>
        </w:rPr>
        <w:t xml:space="preserve"> </w:t>
      </w:r>
      <w:r>
        <w:rPr>
          <w:noProof/>
        </w:rPr>
        <w:t>poslednje</w:t>
      </w:r>
      <w:r w:rsidR="00333F20" w:rsidRPr="00353068">
        <w:rPr>
          <w:noProof/>
        </w:rPr>
        <w:t xml:space="preserve"> </w:t>
      </w:r>
      <w:r>
        <w:rPr>
          <w:noProof/>
        </w:rPr>
        <w:t>tri</w:t>
      </w:r>
      <w:r w:rsidR="00333F20" w:rsidRPr="00353068">
        <w:rPr>
          <w:noProof/>
        </w:rPr>
        <w:t xml:space="preserve"> </w:t>
      </w:r>
      <w:r>
        <w:rPr>
          <w:noProof/>
        </w:rPr>
        <w:t>godine</w:t>
      </w:r>
      <w:r w:rsidR="00333F20" w:rsidRPr="00353068">
        <w:rPr>
          <w:noProof/>
        </w:rPr>
        <w:t xml:space="preserve">, </w:t>
      </w:r>
      <w:r>
        <w:rPr>
          <w:noProof/>
        </w:rPr>
        <w:t>zajedno</w:t>
      </w:r>
      <w:r w:rsidR="00333F20" w:rsidRPr="00353068">
        <w:rPr>
          <w:noProof/>
        </w:rPr>
        <w:t xml:space="preserve"> </w:t>
      </w:r>
      <w:r>
        <w:rPr>
          <w:noProof/>
        </w:rPr>
        <w:t>sa</w:t>
      </w:r>
      <w:r w:rsidR="00333F20" w:rsidRPr="00353068">
        <w:rPr>
          <w:noProof/>
        </w:rPr>
        <w:t xml:space="preserve"> </w:t>
      </w:r>
      <w:r>
        <w:rPr>
          <w:noProof/>
        </w:rPr>
        <w:t>izveštajem</w:t>
      </w:r>
      <w:r w:rsidR="00333F20" w:rsidRPr="00353068">
        <w:rPr>
          <w:noProof/>
        </w:rPr>
        <w:t xml:space="preserve"> </w:t>
      </w:r>
      <w:r>
        <w:rPr>
          <w:noProof/>
        </w:rPr>
        <w:t>revizora</w:t>
      </w:r>
      <w:r w:rsidR="00333F20" w:rsidRPr="00353068">
        <w:rPr>
          <w:noProof/>
        </w:rPr>
        <w:t xml:space="preserve"> </w:t>
      </w:r>
      <w:r>
        <w:rPr>
          <w:noProof/>
        </w:rPr>
        <w:t>ako</w:t>
      </w:r>
      <w:r w:rsidR="00333F20" w:rsidRPr="00353068">
        <w:rPr>
          <w:noProof/>
        </w:rPr>
        <w:t xml:space="preserve"> </w:t>
      </w:r>
      <w:r>
        <w:rPr>
          <w:noProof/>
        </w:rPr>
        <w:t>postoji</w:t>
      </w:r>
      <w:r w:rsidR="00333F20" w:rsidRPr="00353068">
        <w:rPr>
          <w:noProof/>
        </w:rPr>
        <w:t xml:space="preserve"> </w:t>
      </w:r>
      <w:r>
        <w:rPr>
          <w:noProof/>
        </w:rPr>
        <w:t>obaveza</w:t>
      </w:r>
      <w:r w:rsidR="00333F20" w:rsidRPr="00353068">
        <w:rPr>
          <w:noProof/>
        </w:rPr>
        <w:t xml:space="preserve"> </w:t>
      </w:r>
      <w:r>
        <w:rPr>
          <w:noProof/>
        </w:rPr>
        <w:t>sačinjavanja</w:t>
      </w:r>
      <w:r w:rsidR="00333F20" w:rsidRPr="00353068">
        <w:rPr>
          <w:noProof/>
        </w:rPr>
        <w:t xml:space="preserve"> </w:t>
      </w:r>
      <w:r>
        <w:rPr>
          <w:noProof/>
        </w:rPr>
        <w:t>revizorskog</w:t>
      </w:r>
      <w:r w:rsidR="00333F20" w:rsidRPr="00353068">
        <w:rPr>
          <w:noProof/>
        </w:rPr>
        <w:t xml:space="preserve"> </w:t>
      </w:r>
      <w:r>
        <w:rPr>
          <w:noProof/>
        </w:rPr>
        <w:t>izveštaja</w:t>
      </w:r>
      <w:r w:rsidR="00333F20" w:rsidRPr="00353068">
        <w:rPr>
          <w:noProof/>
        </w:rPr>
        <w:t>;</w:t>
      </w:r>
    </w:p>
    <w:p w:rsidR="00333F20" w:rsidRPr="00353068" w:rsidRDefault="00353068" w:rsidP="00665095">
      <w:pPr>
        <w:pStyle w:val="ListParagraph"/>
        <w:numPr>
          <w:ilvl w:val="0"/>
          <w:numId w:val="7"/>
        </w:numPr>
        <w:tabs>
          <w:tab w:val="left" w:pos="990"/>
        </w:tabs>
        <w:ind w:left="630" w:hanging="90"/>
        <w:jc w:val="both"/>
        <w:rPr>
          <w:noProof/>
        </w:rPr>
      </w:pPr>
      <w:r>
        <w:rPr>
          <w:noProof/>
        </w:rPr>
        <w:t>podatke</w:t>
      </w:r>
      <w:r w:rsidR="00333F20" w:rsidRPr="00353068">
        <w:rPr>
          <w:noProof/>
        </w:rPr>
        <w:t xml:space="preserve"> </w:t>
      </w:r>
      <w:r>
        <w:rPr>
          <w:noProof/>
        </w:rPr>
        <w:t>o</w:t>
      </w:r>
      <w:r w:rsidR="00333F20" w:rsidRPr="00353068">
        <w:rPr>
          <w:noProof/>
        </w:rPr>
        <w:t xml:space="preserve"> </w:t>
      </w:r>
      <w:r>
        <w:rPr>
          <w:noProof/>
        </w:rPr>
        <w:t>proceni</w:t>
      </w:r>
      <w:r w:rsidR="00333F20" w:rsidRPr="00353068">
        <w:rPr>
          <w:noProof/>
        </w:rPr>
        <w:t xml:space="preserve"> </w:t>
      </w:r>
      <w:r>
        <w:rPr>
          <w:noProof/>
        </w:rPr>
        <w:t>vrednosti</w:t>
      </w:r>
      <w:r w:rsidR="00333F20" w:rsidRPr="00353068">
        <w:rPr>
          <w:noProof/>
        </w:rPr>
        <w:t xml:space="preserve"> </w:t>
      </w:r>
      <w:r>
        <w:rPr>
          <w:noProof/>
        </w:rPr>
        <w:t>kapitala</w:t>
      </w:r>
      <w:r w:rsidR="00333F20" w:rsidRPr="00353068">
        <w:rPr>
          <w:noProof/>
        </w:rPr>
        <w:t>;</w:t>
      </w:r>
    </w:p>
    <w:p w:rsidR="00333F20" w:rsidRPr="00353068" w:rsidRDefault="00353068" w:rsidP="00665095">
      <w:pPr>
        <w:pStyle w:val="ListParagraph"/>
        <w:numPr>
          <w:ilvl w:val="0"/>
          <w:numId w:val="7"/>
        </w:numPr>
        <w:tabs>
          <w:tab w:val="left" w:pos="990"/>
        </w:tabs>
        <w:ind w:left="630" w:hanging="90"/>
        <w:jc w:val="both"/>
        <w:rPr>
          <w:noProof/>
        </w:rPr>
      </w:pPr>
      <w:r>
        <w:rPr>
          <w:noProof/>
        </w:rPr>
        <w:t>specifikaciju</w:t>
      </w:r>
      <w:r w:rsidR="00333F20" w:rsidRPr="00353068">
        <w:rPr>
          <w:noProof/>
        </w:rPr>
        <w:t xml:space="preserve"> </w:t>
      </w:r>
      <w:r>
        <w:rPr>
          <w:noProof/>
        </w:rPr>
        <w:t>imovine</w:t>
      </w:r>
      <w:r w:rsidR="00333F20" w:rsidRPr="00353068">
        <w:rPr>
          <w:noProof/>
        </w:rPr>
        <w:t xml:space="preserve">, </w:t>
      </w:r>
      <w:r>
        <w:rPr>
          <w:noProof/>
        </w:rPr>
        <w:t>prava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obaveza</w:t>
      </w:r>
      <w:r w:rsidR="00333F20" w:rsidRPr="00353068">
        <w:rPr>
          <w:noProof/>
        </w:rPr>
        <w:t xml:space="preserve"> </w:t>
      </w:r>
      <w:r>
        <w:rPr>
          <w:noProof/>
        </w:rPr>
        <w:t>subjekta</w:t>
      </w:r>
      <w:r w:rsidR="00333F20" w:rsidRPr="00353068">
        <w:rPr>
          <w:noProof/>
        </w:rPr>
        <w:t xml:space="preserve"> </w:t>
      </w:r>
      <w:r>
        <w:rPr>
          <w:noProof/>
        </w:rPr>
        <w:t>privatizacije</w:t>
      </w:r>
      <w:r w:rsidR="00333F20" w:rsidRPr="00353068">
        <w:rPr>
          <w:noProof/>
        </w:rPr>
        <w:t xml:space="preserve"> (</w:t>
      </w:r>
      <w:r>
        <w:rPr>
          <w:noProof/>
        </w:rPr>
        <w:t>koja</w:t>
      </w:r>
      <w:r w:rsidR="00333F20" w:rsidRPr="00353068">
        <w:rPr>
          <w:noProof/>
        </w:rPr>
        <w:t xml:space="preserve"> </w:t>
      </w:r>
      <w:r>
        <w:rPr>
          <w:noProof/>
        </w:rPr>
        <w:t>će</w:t>
      </w:r>
      <w:r w:rsidR="00333F20" w:rsidRPr="00353068">
        <w:rPr>
          <w:noProof/>
        </w:rPr>
        <w:t xml:space="preserve"> </w:t>
      </w:r>
      <w:r>
        <w:rPr>
          <w:noProof/>
        </w:rPr>
        <w:t>biti</w:t>
      </w:r>
      <w:r w:rsidR="00333F20" w:rsidRPr="00353068">
        <w:rPr>
          <w:noProof/>
        </w:rPr>
        <w:t xml:space="preserve"> </w:t>
      </w:r>
      <w:r>
        <w:rPr>
          <w:noProof/>
        </w:rPr>
        <w:t>sastavni</w:t>
      </w:r>
      <w:r w:rsidR="00333F20" w:rsidRPr="00353068">
        <w:rPr>
          <w:noProof/>
        </w:rPr>
        <w:t xml:space="preserve"> </w:t>
      </w:r>
      <w:r>
        <w:rPr>
          <w:noProof/>
        </w:rPr>
        <w:t>deo</w:t>
      </w:r>
      <w:r w:rsidR="00333F20" w:rsidRPr="00353068">
        <w:rPr>
          <w:noProof/>
        </w:rPr>
        <w:t xml:space="preserve"> </w:t>
      </w:r>
      <w:r>
        <w:rPr>
          <w:noProof/>
        </w:rPr>
        <w:t>ugovora</w:t>
      </w:r>
      <w:r w:rsidR="00333F20" w:rsidRPr="00353068">
        <w:rPr>
          <w:noProof/>
        </w:rPr>
        <w:t xml:space="preserve"> </w:t>
      </w:r>
      <w:r>
        <w:rPr>
          <w:noProof/>
        </w:rPr>
        <w:t>o</w:t>
      </w:r>
      <w:r w:rsidR="00333F20" w:rsidRPr="00353068">
        <w:rPr>
          <w:noProof/>
        </w:rPr>
        <w:t xml:space="preserve"> </w:t>
      </w:r>
      <w:r>
        <w:rPr>
          <w:noProof/>
        </w:rPr>
        <w:t>prodaji</w:t>
      </w:r>
      <w:r w:rsidR="00333F20" w:rsidRPr="00353068">
        <w:rPr>
          <w:noProof/>
        </w:rPr>
        <w:t>);</w:t>
      </w:r>
    </w:p>
    <w:p w:rsidR="00333F20" w:rsidRPr="00353068" w:rsidRDefault="00353068" w:rsidP="00980B76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ind w:left="630" w:hanging="90"/>
        <w:jc w:val="both"/>
        <w:rPr>
          <w:noProof/>
          <w:kern w:val="36"/>
        </w:rPr>
      </w:pPr>
      <w:r>
        <w:rPr>
          <w:noProof/>
        </w:rPr>
        <w:t>izjavu</w:t>
      </w:r>
      <w:r w:rsidR="00333F20" w:rsidRPr="00353068">
        <w:rPr>
          <w:noProof/>
        </w:rPr>
        <w:t xml:space="preserve"> </w:t>
      </w:r>
      <w:r>
        <w:rPr>
          <w:noProof/>
        </w:rPr>
        <w:t>odgovornog</w:t>
      </w:r>
      <w:r w:rsidR="00333F20" w:rsidRPr="00353068">
        <w:rPr>
          <w:noProof/>
        </w:rPr>
        <w:t xml:space="preserve"> </w:t>
      </w:r>
      <w:r>
        <w:rPr>
          <w:noProof/>
        </w:rPr>
        <w:t>lica</w:t>
      </w:r>
      <w:r w:rsidR="00333F20" w:rsidRPr="00353068">
        <w:rPr>
          <w:noProof/>
        </w:rPr>
        <w:t xml:space="preserve">  </w:t>
      </w:r>
      <w:r>
        <w:rPr>
          <w:noProof/>
        </w:rPr>
        <w:t>o</w:t>
      </w:r>
      <w:r w:rsidR="00333F20" w:rsidRPr="00353068">
        <w:rPr>
          <w:noProof/>
        </w:rPr>
        <w:t xml:space="preserve"> </w:t>
      </w:r>
      <w:r>
        <w:rPr>
          <w:noProof/>
        </w:rPr>
        <w:t>tačnosti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sveobuhvatnosti</w:t>
      </w:r>
      <w:r w:rsidR="00333F20" w:rsidRPr="00353068">
        <w:rPr>
          <w:noProof/>
        </w:rPr>
        <w:t xml:space="preserve"> </w:t>
      </w:r>
      <w:r>
        <w:rPr>
          <w:noProof/>
        </w:rPr>
        <w:t>podataka</w:t>
      </w:r>
      <w:r w:rsidR="00333F20" w:rsidRPr="00353068">
        <w:rPr>
          <w:noProof/>
        </w:rPr>
        <w:t>.</w:t>
      </w:r>
    </w:p>
    <w:p w:rsidR="00333F20" w:rsidRPr="00353068" w:rsidRDefault="00353068" w:rsidP="0002434A">
      <w:pPr>
        <w:pStyle w:val="ListParagraph"/>
        <w:numPr>
          <w:ilvl w:val="0"/>
          <w:numId w:val="5"/>
        </w:numPr>
        <w:jc w:val="both"/>
        <w:rPr>
          <w:noProof/>
          <w:kern w:val="36"/>
        </w:rPr>
      </w:pPr>
      <w:r>
        <w:rPr>
          <w:noProof/>
          <w:kern w:val="36"/>
        </w:rPr>
        <w:t>u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333F20" w:rsidRPr="00353068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333F20" w:rsidRPr="00353068">
        <w:rPr>
          <w:noProof/>
          <w:kern w:val="36"/>
        </w:rPr>
        <w:t>:</w:t>
      </w:r>
    </w:p>
    <w:p w:rsidR="00333F20" w:rsidRPr="00353068" w:rsidRDefault="00980B76" w:rsidP="00980B76">
      <w:pPr>
        <w:pStyle w:val="ListParagraph"/>
        <w:ind w:left="0"/>
        <w:jc w:val="both"/>
        <w:rPr>
          <w:noProof/>
        </w:rPr>
      </w:pPr>
      <w:r w:rsidRPr="00353068">
        <w:rPr>
          <w:noProof/>
        </w:rPr>
        <w:t xml:space="preserve">         (1)  </w:t>
      </w:r>
      <w:r w:rsidR="00353068">
        <w:rPr>
          <w:noProof/>
        </w:rPr>
        <w:t>program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za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prodaju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imovine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odnosno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izvod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iz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programa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za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prodaju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imovine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koji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se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odnosi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na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predmet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prodaje</w:t>
      </w:r>
      <w:r w:rsidR="00333F20" w:rsidRPr="00353068">
        <w:rPr>
          <w:noProof/>
        </w:rPr>
        <w:t>;</w:t>
      </w:r>
    </w:p>
    <w:p w:rsidR="00333F20" w:rsidRPr="00353068" w:rsidRDefault="00A54F01" w:rsidP="00A54F01">
      <w:pPr>
        <w:pStyle w:val="ListParagraph"/>
        <w:ind w:left="0"/>
        <w:jc w:val="both"/>
        <w:rPr>
          <w:noProof/>
          <w:kern w:val="36"/>
        </w:rPr>
      </w:pPr>
      <w:r w:rsidRPr="00353068">
        <w:rPr>
          <w:noProof/>
        </w:rPr>
        <w:t xml:space="preserve">         (2)  </w:t>
      </w:r>
      <w:r w:rsidR="00353068">
        <w:rPr>
          <w:noProof/>
        </w:rPr>
        <w:t>izjavu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odgovornog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lica</w:t>
      </w:r>
      <w:r w:rsidR="00333F20" w:rsidRPr="00353068">
        <w:rPr>
          <w:noProof/>
        </w:rPr>
        <w:t xml:space="preserve">  </w:t>
      </w:r>
      <w:r w:rsidR="00353068">
        <w:rPr>
          <w:noProof/>
        </w:rPr>
        <w:t>o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tačnosti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i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sveobuhvatnosti</w:t>
      </w:r>
      <w:r w:rsidR="00333F20" w:rsidRPr="00353068">
        <w:rPr>
          <w:noProof/>
        </w:rPr>
        <w:t xml:space="preserve"> </w:t>
      </w:r>
      <w:r w:rsidR="00353068">
        <w:rPr>
          <w:noProof/>
        </w:rPr>
        <w:t>podataka</w:t>
      </w:r>
      <w:r w:rsidR="00333F20" w:rsidRPr="00353068">
        <w:rPr>
          <w:noProof/>
        </w:rPr>
        <w:t>.</w:t>
      </w: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Privatizacionu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tačka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priprema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subjekt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dostavlja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Agenciji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roku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kada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je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Agencija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dostavila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odluku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modelu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privatizacije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subjektu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privatizacije</w:t>
      </w:r>
      <w:r w:rsidR="003F49CD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,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tačka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priprema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subjekt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dostavlja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Agenciji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propisanom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kojim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uređuje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tačnost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sveobuhvatnost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dostavljene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dokumentacije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iz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st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. 3.</w:t>
      </w:r>
      <w:r w:rsidR="0016772C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ovog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člana</w:t>
      </w:r>
      <w:r w:rsidR="00766A8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odgovorno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lice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ovlašćeno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zastupanje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subjekta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krivičnom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moralnom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materijalnom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odgovornošću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</w:p>
    <w:p w:rsidR="002378B2" w:rsidRPr="00353068" w:rsidRDefault="002378B2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Javni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poziv</w:t>
      </w:r>
    </w:p>
    <w:p w:rsidR="0002434A" w:rsidRPr="00353068" w:rsidRDefault="0002434A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ind w:right="2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333F20" w:rsidRPr="00353068" w:rsidRDefault="00353068" w:rsidP="0002434A">
      <w:pPr>
        <w:spacing w:after="0"/>
        <w:ind w:right="27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strukturi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šifru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A14E0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uplate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obilaska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otvaranja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6519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Otkup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prodajne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dokumenatacije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otkupa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0F3BC7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ind w:right="270" w:firstLine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sprovođenje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Postupka</w:t>
      </w:r>
    </w:p>
    <w:p w:rsidR="0002434A" w:rsidRPr="00353068" w:rsidRDefault="0002434A" w:rsidP="0002434A">
      <w:pPr>
        <w:spacing w:after="0"/>
        <w:ind w:right="270" w:firstLine="72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clan_3a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prijavama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ponudama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B22F6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registruje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0F3BC7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stekli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konsultativne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4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prisutna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122B95">
      <w:pPr>
        <w:spacing w:after="0" w:line="240" w:lineRule="auto"/>
        <w:ind w:right="4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02434A" w:rsidRPr="00353068" w:rsidRDefault="0002434A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217ABB">
      <w:pPr>
        <w:spacing w:after="0" w:line="240" w:lineRule="auto"/>
        <w:ind w:right="4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53068" w:rsidP="0002434A">
      <w:pPr>
        <w:pStyle w:val="ListParagraph"/>
        <w:numPr>
          <w:ilvl w:val="0"/>
          <w:numId w:val="12"/>
        </w:numPr>
        <w:ind w:right="4"/>
        <w:jc w:val="both"/>
        <w:rPr>
          <w:noProof/>
        </w:rPr>
      </w:pPr>
      <w:r>
        <w:rPr>
          <w:noProof/>
        </w:rPr>
        <w:t>podnošenje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prijem</w:t>
      </w:r>
      <w:r w:rsidR="00333F20" w:rsidRPr="00353068">
        <w:rPr>
          <w:noProof/>
        </w:rPr>
        <w:t xml:space="preserve"> </w:t>
      </w:r>
      <w:r>
        <w:rPr>
          <w:noProof/>
        </w:rPr>
        <w:t>ponuda</w:t>
      </w:r>
      <w:r w:rsidR="00333F20" w:rsidRPr="00353068">
        <w:rPr>
          <w:noProof/>
        </w:rPr>
        <w:t>;</w:t>
      </w:r>
    </w:p>
    <w:p w:rsidR="00333F20" w:rsidRPr="00353068" w:rsidRDefault="00353068" w:rsidP="0002434A">
      <w:pPr>
        <w:pStyle w:val="ListParagraph"/>
        <w:numPr>
          <w:ilvl w:val="0"/>
          <w:numId w:val="12"/>
        </w:numPr>
        <w:ind w:right="4"/>
        <w:jc w:val="both"/>
        <w:rPr>
          <w:noProof/>
        </w:rPr>
      </w:pPr>
      <w:r>
        <w:rPr>
          <w:noProof/>
        </w:rPr>
        <w:t>otvaranje</w:t>
      </w:r>
      <w:r w:rsidR="00333F20" w:rsidRPr="00353068">
        <w:rPr>
          <w:noProof/>
        </w:rPr>
        <w:t xml:space="preserve"> </w:t>
      </w:r>
      <w:r>
        <w:rPr>
          <w:noProof/>
        </w:rPr>
        <w:t>i</w:t>
      </w:r>
      <w:r w:rsidR="00333F20" w:rsidRPr="00353068">
        <w:rPr>
          <w:noProof/>
        </w:rPr>
        <w:t xml:space="preserve"> </w:t>
      </w:r>
      <w:r>
        <w:rPr>
          <w:noProof/>
        </w:rPr>
        <w:t>ocenu</w:t>
      </w:r>
      <w:r w:rsidR="00333F20" w:rsidRPr="00353068">
        <w:rPr>
          <w:noProof/>
        </w:rPr>
        <w:t xml:space="preserve"> </w:t>
      </w:r>
      <w:r>
        <w:rPr>
          <w:noProof/>
        </w:rPr>
        <w:t>ponuda</w:t>
      </w:r>
      <w:r w:rsidR="00333F20" w:rsidRPr="00353068">
        <w:rPr>
          <w:noProof/>
        </w:rPr>
        <w:t>;</w:t>
      </w:r>
    </w:p>
    <w:p w:rsidR="00333F20" w:rsidRPr="00353068" w:rsidRDefault="00353068" w:rsidP="0002434A">
      <w:pPr>
        <w:pStyle w:val="ListParagraph"/>
        <w:numPr>
          <w:ilvl w:val="0"/>
          <w:numId w:val="12"/>
        </w:numPr>
        <w:ind w:right="4"/>
        <w:jc w:val="both"/>
        <w:rPr>
          <w:noProof/>
        </w:rPr>
      </w:pPr>
      <w:r>
        <w:rPr>
          <w:noProof/>
        </w:rPr>
        <w:t>javno</w:t>
      </w:r>
      <w:r w:rsidR="00333F20" w:rsidRPr="00353068">
        <w:rPr>
          <w:noProof/>
        </w:rPr>
        <w:t xml:space="preserve"> </w:t>
      </w:r>
      <w:r>
        <w:rPr>
          <w:noProof/>
        </w:rPr>
        <w:t>nadmetanje</w:t>
      </w:r>
      <w:r w:rsidR="00333F20" w:rsidRPr="00353068">
        <w:rPr>
          <w:noProof/>
        </w:rPr>
        <w:t xml:space="preserve"> (</w:t>
      </w:r>
      <w:r>
        <w:rPr>
          <w:noProof/>
        </w:rPr>
        <w:t>ukoliko</w:t>
      </w:r>
      <w:r w:rsidR="00333F20" w:rsidRPr="00353068">
        <w:rPr>
          <w:noProof/>
        </w:rPr>
        <w:t xml:space="preserve"> </w:t>
      </w:r>
      <w:r>
        <w:rPr>
          <w:noProof/>
        </w:rPr>
        <w:t>je</w:t>
      </w:r>
      <w:r w:rsidR="00333F20" w:rsidRPr="00353068">
        <w:rPr>
          <w:noProof/>
        </w:rPr>
        <w:t xml:space="preserve"> </w:t>
      </w:r>
      <w:r>
        <w:rPr>
          <w:noProof/>
        </w:rPr>
        <w:t>primenljivo</w:t>
      </w:r>
      <w:r w:rsidR="00333F20" w:rsidRPr="00353068">
        <w:rPr>
          <w:noProof/>
        </w:rPr>
        <w:t>);</w:t>
      </w:r>
    </w:p>
    <w:p w:rsidR="00333F20" w:rsidRPr="00353068" w:rsidRDefault="00353068" w:rsidP="0002434A">
      <w:pPr>
        <w:pStyle w:val="ListParagraph"/>
        <w:numPr>
          <w:ilvl w:val="0"/>
          <w:numId w:val="12"/>
        </w:numPr>
        <w:ind w:right="4"/>
        <w:jc w:val="both"/>
        <w:rPr>
          <w:noProof/>
        </w:rPr>
      </w:pPr>
      <w:r>
        <w:rPr>
          <w:noProof/>
        </w:rPr>
        <w:t>zaključivanje</w:t>
      </w:r>
      <w:r w:rsidR="00333F20" w:rsidRPr="00353068">
        <w:rPr>
          <w:noProof/>
        </w:rPr>
        <w:t xml:space="preserve"> </w:t>
      </w:r>
      <w:r>
        <w:rPr>
          <w:noProof/>
        </w:rPr>
        <w:t>ugovora</w:t>
      </w:r>
      <w:r w:rsidR="00333F20" w:rsidRPr="00353068">
        <w:rPr>
          <w:noProof/>
        </w:rPr>
        <w:t>.</w:t>
      </w:r>
    </w:p>
    <w:p w:rsidR="0002434A" w:rsidRPr="00353068" w:rsidRDefault="0002434A" w:rsidP="0002434A">
      <w:pPr>
        <w:pStyle w:val="ListParagraph"/>
        <w:ind w:right="4"/>
        <w:jc w:val="both"/>
        <w:rPr>
          <w:noProof/>
        </w:rPr>
      </w:pPr>
    </w:p>
    <w:p w:rsidR="00333F20" w:rsidRPr="00353068" w:rsidRDefault="00353068" w:rsidP="0002434A">
      <w:pPr>
        <w:pStyle w:val="ListParagraph"/>
        <w:ind w:left="360" w:right="4"/>
        <w:jc w:val="center"/>
        <w:rPr>
          <w:i/>
          <w:iCs/>
          <w:noProof/>
        </w:rPr>
      </w:pPr>
      <w:r>
        <w:rPr>
          <w:i/>
          <w:iCs/>
          <w:noProof/>
        </w:rPr>
        <w:t>Sredstva</w:t>
      </w:r>
      <w:r w:rsidR="00333F20" w:rsidRPr="00353068">
        <w:rPr>
          <w:i/>
          <w:iCs/>
          <w:noProof/>
        </w:rPr>
        <w:t xml:space="preserve"> </w:t>
      </w:r>
      <w:r>
        <w:rPr>
          <w:i/>
          <w:iCs/>
          <w:noProof/>
        </w:rPr>
        <w:t>plaćanja</w:t>
      </w:r>
      <w:r w:rsidR="00333F20" w:rsidRPr="00353068">
        <w:rPr>
          <w:i/>
          <w:iCs/>
          <w:noProof/>
        </w:rPr>
        <w:t xml:space="preserve"> </w:t>
      </w:r>
      <w:r>
        <w:rPr>
          <w:i/>
          <w:iCs/>
          <w:noProof/>
        </w:rPr>
        <w:t>u</w:t>
      </w:r>
      <w:r w:rsidR="00333F20" w:rsidRPr="00353068">
        <w:rPr>
          <w:i/>
          <w:iCs/>
          <w:noProof/>
        </w:rPr>
        <w:t xml:space="preserve"> </w:t>
      </w:r>
      <w:r>
        <w:rPr>
          <w:i/>
          <w:iCs/>
          <w:noProof/>
        </w:rPr>
        <w:t>Postupku</w:t>
      </w:r>
    </w:p>
    <w:p w:rsidR="0002434A" w:rsidRPr="00353068" w:rsidRDefault="0002434A" w:rsidP="0002434A">
      <w:pPr>
        <w:pStyle w:val="ListParagraph"/>
        <w:ind w:left="360" w:right="4"/>
        <w:jc w:val="center"/>
        <w:rPr>
          <w:i/>
          <w:iCs/>
          <w:strike/>
          <w:noProof/>
        </w:rPr>
      </w:pPr>
    </w:p>
    <w:p w:rsidR="00333F20" w:rsidRPr="00353068" w:rsidRDefault="00353068" w:rsidP="0002434A">
      <w:pPr>
        <w:pStyle w:val="ListParagraph"/>
        <w:jc w:val="center"/>
        <w:rPr>
          <w:noProof/>
        </w:rPr>
      </w:pPr>
      <w:r>
        <w:rPr>
          <w:noProof/>
        </w:rPr>
        <w:t>Član</w:t>
      </w:r>
      <w:r w:rsidR="00333F20" w:rsidRPr="00353068">
        <w:rPr>
          <w:noProof/>
        </w:rPr>
        <w:t xml:space="preserve"> 10.</w:t>
      </w:r>
    </w:p>
    <w:p w:rsidR="005A6481" w:rsidRPr="00353068" w:rsidRDefault="005A6481" w:rsidP="0002434A">
      <w:pPr>
        <w:pStyle w:val="ListParagraph"/>
        <w:jc w:val="center"/>
        <w:rPr>
          <w:noProof/>
        </w:rPr>
      </w:pPr>
    </w:p>
    <w:p w:rsidR="00333F20" w:rsidRPr="00353068" w:rsidRDefault="00353068" w:rsidP="0002434A">
      <w:pPr>
        <w:spacing w:after="0"/>
        <w:ind w:right="-54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54AE2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efektivni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333F20" w:rsidRPr="00353068" w:rsidRDefault="00353068" w:rsidP="0002434A">
      <w:pPr>
        <w:spacing w:after="0"/>
        <w:ind w:right="-54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odjednom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4068ED" w:rsidP="0002434A">
      <w:pPr>
        <w:tabs>
          <w:tab w:val="left" w:pos="5149"/>
        </w:tabs>
        <w:spacing w:after="0"/>
        <w:ind w:right="-54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uračunava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33F20" w:rsidRPr="00353068" w:rsidRDefault="004068ED" w:rsidP="0002434A">
      <w:pPr>
        <w:spacing w:after="0"/>
        <w:ind w:right="-54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uplaćeni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obračunava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kamata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2434A" w:rsidRPr="00353068" w:rsidRDefault="0002434A" w:rsidP="0002434A">
      <w:pPr>
        <w:spacing w:after="0"/>
        <w:ind w:right="-5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33F20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smartTag w:uri="urn:schemas-microsoft-com:office:smarttags" w:element="stockticker">
        <w:r w:rsidRPr="00353068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III</w:t>
        </w:r>
        <w:r w:rsidR="00D105DC" w:rsidRPr="00353068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.</w:t>
        </w:r>
      </w:smartTag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Sadržina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prijave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tabs>
          <w:tab w:val="left" w:pos="4590"/>
        </w:tabs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2378B2" w:rsidRPr="00353068" w:rsidRDefault="002378B2" w:rsidP="0002434A">
      <w:pPr>
        <w:tabs>
          <w:tab w:val="left" w:pos="4590"/>
        </w:tabs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7E49B3" w:rsidP="00E92714">
      <w:pPr>
        <w:tabs>
          <w:tab w:val="left" w:pos="630"/>
          <w:tab w:val="left" w:pos="4500"/>
        </w:tabs>
        <w:spacing w:after="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          </w:t>
      </w:r>
      <w:r w:rsidR="00E92714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podnosi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zatvorenoj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koverti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(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daljem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tekstu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: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Glavni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)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Agenciji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utvrđenom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pozivu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biti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kraći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30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niti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duži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90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objavljivanja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        </w:t>
      </w:r>
      <w:r w:rsidR="00E92714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Prijava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učešće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podnosi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se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obrascu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koji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je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sastavni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deo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uputstva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ponuđače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.</w:t>
      </w:r>
    </w:p>
    <w:p w:rsidR="00333F20" w:rsidRPr="00353068" w:rsidRDefault="00AE26EF" w:rsidP="0002434A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         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Glavni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</w:t>
      </w:r>
    </w:p>
    <w:p w:rsidR="00333F20" w:rsidRPr="00353068" w:rsidRDefault="00333F20" w:rsidP="0002434A">
      <w:pPr>
        <w:tabs>
          <w:tab w:val="left" w:pos="4500"/>
        </w:tabs>
        <w:spacing w:after="0"/>
        <w:ind w:firstLine="54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prijavu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učesnika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;</w:t>
      </w:r>
    </w:p>
    <w:p w:rsidR="00333F20" w:rsidRPr="00353068" w:rsidRDefault="00333F20" w:rsidP="0002434A">
      <w:pPr>
        <w:tabs>
          <w:tab w:val="left" w:pos="4500"/>
        </w:tabs>
        <w:spacing w:after="0"/>
        <w:ind w:firstLine="54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oznakom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 „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Podaci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ponuđaču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”;</w:t>
      </w:r>
    </w:p>
    <w:p w:rsidR="00333F20" w:rsidRPr="00353068" w:rsidRDefault="00333F20" w:rsidP="0002434A">
      <w:pPr>
        <w:tabs>
          <w:tab w:val="left" w:pos="4500"/>
        </w:tabs>
        <w:spacing w:after="0"/>
        <w:ind w:firstLine="54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oznakom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 „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Ponuda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”.</w:t>
      </w:r>
    </w:p>
    <w:p w:rsidR="00333F20" w:rsidRPr="00353068" w:rsidRDefault="00333F20" w:rsidP="0002434A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lastRenderedPageBreak/>
        <w:t xml:space="preserve">        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oznakom</w:t>
      </w:r>
      <w:r w:rsidR="00650BD2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: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„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Podaci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ponuđaču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” </w:t>
      </w:r>
      <w:r w:rsid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sadrži</w:t>
      </w:r>
      <w:r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: </w:t>
      </w:r>
    </w:p>
    <w:p w:rsidR="00333F20" w:rsidRPr="00353068" w:rsidRDefault="00333F20" w:rsidP="0085048E">
      <w:pPr>
        <w:pStyle w:val="ListParagraph"/>
        <w:tabs>
          <w:tab w:val="left" w:pos="4500"/>
        </w:tabs>
        <w:ind w:left="0" w:firstLine="540"/>
        <w:jc w:val="both"/>
        <w:rPr>
          <w:noProof/>
          <w:kern w:val="36"/>
        </w:rPr>
      </w:pPr>
      <w:r w:rsidRPr="00353068">
        <w:rPr>
          <w:noProof/>
          <w:kern w:val="36"/>
        </w:rPr>
        <w:t xml:space="preserve">1) </w:t>
      </w:r>
      <w:r w:rsidR="00353068">
        <w:rPr>
          <w:noProof/>
          <w:kern w:val="36"/>
        </w:rPr>
        <w:t>potvrde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izjave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da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ponuđač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ispunjava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uslove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propisane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za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kupca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</w:t>
      </w:r>
      <w:r w:rsidR="00D12478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skladu</w:t>
      </w:r>
      <w:r w:rsidR="00D12478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sa</w:t>
      </w:r>
      <w:r w:rsidR="00D12478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zakonom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kojim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uređuje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privatizacija</w:t>
      </w:r>
      <w:r w:rsidRPr="00353068">
        <w:rPr>
          <w:noProof/>
          <w:kern w:val="36"/>
        </w:rPr>
        <w:t>;</w:t>
      </w:r>
    </w:p>
    <w:p w:rsidR="00333F20" w:rsidRPr="00353068" w:rsidRDefault="00333F20" w:rsidP="00E92714">
      <w:pPr>
        <w:pStyle w:val="ListParagraph"/>
        <w:tabs>
          <w:tab w:val="left" w:pos="4500"/>
        </w:tabs>
        <w:ind w:left="540"/>
        <w:jc w:val="both"/>
        <w:rPr>
          <w:noProof/>
          <w:kern w:val="36"/>
        </w:rPr>
      </w:pPr>
      <w:r w:rsidRPr="00353068">
        <w:rPr>
          <w:noProof/>
          <w:kern w:val="36"/>
        </w:rPr>
        <w:t xml:space="preserve">2) </w:t>
      </w:r>
      <w:r w:rsidR="00353068">
        <w:rPr>
          <w:noProof/>
          <w:kern w:val="36"/>
        </w:rPr>
        <w:t>parafiran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na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svakoj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strani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potpisan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nacrt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ugovora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o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prodaji</w:t>
      </w:r>
      <w:r w:rsidRPr="00353068">
        <w:rPr>
          <w:noProof/>
          <w:kern w:val="36"/>
        </w:rPr>
        <w:t>;</w:t>
      </w:r>
    </w:p>
    <w:p w:rsidR="00333F20" w:rsidRPr="00353068" w:rsidRDefault="00333F20" w:rsidP="00E92714">
      <w:pPr>
        <w:pStyle w:val="ListParagraph"/>
        <w:tabs>
          <w:tab w:val="left" w:pos="4500"/>
        </w:tabs>
        <w:ind w:left="540"/>
        <w:jc w:val="both"/>
        <w:rPr>
          <w:noProof/>
          <w:kern w:val="36"/>
        </w:rPr>
      </w:pPr>
      <w:r w:rsidRPr="00353068">
        <w:rPr>
          <w:noProof/>
          <w:kern w:val="36"/>
        </w:rPr>
        <w:t xml:space="preserve">3) </w:t>
      </w:r>
      <w:r w:rsidR="00353068">
        <w:rPr>
          <w:noProof/>
          <w:kern w:val="36"/>
        </w:rPr>
        <w:t>dokaz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o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uplaćenom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depozitu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ili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bankarsku</w:t>
      </w:r>
      <w:r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garanciju</w:t>
      </w:r>
      <w:r w:rsidRPr="00353068">
        <w:rPr>
          <w:noProof/>
          <w:kern w:val="36"/>
        </w:rPr>
        <w:t>;</w:t>
      </w:r>
    </w:p>
    <w:p w:rsidR="00333F20" w:rsidRPr="00353068" w:rsidRDefault="0085048E" w:rsidP="0085048E">
      <w:pPr>
        <w:pStyle w:val="ListParagraph"/>
        <w:tabs>
          <w:tab w:val="left" w:pos="4500"/>
        </w:tabs>
        <w:ind w:left="0"/>
        <w:jc w:val="both"/>
        <w:rPr>
          <w:noProof/>
          <w:kern w:val="36"/>
        </w:rPr>
      </w:pPr>
      <w:r w:rsidRPr="00353068">
        <w:rPr>
          <w:noProof/>
          <w:kern w:val="36"/>
        </w:rPr>
        <w:t xml:space="preserve">         </w:t>
      </w:r>
      <w:r w:rsidR="00BA6E8C" w:rsidRPr="00353068">
        <w:rPr>
          <w:noProof/>
          <w:kern w:val="36"/>
        </w:rPr>
        <w:t xml:space="preserve">4) </w:t>
      </w:r>
      <w:r w:rsidR="00353068">
        <w:rPr>
          <w:noProof/>
          <w:kern w:val="36"/>
        </w:rPr>
        <w:t>dokaz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o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ispunjenosti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kvalifikacionih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uslova</w:t>
      </w:r>
      <w:r w:rsidR="00BA6E8C" w:rsidRPr="00353068">
        <w:rPr>
          <w:noProof/>
          <w:kern w:val="36"/>
        </w:rPr>
        <w:t>,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ukoliko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su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određeni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javnim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pozivom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</w:t>
      </w:r>
    </w:p>
    <w:p w:rsidR="00333F20" w:rsidRPr="00353068" w:rsidRDefault="00BA6E8C" w:rsidP="002E616E">
      <w:pPr>
        <w:pStyle w:val="ListParagraph"/>
        <w:tabs>
          <w:tab w:val="left" w:pos="4500"/>
        </w:tabs>
        <w:ind w:left="90"/>
        <w:jc w:val="both"/>
        <w:rPr>
          <w:noProof/>
          <w:kern w:val="36"/>
        </w:rPr>
      </w:pPr>
      <w:r w:rsidRPr="00353068">
        <w:rPr>
          <w:noProof/>
          <w:kern w:val="36"/>
        </w:rPr>
        <w:t xml:space="preserve">       </w:t>
      </w:r>
      <w:r w:rsidR="00333F20" w:rsidRPr="00353068">
        <w:rPr>
          <w:noProof/>
          <w:kern w:val="36"/>
        </w:rPr>
        <w:t xml:space="preserve">5) </w:t>
      </w:r>
      <w:r w:rsidR="00353068">
        <w:rPr>
          <w:noProof/>
          <w:kern w:val="36"/>
        </w:rPr>
        <w:t>druge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podatke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ili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dokumentaciju</w:t>
      </w:r>
      <w:r w:rsidR="00856AE4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koja</w:t>
      </w:r>
      <w:r w:rsidR="00856AE4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je</w:t>
      </w:r>
      <w:r w:rsidR="00856AE4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predviđena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uputstvom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za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ponuđače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ili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javnim</w:t>
      </w:r>
      <w:r w:rsidR="00333F20" w:rsidRPr="00353068">
        <w:rPr>
          <w:noProof/>
          <w:kern w:val="36"/>
        </w:rPr>
        <w:t xml:space="preserve"> </w:t>
      </w:r>
      <w:r w:rsidR="00353068">
        <w:rPr>
          <w:noProof/>
          <w:kern w:val="36"/>
        </w:rPr>
        <w:t>pozivom</w:t>
      </w:r>
      <w:r w:rsidR="00333F20" w:rsidRPr="00353068">
        <w:rPr>
          <w:noProof/>
          <w:kern w:val="36"/>
        </w:rPr>
        <w:t>.</w:t>
      </w: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oznakom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 w:rsidR="00650BD2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: 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iznos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ponuđene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predmet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primljenih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bookmarkStart w:id="1" w:name="clan_15"/>
      <w:bookmarkEnd w:id="1"/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Otvaranje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Glavnog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oznakom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Podaci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ponuđaču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”</w:t>
      </w:r>
    </w:p>
    <w:p w:rsidR="0002434A" w:rsidRPr="00353068" w:rsidRDefault="0002434A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02434A" w:rsidRPr="00353068" w:rsidRDefault="0002434A" w:rsidP="0002434A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650BD2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ponuđaču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radna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isteka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roka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dostavljanje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punomoćnici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koverta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ponuđaču</w:t>
      </w:r>
      <w:r w:rsidR="00767C0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A641A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nepotpun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ponuđaču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7179E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odbacivanju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koverat</w:t>
      </w:r>
      <w:r w:rsidR="00650BD2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05728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odbacivanju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nijedna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D6F3B" w:rsidRPr="00353068" w:rsidRDefault="009D6F3B" w:rsidP="0002434A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Otvaranje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oznakom</w:t>
      </w:r>
      <w:r w:rsidR="001F5378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: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  <w:t>”</w:t>
      </w:r>
    </w:p>
    <w:p w:rsidR="0002434A" w:rsidRPr="00353068" w:rsidRDefault="0002434A" w:rsidP="0002434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i/>
          <w:iCs/>
          <w:noProof/>
          <w:kern w:val="36"/>
          <w:sz w:val="24"/>
          <w:szCs w:val="24"/>
          <w:lang w:val="sr-Latn-CS"/>
        </w:rPr>
      </w:pPr>
    </w:p>
    <w:p w:rsidR="0002434A" w:rsidRPr="00353068" w:rsidRDefault="00353068" w:rsidP="002378B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 xml:space="preserve"> 14. </w:t>
      </w:r>
    </w:p>
    <w:p w:rsidR="002378B2" w:rsidRPr="00353068" w:rsidRDefault="002378B2" w:rsidP="002378B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Koverat</w:t>
      </w:r>
      <w:r w:rsidR="00E769C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769C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1F537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E769C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769C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prisustvuje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odustao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F3568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prisustvovati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Ocena</w:t>
      </w:r>
      <w:r w:rsidR="00B75902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ponuda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Koverte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034E9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redosled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najpovoljniju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rangira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prodajnoj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nijedna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jednim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učesnikom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2378B2" w:rsidRPr="00353068" w:rsidRDefault="002378B2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više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učesnika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2378B2" w:rsidRPr="00353068" w:rsidRDefault="002378B2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FD790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</w:t>
      </w:r>
      <w:r w:rsidR="00FD790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FD790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D790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Registracija</w:t>
      </w:r>
      <w:r w:rsidR="00333F20" w:rsidRPr="0035306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učesnika</w:t>
      </w:r>
    </w:p>
    <w:p w:rsidR="0002434A" w:rsidRPr="00353068" w:rsidRDefault="0002434A" w:rsidP="0002434A">
      <w:pPr>
        <w:spacing w:after="0"/>
        <w:jc w:val="center"/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18.</w:t>
      </w:r>
    </w:p>
    <w:p w:rsidR="002378B2" w:rsidRPr="00353068" w:rsidRDefault="002378B2" w:rsidP="0002434A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identiteta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verodostojnosti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punomoćnika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numerisane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aukcijske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Registracija</w:t>
      </w:r>
      <w:r w:rsidR="00014D6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014D6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završava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6B4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9C013F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9C013F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547375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nijedan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547375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10DC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10DC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</w:t>
      </w:r>
      <w:r w:rsidR="00310DC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10DC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10DC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378B2" w:rsidRPr="00353068" w:rsidRDefault="002378B2" w:rsidP="005B341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5B3419" w:rsidRPr="00353068" w:rsidRDefault="005B3419" w:rsidP="005B341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5B3419" w:rsidRPr="00353068" w:rsidRDefault="005B3419" w:rsidP="005B341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5B3419" w:rsidRPr="00353068" w:rsidRDefault="005B3419" w:rsidP="005B341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nadmetanje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</w:t>
      </w:r>
    </w:p>
    <w:p w:rsidR="002378B2" w:rsidRPr="00353068" w:rsidRDefault="002378B2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322059">
      <w:pPr>
        <w:spacing w:after="0" w:line="240" w:lineRule="auto"/>
        <w:ind w:left="900" w:hanging="45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lastRenderedPageBreak/>
        <w:t>Nadležnost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aukcionara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2378B2" w:rsidRPr="00353068" w:rsidRDefault="002378B2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B7A3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EB7A3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EB7A3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B7A36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istaknu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ponuđenu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ometanja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toka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849C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podizanjem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aukcijske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sprovodeći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ističu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isticanje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udarcem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čekića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ponudio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  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Održavanje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reda</w:t>
      </w:r>
    </w:p>
    <w:p w:rsidR="0002434A" w:rsidRPr="00353068" w:rsidRDefault="0002434A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</w:t>
      </w:r>
    </w:p>
    <w:p w:rsidR="002378B2" w:rsidRPr="00353068" w:rsidRDefault="002378B2" w:rsidP="0002434A">
      <w:pPr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odvijanja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opominje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upozorava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opomene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udaljenja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dobrovoljno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72151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ističe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ometa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aukcionara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izrečena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udaljenja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izrečena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udaljenja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uložiti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usmeno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Prigovor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osnovanosti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</w:t>
      </w:r>
    </w:p>
    <w:p w:rsidR="0002434A" w:rsidRPr="00353068" w:rsidRDefault="0002434A" w:rsidP="00024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izricati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prisutnim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78B2" w:rsidRPr="00353068" w:rsidRDefault="002378B2" w:rsidP="000243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</w:t>
      </w:r>
    </w:p>
    <w:p w:rsidR="0002434A" w:rsidRPr="00353068" w:rsidRDefault="0002434A" w:rsidP="0002434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434A" w:rsidRPr="00353068" w:rsidRDefault="0002434A" w:rsidP="0002434A">
      <w:pPr>
        <w:spacing w:after="0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nadmetanju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436093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kupcu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istaknute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aukcionara</w:t>
      </w:r>
      <w:r w:rsidR="00E21DD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zapisničara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8543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izrečene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prisutnim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prigovore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333F20" w:rsidP="00F14F08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33F20" w:rsidRPr="00353068" w:rsidRDefault="00333F20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aukcionar</w:t>
      </w:r>
      <w:r w:rsidR="004345CE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zapisničar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33F20" w:rsidRPr="00353068" w:rsidRDefault="00BA331D" w:rsidP="0002434A">
      <w:pPr>
        <w:spacing w:after="0" w:line="240" w:lineRule="auto"/>
        <w:ind w:right="-18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333F20" w:rsidRPr="00353068" w:rsidRDefault="00353068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</w:t>
      </w:r>
    </w:p>
    <w:p w:rsidR="0002434A" w:rsidRPr="00353068" w:rsidRDefault="0002434A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184D50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istovetnih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   </w:t>
      </w:r>
    </w:p>
    <w:p w:rsidR="00333F20" w:rsidRPr="00353068" w:rsidRDefault="00333F20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Pribavljanje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mišljenja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nadležne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organizacije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sprečavanje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pranja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novca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</w:t>
      </w:r>
    </w:p>
    <w:p w:rsidR="002378B2" w:rsidRPr="00353068" w:rsidRDefault="002378B2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nepostojanju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smetnji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smetnje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</w:t>
      </w:r>
    </w:p>
    <w:p w:rsidR="0002434A" w:rsidRPr="00353068" w:rsidRDefault="0002434A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nepostojanju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smetnji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941BA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1BA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1BA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41BA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kapitala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</w:t>
      </w:r>
    </w:p>
    <w:p w:rsidR="002378B2" w:rsidRPr="00353068" w:rsidRDefault="002378B2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imovine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</w:t>
      </w:r>
    </w:p>
    <w:p w:rsidR="002378B2" w:rsidRPr="00353068" w:rsidRDefault="002378B2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prodavac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prodavac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potpisuju</w:t>
      </w:r>
      <w:r w:rsidR="0045471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471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5471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5471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uređivanju</w:t>
      </w:r>
      <w:r w:rsidR="00333F20" w:rsidRPr="00353068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investiranja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zaloge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Krovni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proglašenog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prodavca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3004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pozvan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istaknutih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zaključuje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ponudio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pozove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odustao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33F20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istaknutih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ponoviti</w:t>
      </w:r>
      <w:r w:rsidR="0058677C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ponoviti</w:t>
      </w:r>
      <w:r w:rsidR="00E471AD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bookmarkStart w:id="2" w:name="clan_24a"/>
      <w:bookmarkEnd w:id="2"/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3" w:name="clan_25"/>
      <w:bookmarkStart w:id="4" w:name="clan_26"/>
      <w:bookmarkEnd w:id="3"/>
      <w:bookmarkEnd w:id="4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stekli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0950CF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istakao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04292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  </w:t>
      </w:r>
    </w:p>
    <w:p w:rsidR="00333F20" w:rsidRPr="00353068" w:rsidRDefault="00333F20" w:rsidP="0002434A">
      <w:pPr>
        <w:spacing w:after="0" w:line="240" w:lineRule="auto"/>
        <w:ind w:righ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</w:t>
      </w:r>
    </w:p>
    <w:p w:rsidR="0002434A" w:rsidRPr="00353068" w:rsidRDefault="0002434A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33F20" w:rsidRPr="00353068" w:rsidRDefault="00333F20" w:rsidP="008C1BC6">
      <w:pPr>
        <w:spacing w:after="0" w:line="240" w:lineRule="auto"/>
        <w:ind w:right="-1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3419" w:rsidRPr="00353068" w:rsidRDefault="00333F20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5B3419" w:rsidRPr="00353068" w:rsidRDefault="005B3419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3419" w:rsidRPr="00353068" w:rsidRDefault="005B3419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3419" w:rsidRPr="00353068" w:rsidRDefault="005B3419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3419" w:rsidRPr="00353068" w:rsidRDefault="005B3419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33F20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IV</w:t>
      </w:r>
      <w:r w:rsidR="002378B2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ZAVRŠNA</w:t>
      </w: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</w:p>
    <w:p w:rsidR="0002434A" w:rsidRPr="00353068" w:rsidRDefault="0002434A" w:rsidP="0002434A">
      <w:pPr>
        <w:spacing w:after="0" w:line="240" w:lineRule="auto"/>
        <w:ind w:righ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</w:t>
      </w:r>
    </w:p>
    <w:p w:rsidR="002378B2" w:rsidRPr="00353068" w:rsidRDefault="002378B2" w:rsidP="0002434A">
      <w:pPr>
        <w:spacing w:after="0" w:line="240" w:lineRule="auto"/>
        <w:ind w:right="-180"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F20" w:rsidRPr="00353068" w:rsidRDefault="00353068" w:rsidP="0002434A">
      <w:pPr>
        <w:spacing w:after="0" w:line="240" w:lineRule="auto"/>
        <w:ind w:right="-180"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33F20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33F20" w:rsidRPr="00353068" w:rsidRDefault="00333F20" w:rsidP="0002434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78E3" w:rsidRPr="00353068" w:rsidRDefault="00353068" w:rsidP="003478E3">
      <w:pPr>
        <w:spacing w:after="0"/>
        <w:ind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478E3" w:rsidRPr="00353068" w:rsidRDefault="00353068" w:rsidP="003478E3">
      <w:pPr>
        <w:spacing w:after="0"/>
        <w:ind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478E3" w:rsidRPr="00353068" w:rsidRDefault="003478E3" w:rsidP="003478E3">
      <w:pPr>
        <w:spacing w:after="0"/>
        <w:ind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78E3" w:rsidRPr="00353068" w:rsidRDefault="003478E3" w:rsidP="003478E3">
      <w:pPr>
        <w:spacing w:after="0"/>
        <w:ind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78E3" w:rsidRPr="00353068" w:rsidRDefault="00353068" w:rsidP="003478E3">
      <w:pPr>
        <w:spacing w:after="0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3478E3" w:rsidRPr="00353068" w:rsidRDefault="003478E3" w:rsidP="003478E3">
      <w:pPr>
        <w:spacing w:after="0"/>
        <w:ind w:firstLine="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78E3" w:rsidRPr="00353068" w:rsidRDefault="00DA2121" w:rsidP="003478E3">
      <w:pPr>
        <w:spacing w:after="0"/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3478E3" w:rsidRPr="00353068" w:rsidRDefault="003478E3" w:rsidP="003478E3">
      <w:pPr>
        <w:spacing w:after="0"/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78E3" w:rsidRPr="00353068" w:rsidRDefault="00DA2121" w:rsidP="003478E3">
      <w:pPr>
        <w:spacing w:after="0"/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3478E3" w:rsidRPr="003530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3068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sectPr w:rsidR="003478E3" w:rsidRPr="00353068" w:rsidSect="00024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3E" w:rsidRDefault="0097563E" w:rsidP="0002434A">
      <w:pPr>
        <w:spacing w:after="0" w:line="240" w:lineRule="auto"/>
      </w:pPr>
      <w:r>
        <w:separator/>
      </w:r>
    </w:p>
  </w:endnote>
  <w:endnote w:type="continuationSeparator" w:id="0">
    <w:p w:rsidR="0097563E" w:rsidRDefault="0097563E" w:rsidP="0002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68" w:rsidRDefault="00353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A" w:rsidRPr="00353068" w:rsidRDefault="0072025A">
    <w:pPr>
      <w:pStyle w:val="Footer"/>
      <w:jc w:val="right"/>
      <w:rPr>
        <w:noProof/>
        <w:lang w:val="sr-Latn-CS"/>
      </w:rPr>
    </w:pPr>
    <w:r w:rsidRPr="00353068">
      <w:rPr>
        <w:noProof/>
        <w:lang w:val="sr-Latn-CS"/>
      </w:rPr>
      <w:fldChar w:fldCharType="begin"/>
    </w:r>
    <w:r w:rsidR="0002434A" w:rsidRPr="00353068">
      <w:rPr>
        <w:noProof/>
        <w:lang w:val="sr-Latn-CS"/>
      </w:rPr>
      <w:instrText xml:space="preserve"> PAGE   \* MERGEFORMAT </w:instrText>
    </w:r>
    <w:r w:rsidRPr="00353068">
      <w:rPr>
        <w:noProof/>
        <w:lang w:val="sr-Latn-CS"/>
      </w:rPr>
      <w:fldChar w:fldCharType="separate"/>
    </w:r>
    <w:r w:rsidR="00353068">
      <w:rPr>
        <w:noProof/>
        <w:lang w:val="sr-Latn-CS"/>
      </w:rPr>
      <w:t>12</w:t>
    </w:r>
    <w:r w:rsidRPr="00353068">
      <w:rPr>
        <w:noProof/>
        <w:lang w:val="sr-Latn-CS"/>
      </w:rPr>
      <w:fldChar w:fldCharType="end"/>
    </w:r>
  </w:p>
  <w:p w:rsidR="0002434A" w:rsidRPr="00353068" w:rsidRDefault="0002434A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68" w:rsidRDefault="00353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3E" w:rsidRDefault="0097563E" w:rsidP="0002434A">
      <w:pPr>
        <w:spacing w:after="0" w:line="240" w:lineRule="auto"/>
      </w:pPr>
      <w:r>
        <w:separator/>
      </w:r>
    </w:p>
  </w:footnote>
  <w:footnote w:type="continuationSeparator" w:id="0">
    <w:p w:rsidR="0097563E" w:rsidRDefault="0097563E" w:rsidP="0002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68" w:rsidRDefault="00353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68" w:rsidRDefault="00353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68" w:rsidRDefault="00353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FF"/>
    <w:multiLevelType w:val="hybridMultilevel"/>
    <w:tmpl w:val="8DB87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3CB"/>
    <w:multiLevelType w:val="hybridMultilevel"/>
    <w:tmpl w:val="1AF8F90E"/>
    <w:lvl w:ilvl="0" w:tplc="84BC8E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9036FC"/>
    <w:multiLevelType w:val="hybridMultilevel"/>
    <w:tmpl w:val="FA5AF056"/>
    <w:lvl w:ilvl="0" w:tplc="C64E32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23D47"/>
    <w:multiLevelType w:val="hybridMultilevel"/>
    <w:tmpl w:val="F6B67010"/>
    <w:lvl w:ilvl="0" w:tplc="BA04DC0A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4">
    <w:nsid w:val="3BDD5616"/>
    <w:multiLevelType w:val="hybridMultilevel"/>
    <w:tmpl w:val="6A5A6004"/>
    <w:lvl w:ilvl="0" w:tplc="D19CE2A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1356A2"/>
    <w:multiLevelType w:val="hybridMultilevel"/>
    <w:tmpl w:val="B5589FDE"/>
    <w:lvl w:ilvl="0" w:tplc="BA04DC0A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>
    <w:nsid w:val="46B135A8"/>
    <w:multiLevelType w:val="hybridMultilevel"/>
    <w:tmpl w:val="D9FE8786"/>
    <w:lvl w:ilvl="0" w:tplc="84BC8E5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23270"/>
    <w:multiLevelType w:val="hybridMultilevel"/>
    <w:tmpl w:val="689A623E"/>
    <w:lvl w:ilvl="0" w:tplc="4648846A">
      <w:start w:val="1"/>
      <w:numFmt w:val="decimal"/>
      <w:lvlText w:val="(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>
    <w:nsid w:val="611F3C8D"/>
    <w:multiLevelType w:val="hybridMultilevel"/>
    <w:tmpl w:val="83887CB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7AA7"/>
    <w:multiLevelType w:val="hybridMultilevel"/>
    <w:tmpl w:val="8FEE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1B5D"/>
    <w:multiLevelType w:val="hybridMultilevel"/>
    <w:tmpl w:val="43EAE06A"/>
    <w:lvl w:ilvl="0" w:tplc="EF3A30D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877B7"/>
    <w:multiLevelType w:val="hybridMultilevel"/>
    <w:tmpl w:val="D86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7C4D11"/>
    <w:multiLevelType w:val="hybridMultilevel"/>
    <w:tmpl w:val="63CC0CBA"/>
    <w:lvl w:ilvl="0" w:tplc="BA04D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2474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15A9"/>
    <w:rsid w:val="00014D6E"/>
    <w:rsid w:val="0001500D"/>
    <w:rsid w:val="00015D02"/>
    <w:rsid w:val="0001656E"/>
    <w:rsid w:val="0002434A"/>
    <w:rsid w:val="000243D2"/>
    <w:rsid w:val="000258AB"/>
    <w:rsid w:val="00033BBE"/>
    <w:rsid w:val="00034E96"/>
    <w:rsid w:val="0004042D"/>
    <w:rsid w:val="00040564"/>
    <w:rsid w:val="00044E04"/>
    <w:rsid w:val="00046C8D"/>
    <w:rsid w:val="00052933"/>
    <w:rsid w:val="00056D71"/>
    <w:rsid w:val="00057280"/>
    <w:rsid w:val="000647B8"/>
    <w:rsid w:val="00065B62"/>
    <w:rsid w:val="000677CB"/>
    <w:rsid w:val="00067F1F"/>
    <w:rsid w:val="00077A4E"/>
    <w:rsid w:val="000813D7"/>
    <w:rsid w:val="0008189A"/>
    <w:rsid w:val="00084385"/>
    <w:rsid w:val="000900A0"/>
    <w:rsid w:val="000934B4"/>
    <w:rsid w:val="00093697"/>
    <w:rsid w:val="000950CF"/>
    <w:rsid w:val="000A777D"/>
    <w:rsid w:val="000A7E77"/>
    <w:rsid w:val="000B15E3"/>
    <w:rsid w:val="000B1A33"/>
    <w:rsid w:val="000B6798"/>
    <w:rsid w:val="000B777C"/>
    <w:rsid w:val="000C0C05"/>
    <w:rsid w:val="000C1A37"/>
    <w:rsid w:val="000D017A"/>
    <w:rsid w:val="000D110A"/>
    <w:rsid w:val="000D2386"/>
    <w:rsid w:val="000E0AC7"/>
    <w:rsid w:val="000E67F3"/>
    <w:rsid w:val="000E7DA7"/>
    <w:rsid w:val="000F2463"/>
    <w:rsid w:val="000F3BC7"/>
    <w:rsid w:val="000F3C1A"/>
    <w:rsid w:val="000F5356"/>
    <w:rsid w:val="000F5489"/>
    <w:rsid w:val="000F66D4"/>
    <w:rsid w:val="00102BEF"/>
    <w:rsid w:val="001059FF"/>
    <w:rsid w:val="00105B21"/>
    <w:rsid w:val="00111D77"/>
    <w:rsid w:val="00122B95"/>
    <w:rsid w:val="00142ECC"/>
    <w:rsid w:val="001449A7"/>
    <w:rsid w:val="00150F21"/>
    <w:rsid w:val="00156B9B"/>
    <w:rsid w:val="00165619"/>
    <w:rsid w:val="0016772C"/>
    <w:rsid w:val="00171E64"/>
    <w:rsid w:val="00184D50"/>
    <w:rsid w:val="00185E24"/>
    <w:rsid w:val="001916E4"/>
    <w:rsid w:val="001B0D8C"/>
    <w:rsid w:val="001B679A"/>
    <w:rsid w:val="001C3E7B"/>
    <w:rsid w:val="001D2B99"/>
    <w:rsid w:val="001D5730"/>
    <w:rsid w:val="001E0DD5"/>
    <w:rsid w:val="001F1647"/>
    <w:rsid w:val="001F3707"/>
    <w:rsid w:val="001F5378"/>
    <w:rsid w:val="00200C5F"/>
    <w:rsid w:val="00201A18"/>
    <w:rsid w:val="002123CE"/>
    <w:rsid w:val="00214CA8"/>
    <w:rsid w:val="00217ABB"/>
    <w:rsid w:val="00220DE7"/>
    <w:rsid w:val="0022222F"/>
    <w:rsid w:val="00223D1F"/>
    <w:rsid w:val="002316C9"/>
    <w:rsid w:val="00231CB0"/>
    <w:rsid w:val="002321B6"/>
    <w:rsid w:val="0023245F"/>
    <w:rsid w:val="00236A48"/>
    <w:rsid w:val="0023760C"/>
    <w:rsid w:val="002378B2"/>
    <w:rsid w:val="00240AEF"/>
    <w:rsid w:val="00241071"/>
    <w:rsid w:val="00244F3B"/>
    <w:rsid w:val="002548D5"/>
    <w:rsid w:val="00256C98"/>
    <w:rsid w:val="00260343"/>
    <w:rsid w:val="0026278B"/>
    <w:rsid w:val="00274C3B"/>
    <w:rsid w:val="00283945"/>
    <w:rsid w:val="00290101"/>
    <w:rsid w:val="002A3334"/>
    <w:rsid w:val="002C4264"/>
    <w:rsid w:val="002D25CE"/>
    <w:rsid w:val="002D436D"/>
    <w:rsid w:val="002D629C"/>
    <w:rsid w:val="002D6678"/>
    <w:rsid w:val="002E1822"/>
    <w:rsid w:val="002E2D95"/>
    <w:rsid w:val="002E4B1D"/>
    <w:rsid w:val="002E5598"/>
    <w:rsid w:val="002E6086"/>
    <w:rsid w:val="002E616E"/>
    <w:rsid w:val="003009DD"/>
    <w:rsid w:val="0030419B"/>
    <w:rsid w:val="00310DCC"/>
    <w:rsid w:val="0031191E"/>
    <w:rsid w:val="00322059"/>
    <w:rsid w:val="00324334"/>
    <w:rsid w:val="00330A78"/>
    <w:rsid w:val="00333F20"/>
    <w:rsid w:val="003368E1"/>
    <w:rsid w:val="00337782"/>
    <w:rsid w:val="00343C8C"/>
    <w:rsid w:val="003478E3"/>
    <w:rsid w:val="00350393"/>
    <w:rsid w:val="003508A1"/>
    <w:rsid w:val="00353068"/>
    <w:rsid w:val="00361D87"/>
    <w:rsid w:val="003634C7"/>
    <w:rsid w:val="00367AD6"/>
    <w:rsid w:val="0037207E"/>
    <w:rsid w:val="00375573"/>
    <w:rsid w:val="003806A9"/>
    <w:rsid w:val="00380FAE"/>
    <w:rsid w:val="00384BDC"/>
    <w:rsid w:val="003875A1"/>
    <w:rsid w:val="00397968"/>
    <w:rsid w:val="003A0112"/>
    <w:rsid w:val="003B3826"/>
    <w:rsid w:val="003B4465"/>
    <w:rsid w:val="003B4B2D"/>
    <w:rsid w:val="003C0FBA"/>
    <w:rsid w:val="003D2690"/>
    <w:rsid w:val="003D39FA"/>
    <w:rsid w:val="003E3331"/>
    <w:rsid w:val="003E3AAD"/>
    <w:rsid w:val="003F4220"/>
    <w:rsid w:val="003F4818"/>
    <w:rsid w:val="003F49CD"/>
    <w:rsid w:val="00402D20"/>
    <w:rsid w:val="004036D9"/>
    <w:rsid w:val="004068ED"/>
    <w:rsid w:val="00413ADA"/>
    <w:rsid w:val="00420439"/>
    <w:rsid w:val="00420C38"/>
    <w:rsid w:val="00422C81"/>
    <w:rsid w:val="00422E82"/>
    <w:rsid w:val="00425E7A"/>
    <w:rsid w:val="0043068B"/>
    <w:rsid w:val="00430C52"/>
    <w:rsid w:val="00430D1D"/>
    <w:rsid w:val="00431502"/>
    <w:rsid w:val="00431C99"/>
    <w:rsid w:val="00432811"/>
    <w:rsid w:val="004345CE"/>
    <w:rsid w:val="00436093"/>
    <w:rsid w:val="0045471D"/>
    <w:rsid w:val="00454AE2"/>
    <w:rsid w:val="004623E0"/>
    <w:rsid w:val="004647AB"/>
    <w:rsid w:val="0046611E"/>
    <w:rsid w:val="00470E42"/>
    <w:rsid w:val="00472120"/>
    <w:rsid w:val="00473A0F"/>
    <w:rsid w:val="0048543D"/>
    <w:rsid w:val="00485A4E"/>
    <w:rsid w:val="004861AE"/>
    <w:rsid w:val="0049557C"/>
    <w:rsid w:val="00495C7F"/>
    <w:rsid w:val="0049695B"/>
    <w:rsid w:val="004A2A55"/>
    <w:rsid w:val="004A316F"/>
    <w:rsid w:val="004A460C"/>
    <w:rsid w:val="004A758E"/>
    <w:rsid w:val="004B016E"/>
    <w:rsid w:val="004B06C3"/>
    <w:rsid w:val="004B30B3"/>
    <w:rsid w:val="004B73F7"/>
    <w:rsid w:val="004C097B"/>
    <w:rsid w:val="004C3D5E"/>
    <w:rsid w:val="004C46F5"/>
    <w:rsid w:val="004D5445"/>
    <w:rsid w:val="004D5A90"/>
    <w:rsid w:val="004E5BEC"/>
    <w:rsid w:val="004F0C69"/>
    <w:rsid w:val="004F0D1F"/>
    <w:rsid w:val="004F126F"/>
    <w:rsid w:val="00500237"/>
    <w:rsid w:val="00507E97"/>
    <w:rsid w:val="00516F27"/>
    <w:rsid w:val="00523236"/>
    <w:rsid w:val="00527D0A"/>
    <w:rsid w:val="005357FF"/>
    <w:rsid w:val="005367D4"/>
    <w:rsid w:val="005457C1"/>
    <w:rsid w:val="00547375"/>
    <w:rsid w:val="00550750"/>
    <w:rsid w:val="00553FA7"/>
    <w:rsid w:val="0055475E"/>
    <w:rsid w:val="00566275"/>
    <w:rsid w:val="00572D36"/>
    <w:rsid w:val="00573EB6"/>
    <w:rsid w:val="00573FFD"/>
    <w:rsid w:val="00576125"/>
    <w:rsid w:val="005763B1"/>
    <w:rsid w:val="0058288D"/>
    <w:rsid w:val="00583467"/>
    <w:rsid w:val="005847F5"/>
    <w:rsid w:val="005849C0"/>
    <w:rsid w:val="0058677C"/>
    <w:rsid w:val="00594315"/>
    <w:rsid w:val="005946E5"/>
    <w:rsid w:val="005A3768"/>
    <w:rsid w:val="005A39DB"/>
    <w:rsid w:val="005A6481"/>
    <w:rsid w:val="005A78AC"/>
    <w:rsid w:val="005B0ED8"/>
    <w:rsid w:val="005B2BC3"/>
    <w:rsid w:val="005B3083"/>
    <w:rsid w:val="005B3419"/>
    <w:rsid w:val="005B4C5A"/>
    <w:rsid w:val="005C0F4C"/>
    <w:rsid w:val="005D2955"/>
    <w:rsid w:val="005D2FB2"/>
    <w:rsid w:val="005D5401"/>
    <w:rsid w:val="005D5712"/>
    <w:rsid w:val="005E0EED"/>
    <w:rsid w:val="005E57BD"/>
    <w:rsid w:val="005E6175"/>
    <w:rsid w:val="005E6945"/>
    <w:rsid w:val="005F014F"/>
    <w:rsid w:val="005F0F03"/>
    <w:rsid w:val="005F39A2"/>
    <w:rsid w:val="005F3E87"/>
    <w:rsid w:val="005F499B"/>
    <w:rsid w:val="00600ACC"/>
    <w:rsid w:val="00604C9F"/>
    <w:rsid w:val="006074AC"/>
    <w:rsid w:val="006151F9"/>
    <w:rsid w:val="006165C9"/>
    <w:rsid w:val="00625187"/>
    <w:rsid w:val="00630043"/>
    <w:rsid w:val="00632BDB"/>
    <w:rsid w:val="006445AA"/>
    <w:rsid w:val="00646971"/>
    <w:rsid w:val="00646FDA"/>
    <w:rsid w:val="00650BD2"/>
    <w:rsid w:val="0065191F"/>
    <w:rsid w:val="00655714"/>
    <w:rsid w:val="00655C58"/>
    <w:rsid w:val="00655FF9"/>
    <w:rsid w:val="00656AEE"/>
    <w:rsid w:val="00661DAD"/>
    <w:rsid w:val="00665095"/>
    <w:rsid w:val="00666949"/>
    <w:rsid w:val="006711C1"/>
    <w:rsid w:val="00682567"/>
    <w:rsid w:val="00682898"/>
    <w:rsid w:val="0068415E"/>
    <w:rsid w:val="00685A27"/>
    <w:rsid w:val="006916C6"/>
    <w:rsid w:val="006927BB"/>
    <w:rsid w:val="00694ECE"/>
    <w:rsid w:val="00694ED0"/>
    <w:rsid w:val="006A251A"/>
    <w:rsid w:val="006A3AF0"/>
    <w:rsid w:val="006A5577"/>
    <w:rsid w:val="006A641A"/>
    <w:rsid w:val="006B78C3"/>
    <w:rsid w:val="006C08BE"/>
    <w:rsid w:val="006C1A1A"/>
    <w:rsid w:val="006C2D93"/>
    <w:rsid w:val="006D58E9"/>
    <w:rsid w:val="006F2169"/>
    <w:rsid w:val="006F7D4F"/>
    <w:rsid w:val="00710765"/>
    <w:rsid w:val="00714507"/>
    <w:rsid w:val="00714FD8"/>
    <w:rsid w:val="00715CD6"/>
    <w:rsid w:val="00716BC0"/>
    <w:rsid w:val="00716FD9"/>
    <w:rsid w:val="007179EC"/>
    <w:rsid w:val="0072025A"/>
    <w:rsid w:val="0072151C"/>
    <w:rsid w:val="00732BCA"/>
    <w:rsid w:val="00734C06"/>
    <w:rsid w:val="007450B4"/>
    <w:rsid w:val="00747A54"/>
    <w:rsid w:val="00747C40"/>
    <w:rsid w:val="00752E65"/>
    <w:rsid w:val="00752F96"/>
    <w:rsid w:val="00753676"/>
    <w:rsid w:val="007544EC"/>
    <w:rsid w:val="00766A80"/>
    <w:rsid w:val="00767C0E"/>
    <w:rsid w:val="00773FA3"/>
    <w:rsid w:val="00781B9B"/>
    <w:rsid w:val="00783041"/>
    <w:rsid w:val="00787B8B"/>
    <w:rsid w:val="00790A69"/>
    <w:rsid w:val="00791133"/>
    <w:rsid w:val="007A2EE7"/>
    <w:rsid w:val="007A3286"/>
    <w:rsid w:val="007A48A6"/>
    <w:rsid w:val="007A54F8"/>
    <w:rsid w:val="007A7056"/>
    <w:rsid w:val="007B710E"/>
    <w:rsid w:val="007C1E18"/>
    <w:rsid w:val="007C48AA"/>
    <w:rsid w:val="007D176D"/>
    <w:rsid w:val="007D29AA"/>
    <w:rsid w:val="007D6B4D"/>
    <w:rsid w:val="007E49B3"/>
    <w:rsid w:val="007E4C57"/>
    <w:rsid w:val="007F16B5"/>
    <w:rsid w:val="007F422A"/>
    <w:rsid w:val="007F5213"/>
    <w:rsid w:val="007F6787"/>
    <w:rsid w:val="008034E0"/>
    <w:rsid w:val="0081529E"/>
    <w:rsid w:val="008175C1"/>
    <w:rsid w:val="008176DC"/>
    <w:rsid w:val="00817EC6"/>
    <w:rsid w:val="00823356"/>
    <w:rsid w:val="00845660"/>
    <w:rsid w:val="0085048E"/>
    <w:rsid w:val="00856AE4"/>
    <w:rsid w:val="00860592"/>
    <w:rsid w:val="00874119"/>
    <w:rsid w:val="00876249"/>
    <w:rsid w:val="008772C8"/>
    <w:rsid w:val="008821C1"/>
    <w:rsid w:val="00896C9C"/>
    <w:rsid w:val="00897974"/>
    <w:rsid w:val="008B035C"/>
    <w:rsid w:val="008B1E78"/>
    <w:rsid w:val="008C1BC6"/>
    <w:rsid w:val="008C25A2"/>
    <w:rsid w:val="008C7844"/>
    <w:rsid w:val="008D6470"/>
    <w:rsid w:val="008E0BC5"/>
    <w:rsid w:val="008E21AC"/>
    <w:rsid w:val="008E40E1"/>
    <w:rsid w:val="008E6697"/>
    <w:rsid w:val="008F451B"/>
    <w:rsid w:val="0090478F"/>
    <w:rsid w:val="00904C36"/>
    <w:rsid w:val="0090599B"/>
    <w:rsid w:val="009127D2"/>
    <w:rsid w:val="00923A92"/>
    <w:rsid w:val="009330DC"/>
    <w:rsid w:val="00936E11"/>
    <w:rsid w:val="00941BAD"/>
    <w:rsid w:val="0095391F"/>
    <w:rsid w:val="00961A67"/>
    <w:rsid w:val="00962A54"/>
    <w:rsid w:val="00963698"/>
    <w:rsid w:val="009650B3"/>
    <w:rsid w:val="00965D56"/>
    <w:rsid w:val="0096668A"/>
    <w:rsid w:val="00970FA1"/>
    <w:rsid w:val="00971209"/>
    <w:rsid w:val="00971B86"/>
    <w:rsid w:val="00974C73"/>
    <w:rsid w:val="0097563E"/>
    <w:rsid w:val="00980B76"/>
    <w:rsid w:val="00987403"/>
    <w:rsid w:val="00996B0C"/>
    <w:rsid w:val="009A15A9"/>
    <w:rsid w:val="009A160F"/>
    <w:rsid w:val="009A1DB8"/>
    <w:rsid w:val="009A76E3"/>
    <w:rsid w:val="009B0CBB"/>
    <w:rsid w:val="009B1138"/>
    <w:rsid w:val="009B2D42"/>
    <w:rsid w:val="009B6576"/>
    <w:rsid w:val="009C013F"/>
    <w:rsid w:val="009C5032"/>
    <w:rsid w:val="009D0064"/>
    <w:rsid w:val="009D1BDE"/>
    <w:rsid w:val="009D52D6"/>
    <w:rsid w:val="009D6F3B"/>
    <w:rsid w:val="009D7FC1"/>
    <w:rsid w:val="009E17E9"/>
    <w:rsid w:val="009F64CF"/>
    <w:rsid w:val="00A001B5"/>
    <w:rsid w:val="00A028B9"/>
    <w:rsid w:val="00A06970"/>
    <w:rsid w:val="00A14E00"/>
    <w:rsid w:val="00A23A9F"/>
    <w:rsid w:val="00A24F4E"/>
    <w:rsid w:val="00A25EF0"/>
    <w:rsid w:val="00A345F4"/>
    <w:rsid w:val="00A44A7B"/>
    <w:rsid w:val="00A54F01"/>
    <w:rsid w:val="00A55D5D"/>
    <w:rsid w:val="00A71EF6"/>
    <w:rsid w:val="00A72D1E"/>
    <w:rsid w:val="00A81E28"/>
    <w:rsid w:val="00A929E4"/>
    <w:rsid w:val="00A94D1E"/>
    <w:rsid w:val="00A970B8"/>
    <w:rsid w:val="00A97D30"/>
    <w:rsid w:val="00AA73EE"/>
    <w:rsid w:val="00AB6B9A"/>
    <w:rsid w:val="00AD0E80"/>
    <w:rsid w:val="00AD53D1"/>
    <w:rsid w:val="00AE05A0"/>
    <w:rsid w:val="00AE26EF"/>
    <w:rsid w:val="00AE492D"/>
    <w:rsid w:val="00AF3568"/>
    <w:rsid w:val="00AF479F"/>
    <w:rsid w:val="00AF6DC8"/>
    <w:rsid w:val="00AF7305"/>
    <w:rsid w:val="00B00FF0"/>
    <w:rsid w:val="00B0798E"/>
    <w:rsid w:val="00B21F5B"/>
    <w:rsid w:val="00B22F60"/>
    <w:rsid w:val="00B25619"/>
    <w:rsid w:val="00B34310"/>
    <w:rsid w:val="00B4219D"/>
    <w:rsid w:val="00B60EB5"/>
    <w:rsid w:val="00B61EE7"/>
    <w:rsid w:val="00B627AA"/>
    <w:rsid w:val="00B62CAB"/>
    <w:rsid w:val="00B64A04"/>
    <w:rsid w:val="00B73394"/>
    <w:rsid w:val="00B75902"/>
    <w:rsid w:val="00B76B65"/>
    <w:rsid w:val="00B94901"/>
    <w:rsid w:val="00B954F7"/>
    <w:rsid w:val="00BA331D"/>
    <w:rsid w:val="00BA51AC"/>
    <w:rsid w:val="00BA6E8C"/>
    <w:rsid w:val="00BD0CB7"/>
    <w:rsid w:val="00BD13F9"/>
    <w:rsid w:val="00BD2300"/>
    <w:rsid w:val="00BE458D"/>
    <w:rsid w:val="00BF61AF"/>
    <w:rsid w:val="00BF66FF"/>
    <w:rsid w:val="00C04292"/>
    <w:rsid w:val="00C058EB"/>
    <w:rsid w:val="00C05E53"/>
    <w:rsid w:val="00C112BA"/>
    <w:rsid w:val="00C154BD"/>
    <w:rsid w:val="00C32A68"/>
    <w:rsid w:val="00C32E91"/>
    <w:rsid w:val="00C33043"/>
    <w:rsid w:val="00C34A1D"/>
    <w:rsid w:val="00C44844"/>
    <w:rsid w:val="00C46100"/>
    <w:rsid w:val="00C46A93"/>
    <w:rsid w:val="00C738C3"/>
    <w:rsid w:val="00C80403"/>
    <w:rsid w:val="00C83CBA"/>
    <w:rsid w:val="00C84ECB"/>
    <w:rsid w:val="00C85347"/>
    <w:rsid w:val="00C8538C"/>
    <w:rsid w:val="00C85D04"/>
    <w:rsid w:val="00C90555"/>
    <w:rsid w:val="00C959B8"/>
    <w:rsid w:val="00CA09AC"/>
    <w:rsid w:val="00CA1099"/>
    <w:rsid w:val="00CA3EB2"/>
    <w:rsid w:val="00CA5D94"/>
    <w:rsid w:val="00CC0504"/>
    <w:rsid w:val="00CC6CD2"/>
    <w:rsid w:val="00CD382F"/>
    <w:rsid w:val="00CD6E6F"/>
    <w:rsid w:val="00CE11D5"/>
    <w:rsid w:val="00CE67D7"/>
    <w:rsid w:val="00CF08E4"/>
    <w:rsid w:val="00CF1DD2"/>
    <w:rsid w:val="00D105DC"/>
    <w:rsid w:val="00D12478"/>
    <w:rsid w:val="00D15671"/>
    <w:rsid w:val="00D16632"/>
    <w:rsid w:val="00D16BC3"/>
    <w:rsid w:val="00D2204F"/>
    <w:rsid w:val="00D2429E"/>
    <w:rsid w:val="00D35C93"/>
    <w:rsid w:val="00D4178B"/>
    <w:rsid w:val="00D437A3"/>
    <w:rsid w:val="00D44620"/>
    <w:rsid w:val="00D45B08"/>
    <w:rsid w:val="00D51DCE"/>
    <w:rsid w:val="00D527D5"/>
    <w:rsid w:val="00D539EE"/>
    <w:rsid w:val="00D54EF2"/>
    <w:rsid w:val="00D7052B"/>
    <w:rsid w:val="00D70FF2"/>
    <w:rsid w:val="00D8124C"/>
    <w:rsid w:val="00D81B27"/>
    <w:rsid w:val="00D81C5C"/>
    <w:rsid w:val="00D85B13"/>
    <w:rsid w:val="00D908AD"/>
    <w:rsid w:val="00D908BF"/>
    <w:rsid w:val="00D90AEB"/>
    <w:rsid w:val="00D95A8C"/>
    <w:rsid w:val="00DA2121"/>
    <w:rsid w:val="00DA42EE"/>
    <w:rsid w:val="00DA5C88"/>
    <w:rsid w:val="00DB4E4B"/>
    <w:rsid w:val="00DC06BA"/>
    <w:rsid w:val="00DC2C1A"/>
    <w:rsid w:val="00DC3A58"/>
    <w:rsid w:val="00DD0644"/>
    <w:rsid w:val="00DD0954"/>
    <w:rsid w:val="00DD22B2"/>
    <w:rsid w:val="00DD541A"/>
    <w:rsid w:val="00DD7031"/>
    <w:rsid w:val="00DE1AFA"/>
    <w:rsid w:val="00E00589"/>
    <w:rsid w:val="00E012AF"/>
    <w:rsid w:val="00E15787"/>
    <w:rsid w:val="00E17494"/>
    <w:rsid w:val="00E21DDE"/>
    <w:rsid w:val="00E22E48"/>
    <w:rsid w:val="00E25453"/>
    <w:rsid w:val="00E2704A"/>
    <w:rsid w:val="00E273A8"/>
    <w:rsid w:val="00E315B2"/>
    <w:rsid w:val="00E33473"/>
    <w:rsid w:val="00E35FF5"/>
    <w:rsid w:val="00E404A8"/>
    <w:rsid w:val="00E446AA"/>
    <w:rsid w:val="00E467E8"/>
    <w:rsid w:val="00E46B95"/>
    <w:rsid w:val="00E471AD"/>
    <w:rsid w:val="00E541B8"/>
    <w:rsid w:val="00E67BBD"/>
    <w:rsid w:val="00E70C16"/>
    <w:rsid w:val="00E760F2"/>
    <w:rsid w:val="00E769C0"/>
    <w:rsid w:val="00E81332"/>
    <w:rsid w:val="00E817A1"/>
    <w:rsid w:val="00E90750"/>
    <w:rsid w:val="00E92714"/>
    <w:rsid w:val="00E93E78"/>
    <w:rsid w:val="00EA1105"/>
    <w:rsid w:val="00EA611A"/>
    <w:rsid w:val="00EB2DEC"/>
    <w:rsid w:val="00EB54FE"/>
    <w:rsid w:val="00EB72DD"/>
    <w:rsid w:val="00EB7A36"/>
    <w:rsid w:val="00EC01FF"/>
    <w:rsid w:val="00ED277D"/>
    <w:rsid w:val="00ED35A6"/>
    <w:rsid w:val="00ED55A8"/>
    <w:rsid w:val="00ED5BC8"/>
    <w:rsid w:val="00EF4894"/>
    <w:rsid w:val="00EF66ED"/>
    <w:rsid w:val="00F05FEB"/>
    <w:rsid w:val="00F1190A"/>
    <w:rsid w:val="00F14EA3"/>
    <w:rsid w:val="00F14F08"/>
    <w:rsid w:val="00F2005E"/>
    <w:rsid w:val="00F23441"/>
    <w:rsid w:val="00F2396A"/>
    <w:rsid w:val="00F26B6E"/>
    <w:rsid w:val="00F30FF7"/>
    <w:rsid w:val="00F31745"/>
    <w:rsid w:val="00F34232"/>
    <w:rsid w:val="00F34FD4"/>
    <w:rsid w:val="00F35553"/>
    <w:rsid w:val="00F3584A"/>
    <w:rsid w:val="00F43169"/>
    <w:rsid w:val="00F4374C"/>
    <w:rsid w:val="00F455A1"/>
    <w:rsid w:val="00F462EE"/>
    <w:rsid w:val="00F5207F"/>
    <w:rsid w:val="00F527C2"/>
    <w:rsid w:val="00F52836"/>
    <w:rsid w:val="00F53AF9"/>
    <w:rsid w:val="00F577FA"/>
    <w:rsid w:val="00F616A4"/>
    <w:rsid w:val="00F62BFB"/>
    <w:rsid w:val="00F658D4"/>
    <w:rsid w:val="00F67595"/>
    <w:rsid w:val="00F7034E"/>
    <w:rsid w:val="00F7349D"/>
    <w:rsid w:val="00F825A6"/>
    <w:rsid w:val="00FA1C9E"/>
    <w:rsid w:val="00FA3063"/>
    <w:rsid w:val="00FB1914"/>
    <w:rsid w:val="00FB39B1"/>
    <w:rsid w:val="00FB3F26"/>
    <w:rsid w:val="00FB5A01"/>
    <w:rsid w:val="00FC4F47"/>
    <w:rsid w:val="00FC4F84"/>
    <w:rsid w:val="00FC6840"/>
    <w:rsid w:val="00FD7903"/>
    <w:rsid w:val="00FE08D8"/>
    <w:rsid w:val="00FF0608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9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rsid w:val="000C1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1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1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A37"/>
    <w:rPr>
      <w:rFonts w:ascii="Tahoma" w:hAnsi="Tahoma" w:cs="Tahoma"/>
      <w:sz w:val="16"/>
      <w:szCs w:val="16"/>
    </w:rPr>
  </w:style>
  <w:style w:type="paragraph" w:customStyle="1" w:styleId="auto-style6">
    <w:name w:val="auto-style6"/>
    <w:basedOn w:val="Normal"/>
    <w:uiPriority w:val="99"/>
    <w:rsid w:val="00B9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875A1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rvts3">
    <w:name w:val="rvts3"/>
    <w:uiPriority w:val="99"/>
    <w:rsid w:val="00046C8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3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34A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2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34A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9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rsid w:val="000C1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1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1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A37"/>
    <w:rPr>
      <w:rFonts w:ascii="Tahoma" w:hAnsi="Tahoma" w:cs="Tahoma"/>
      <w:sz w:val="16"/>
      <w:szCs w:val="16"/>
    </w:rPr>
  </w:style>
  <w:style w:type="paragraph" w:customStyle="1" w:styleId="auto-style6">
    <w:name w:val="auto-style6"/>
    <w:basedOn w:val="Normal"/>
    <w:uiPriority w:val="99"/>
    <w:rsid w:val="00B9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875A1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rvts3">
    <w:name w:val="rvts3"/>
    <w:uiPriority w:val="99"/>
    <w:rsid w:val="00046C8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3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34A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2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34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>Grizli777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creator>jtomic</dc:creator>
  <cp:lastModifiedBy>Bojan</cp:lastModifiedBy>
  <cp:revision>2</cp:revision>
  <cp:lastPrinted>2014-11-07T07:50:00Z</cp:lastPrinted>
  <dcterms:created xsi:type="dcterms:W3CDTF">2014-11-10T08:05:00Z</dcterms:created>
  <dcterms:modified xsi:type="dcterms:W3CDTF">2014-11-10T08:05:00Z</dcterms:modified>
</cp:coreProperties>
</file>