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7" w:rsidRPr="003B10CC" w:rsidRDefault="005553C7" w:rsidP="00EE1E1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7390" w:rsidRPr="003B10CC" w:rsidRDefault="00EE1E12" w:rsidP="001C7390">
      <w:pPr>
        <w:pStyle w:val="NoSpacing"/>
        <w:tabs>
          <w:tab w:val="left" w:pos="0"/>
        </w:tabs>
        <w:jc w:val="both"/>
        <w:rPr>
          <w:noProof/>
          <w:lang w:val="sr-Latn-CS"/>
        </w:rPr>
      </w:pPr>
      <w:r w:rsidRPr="003B10CC">
        <w:rPr>
          <w:noProof/>
          <w:lang w:val="sr-Latn-CS"/>
        </w:rPr>
        <w:tab/>
      </w:r>
      <w:r w:rsidR="003B10CC">
        <w:rPr>
          <w:noProof/>
          <w:lang w:val="sr-Latn-CS"/>
        </w:rPr>
        <w:t>Na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osnovu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člana</w:t>
      </w:r>
      <w:r w:rsidR="001C7390" w:rsidRPr="003B10CC">
        <w:rPr>
          <w:noProof/>
          <w:lang w:val="sr-Latn-CS"/>
        </w:rPr>
        <w:t xml:space="preserve"> 7. </w:t>
      </w:r>
      <w:r w:rsidR="003B10CC">
        <w:rPr>
          <w:noProof/>
          <w:lang w:val="sr-Latn-CS"/>
        </w:rPr>
        <w:t>Zakona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o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budžetu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Republike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Srbije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za</w:t>
      </w:r>
      <w:r w:rsidR="001C7390" w:rsidRPr="003B10CC">
        <w:rPr>
          <w:noProof/>
          <w:lang w:val="sr-Latn-CS"/>
        </w:rPr>
        <w:t xml:space="preserve"> 2013. </w:t>
      </w:r>
      <w:r w:rsidR="003B10CC">
        <w:rPr>
          <w:noProof/>
          <w:lang w:val="sr-Latn-CS"/>
        </w:rPr>
        <w:t>godinu</w:t>
      </w:r>
      <w:r w:rsidR="001C7390" w:rsidRPr="003B10CC">
        <w:rPr>
          <w:noProof/>
          <w:lang w:val="sr-Latn-CS"/>
        </w:rPr>
        <w:t xml:space="preserve"> („</w:t>
      </w:r>
      <w:r w:rsidR="003B10CC">
        <w:rPr>
          <w:noProof/>
          <w:lang w:val="sr-Latn-CS"/>
        </w:rPr>
        <w:t>Službeni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glasnik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RS</w:t>
      </w:r>
      <w:r w:rsidR="001C7390" w:rsidRPr="003B10CC">
        <w:rPr>
          <w:noProof/>
          <w:lang w:val="sr-Latn-CS"/>
        </w:rPr>
        <w:t xml:space="preserve">”, </w:t>
      </w:r>
      <w:r w:rsidR="003B10CC">
        <w:rPr>
          <w:noProof/>
          <w:lang w:val="sr-Latn-CS"/>
        </w:rPr>
        <w:t>broj</w:t>
      </w:r>
      <w:r w:rsidR="001C7390" w:rsidRPr="003B10CC">
        <w:rPr>
          <w:noProof/>
          <w:lang w:val="sr-Latn-CS"/>
        </w:rPr>
        <w:t xml:space="preserve"> 114/12) </w:t>
      </w:r>
      <w:r w:rsidR="003B10CC">
        <w:rPr>
          <w:noProof/>
          <w:lang w:val="sr-Latn-CS"/>
        </w:rPr>
        <w:t>i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člana</w:t>
      </w:r>
      <w:r w:rsidR="001C7390" w:rsidRPr="003B10CC">
        <w:rPr>
          <w:noProof/>
          <w:lang w:val="sr-Latn-CS"/>
        </w:rPr>
        <w:t xml:space="preserve"> 42. </w:t>
      </w:r>
      <w:r w:rsidR="003B10CC">
        <w:rPr>
          <w:noProof/>
          <w:lang w:val="sr-Latn-CS"/>
        </w:rPr>
        <w:t>stav</w:t>
      </w:r>
      <w:r w:rsidR="001C7390" w:rsidRPr="003B10CC">
        <w:rPr>
          <w:noProof/>
          <w:lang w:val="sr-Latn-CS"/>
        </w:rPr>
        <w:t xml:space="preserve"> 1. </w:t>
      </w:r>
      <w:r w:rsidR="003B10CC">
        <w:rPr>
          <w:noProof/>
          <w:lang w:val="sr-Latn-CS"/>
        </w:rPr>
        <w:t>Zakona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o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Vladi</w:t>
      </w:r>
      <w:r w:rsidR="001C7390" w:rsidRPr="003B10CC">
        <w:rPr>
          <w:noProof/>
          <w:lang w:val="sr-Latn-CS"/>
        </w:rPr>
        <w:t xml:space="preserve"> („</w:t>
      </w:r>
      <w:r w:rsidR="003B10CC">
        <w:rPr>
          <w:noProof/>
          <w:lang w:val="sr-Latn-CS"/>
        </w:rPr>
        <w:t>Službeni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glasnik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RS</w:t>
      </w:r>
      <w:r w:rsidR="001C7390" w:rsidRPr="003B10CC">
        <w:rPr>
          <w:noProof/>
          <w:lang w:val="sr-Latn-CS"/>
        </w:rPr>
        <w:t xml:space="preserve">”, </w:t>
      </w:r>
      <w:r w:rsidR="003B10CC">
        <w:rPr>
          <w:noProof/>
          <w:lang w:val="sr-Latn-CS"/>
        </w:rPr>
        <w:t>br</w:t>
      </w:r>
      <w:r w:rsidR="001C7390" w:rsidRPr="003B10CC">
        <w:rPr>
          <w:noProof/>
          <w:lang w:val="sr-Latn-CS"/>
        </w:rPr>
        <w:t>. 55/05, 71/05-</w:t>
      </w:r>
      <w:r w:rsidR="003B10CC">
        <w:rPr>
          <w:noProof/>
          <w:lang w:val="sr-Latn-CS"/>
        </w:rPr>
        <w:t>ispravka</w:t>
      </w:r>
      <w:r w:rsidR="001C7390" w:rsidRPr="003B10CC">
        <w:rPr>
          <w:noProof/>
          <w:lang w:val="sr-Latn-CS"/>
        </w:rPr>
        <w:t>, 101/07, 65/08, 16/11, 68/12-</w:t>
      </w:r>
      <w:r w:rsidR="003B10CC">
        <w:rPr>
          <w:noProof/>
          <w:lang w:val="sr-Latn-CS"/>
        </w:rPr>
        <w:t>US</w:t>
      </w:r>
      <w:r w:rsidR="001C7390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i</w:t>
      </w:r>
      <w:r w:rsidR="001C7390" w:rsidRPr="003B10CC">
        <w:rPr>
          <w:noProof/>
          <w:lang w:val="sr-Latn-CS"/>
        </w:rPr>
        <w:t xml:space="preserve"> 72/12),</w:t>
      </w:r>
    </w:p>
    <w:p w:rsidR="00A01188" w:rsidRPr="003B10CC" w:rsidRDefault="001C7390" w:rsidP="001C7390">
      <w:pPr>
        <w:pStyle w:val="NoSpacing"/>
        <w:tabs>
          <w:tab w:val="left" w:pos="0"/>
        </w:tabs>
        <w:jc w:val="both"/>
        <w:rPr>
          <w:noProof/>
          <w:lang w:val="sr-Latn-CS"/>
        </w:rPr>
      </w:pPr>
      <w:r w:rsidRPr="003B10CC">
        <w:rPr>
          <w:noProof/>
          <w:lang w:val="sr-Latn-CS"/>
        </w:rPr>
        <w:tab/>
      </w:r>
    </w:p>
    <w:p w:rsidR="00EE1E12" w:rsidRPr="003B10CC" w:rsidRDefault="00A01188" w:rsidP="001C7390">
      <w:pPr>
        <w:pStyle w:val="NoSpacing"/>
        <w:tabs>
          <w:tab w:val="left" w:pos="0"/>
        </w:tabs>
        <w:jc w:val="both"/>
        <w:rPr>
          <w:noProof/>
          <w:lang w:val="sr-Latn-CS"/>
        </w:rPr>
      </w:pPr>
      <w:r w:rsidRPr="003B10CC">
        <w:rPr>
          <w:noProof/>
          <w:lang w:val="sr-Latn-CS"/>
        </w:rPr>
        <w:tab/>
      </w:r>
      <w:r w:rsidR="00EE1E12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Vlada</w:t>
      </w:r>
      <w:r w:rsidR="00EE1E12" w:rsidRPr="003B10CC">
        <w:rPr>
          <w:noProof/>
          <w:lang w:val="sr-Latn-CS"/>
        </w:rPr>
        <w:t xml:space="preserve"> </w:t>
      </w:r>
      <w:r w:rsidR="003B10CC">
        <w:rPr>
          <w:noProof/>
          <w:lang w:val="sr-Latn-CS"/>
        </w:rPr>
        <w:t>donosi</w:t>
      </w:r>
    </w:p>
    <w:p w:rsidR="00EE1E12" w:rsidRPr="003B10CC" w:rsidRDefault="00EE1E12" w:rsidP="00EE1E12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E1E12" w:rsidRPr="003B10CC" w:rsidRDefault="00EE1E12" w:rsidP="00EE1E1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E1E12" w:rsidRPr="003B10CC" w:rsidRDefault="003B10CC" w:rsidP="00EE1E1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EE1E12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3760E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EE1E12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</w:p>
    <w:p w:rsidR="00EE1E12" w:rsidRPr="003B10CC" w:rsidRDefault="003B10CC" w:rsidP="00EE1E1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E1E12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EE1E12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E1E12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EE1E12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PRIVLAČENJA</w:t>
      </w:r>
      <w:r w:rsidR="00EE1E12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="00EE1E12" w:rsidRPr="003B10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INVESTICIJA</w:t>
      </w:r>
    </w:p>
    <w:p w:rsidR="00EE1E12" w:rsidRPr="003B10CC" w:rsidRDefault="00EE1E12" w:rsidP="00EE1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bookmarkStart w:id="0" w:name="str_1"/>
      <w:bookmarkEnd w:id="0"/>
    </w:p>
    <w:p w:rsidR="00EE1E12" w:rsidRPr="003B10CC" w:rsidRDefault="00EE1E12" w:rsidP="00EE1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sr-Latn-CS"/>
        </w:rPr>
      </w:pPr>
    </w:p>
    <w:p w:rsidR="00EE1E12" w:rsidRPr="003B10CC" w:rsidRDefault="003B10CC" w:rsidP="00EE1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bookmarkStart w:id="1" w:name="clan_1"/>
      <w:bookmarkEnd w:id="1"/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EE1E12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1.</w:t>
      </w:r>
    </w:p>
    <w:p w:rsidR="00EE1E12" w:rsidRPr="003B10CC" w:rsidRDefault="00EE1E12" w:rsidP="00EE1E1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uslovima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privlačenja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3760E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(„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3760E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3760E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3760E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3760E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20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/1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="0033760E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3760E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123/12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33760E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9)</w:t>
      </w:r>
      <w:r w:rsidR="0042446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42446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50</w:t>
      </w:r>
      <w:r w:rsidR="0042446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zamenjuje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="0042446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30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A030D6" w:rsidRPr="003B10CC" w:rsidRDefault="00A030D6" w:rsidP="00EE1E1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30D6" w:rsidRPr="003B10CC" w:rsidRDefault="00A030D6" w:rsidP="00EE1E1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30D6" w:rsidRPr="003B10CC" w:rsidRDefault="003B10CC" w:rsidP="00A030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A030D6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2.</w:t>
      </w:r>
    </w:p>
    <w:p w:rsidR="00A030D6" w:rsidRPr="003B10CC" w:rsidRDefault="00A030D6" w:rsidP="00A030D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„10”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: „17”.</w:t>
      </w:r>
    </w:p>
    <w:p w:rsidR="002C5213" w:rsidRPr="003B10CC" w:rsidRDefault="00A030D6" w:rsidP="00A011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:rsidR="002C5213" w:rsidRPr="003B10CC" w:rsidRDefault="002C5213" w:rsidP="00EE1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</w:p>
    <w:p w:rsidR="00EE1E12" w:rsidRPr="003B10CC" w:rsidRDefault="003B10CC" w:rsidP="00EE1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EE1E12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A030D6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3</w:t>
      </w:r>
      <w:r w:rsidR="00EE1E12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.</w:t>
      </w:r>
    </w:p>
    <w:p w:rsidR="00EE1E12" w:rsidRPr="003B10CC" w:rsidRDefault="00EE1E12" w:rsidP="00EE1E1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stupa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snagu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narednog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objavljivanja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”</w:t>
      </w:r>
      <w:r w:rsidR="002A5B1C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:rsidR="00EE1E12" w:rsidRPr="003B10CC" w:rsidRDefault="00EE1E12" w:rsidP="00EE1E1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 </w:t>
      </w:r>
    </w:p>
    <w:p w:rsidR="00EE1E12" w:rsidRPr="003B10CC" w:rsidRDefault="00EE1E12" w:rsidP="00EE1E1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05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EE1E12" w:rsidRPr="003B10CC" w:rsidRDefault="003B10CC" w:rsidP="00EE1E1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Beogradu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 </w:t>
      </w:r>
    </w:p>
    <w:p w:rsidR="00EE1E12" w:rsidRPr="003B10CC" w:rsidRDefault="002A5B1C" w:rsidP="002A5B1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BE637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 xml:space="preserve">                                                                      </w:t>
      </w:r>
      <w:r w:rsidR="00EE1E12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 xml:space="preserve">                                                                                                                              </w:t>
      </w:r>
    </w:p>
    <w:p w:rsidR="00BE6378" w:rsidRPr="003B10CC" w:rsidRDefault="00BE637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EE1E12" w:rsidRPr="003B10CC" w:rsidRDefault="003B10CC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PREDSEDNIK</w:t>
      </w: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EE1E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3B10CC" w:rsidP="00A011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OBRAZLOŽENJE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3B10CC" w:rsidP="00A0118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Pravni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osnov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Pravni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osnov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donošenje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izmenama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uslovima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privlačenja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sadržan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123.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Ustava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2013.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114/12).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:rsidR="00A01188" w:rsidRPr="003B10CC" w:rsidRDefault="003B10CC" w:rsidP="00A0118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II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Razlozi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donošenje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Uredbe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izmenama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Uredbe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uslovima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načinu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privlačenja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direktnih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investicija</w:t>
      </w:r>
    </w:p>
    <w:p w:rsidR="00A01188" w:rsidRPr="003B10CC" w:rsidRDefault="00A01188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Usvajanje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predložene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uslovima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privlačenja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uključuje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okvir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niza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aktivnosti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preduzima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cilju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omogućavanja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bržeg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privrednog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rasta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putem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povećanog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priliva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srednjih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investicionih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ubrzavanje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privrednog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rasta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celoj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teritoriji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značaja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podrazumevaju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kapaciteta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otvaranje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radnih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mesta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donose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nove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tehnologije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nova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znanja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utiču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povoljno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konkurentnosti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dosadašnja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iskustava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govore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znatno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utiču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izvoznih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kapaciteta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neophodno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nastaviti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merama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privlačenja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podsticanju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srednjih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investicionih</w:t>
      </w:r>
      <w:r w:rsidR="00A030D6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:rsidR="00A01188" w:rsidRPr="003B10CC" w:rsidRDefault="003B10CC" w:rsidP="00A01188">
      <w:pPr>
        <w:numPr>
          <w:ilvl w:val="0"/>
          <w:numId w:val="2"/>
        </w:numPr>
        <w:spacing w:after="0" w:line="240" w:lineRule="auto"/>
        <w:ind w:right="3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Objašnjenje</w:t>
      </w:r>
      <w:r w:rsidR="00A01188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osnovnih</w:t>
      </w:r>
      <w:r w:rsidR="00A01188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pravnih</w:t>
      </w:r>
      <w:r w:rsidR="00A01188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instituta</w:t>
      </w:r>
      <w:r w:rsidR="00A01188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i</w:t>
      </w:r>
      <w:r w:rsidR="00A01188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pojedinačnih</w:t>
      </w:r>
      <w:r w:rsidR="00A01188" w:rsidRPr="003B10CC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rešenja</w:t>
      </w:r>
    </w:p>
    <w:p w:rsidR="00A01188" w:rsidRPr="003B10CC" w:rsidRDefault="00A01188" w:rsidP="00A01188">
      <w:pPr>
        <w:spacing w:after="0" w:line="240" w:lineRule="auto"/>
        <w:ind w:right="3" w:hanging="48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</w:p>
    <w:p w:rsidR="00791364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predviđena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promena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tački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9)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gde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predlaže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mliona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evra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zameni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iznosom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30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miliona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791364" w:rsidRPr="003B10CC" w:rsidRDefault="00791364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izmena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gde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predlaže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ukupan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dodeljenih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ulaganje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srednje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investicione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17%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ukupne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vrednosti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ulaganja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:rsidR="00A01188" w:rsidRPr="003B10CC" w:rsidRDefault="00791364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Članom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predviđeno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stupanje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snagu</w:t>
      </w:r>
      <w:r w:rsidR="00A01188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</w:p>
    <w:p w:rsidR="00A01188" w:rsidRPr="003B10CC" w:rsidRDefault="003B10CC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IV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Finansijska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sredstva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potrebna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sprovođenje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uredbe</w:t>
      </w:r>
    </w:p>
    <w:p w:rsidR="00A01188" w:rsidRPr="003B10CC" w:rsidRDefault="00A01188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primenu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predložene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privlačenju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izdvojiti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dodatna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finansijska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obzirom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2013.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razdelu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Ministarstva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A01188" w:rsidRPr="003B10CC" w:rsidRDefault="00A01188" w:rsidP="00A0118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A01188" w:rsidRPr="003B10CC" w:rsidRDefault="003B10CC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V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Analiza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efekata</w:t>
      </w:r>
    </w:p>
    <w:p w:rsidR="00A01188" w:rsidRPr="003B10CC" w:rsidRDefault="00A01188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Predložena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omogućiti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ubrzano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privlačenje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smislu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podstaći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investicione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projekte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srednje</w:t>
      </w:r>
      <w:r w:rsidR="00791364"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vrednosti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Takođe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jedan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najznačajnih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efekata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smanjenje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stope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nezaposlenosti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Mere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predložene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atraktivnost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priliv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inostranstva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utiče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poboljšanje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Predložena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rešenja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imaće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pozitivan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efekat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ubrzanje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privrednog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rasta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kapaciteta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infrastrukture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značaja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manje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razvijenim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opštinama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94188A" w:rsidRPr="003B10CC" w:rsidRDefault="003B10CC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VI</w:t>
      </w:r>
      <w:r w:rsidR="0094188A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Razlozi</w:t>
      </w:r>
      <w:r w:rsidR="0094188A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</w:t>
      </w:r>
      <w:r w:rsidR="0094188A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hitno</w:t>
      </w:r>
      <w:r w:rsidR="0094188A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donošenje</w:t>
      </w:r>
      <w:r w:rsidR="0094188A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Uredbe</w:t>
      </w:r>
    </w:p>
    <w:p w:rsidR="0094188A" w:rsidRPr="003B10CC" w:rsidRDefault="0094188A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94188A" w:rsidRPr="003B10CC" w:rsidRDefault="0094188A" w:rsidP="0094188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ab/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predmetna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stupi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snagu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narednog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objavljivanja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imajući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vidu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Javni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poziv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dodelu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privlačenje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važećim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uslovima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ističe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15.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februara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2013.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neophodno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novi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Javni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poziv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dodelu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privlačenje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direktnih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raspisati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novim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uslovima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predloženim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ovom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Uredbom</w:t>
      </w:r>
      <w:r w:rsidRPr="003B10CC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94188A" w:rsidRPr="003B10CC" w:rsidRDefault="0094188A" w:rsidP="0094188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94188A" w:rsidRPr="003B10CC" w:rsidRDefault="0094188A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A01188" w:rsidRPr="003B10CC" w:rsidRDefault="003B10CC" w:rsidP="00A0118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VII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Pregled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odredaba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čija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se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izmena</w:t>
      </w:r>
      <w:r w:rsidR="00A01188" w:rsidRPr="003B10CC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predlaže</w:t>
      </w:r>
    </w:p>
    <w:p w:rsidR="00A01188" w:rsidRPr="003B10CC" w:rsidRDefault="00A01188" w:rsidP="00A011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A01188" w:rsidRPr="003B10CC" w:rsidRDefault="00A01188" w:rsidP="008D3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sr-Latn-CS"/>
        </w:rPr>
      </w:pPr>
    </w:p>
    <w:p w:rsidR="008D3171" w:rsidRPr="003B10CC" w:rsidRDefault="003B10CC" w:rsidP="008D3171">
      <w:pPr>
        <w:pStyle w:val="wyq100---naslov-grupe-clanova-kurziv"/>
        <w:rPr>
          <w:rFonts w:ascii="Times New Roman" w:hAnsi="Times New Roman" w:cs="Times New Roman"/>
          <w:noProof/>
          <w:lang w:val="sr-Latn-CS"/>
        </w:rPr>
      </w:pPr>
      <w:bookmarkStart w:id="2" w:name="str_2"/>
      <w:bookmarkStart w:id="3" w:name="clan_2"/>
      <w:bookmarkEnd w:id="2"/>
      <w:bookmarkEnd w:id="3"/>
      <w:r>
        <w:rPr>
          <w:rFonts w:ascii="Times New Roman" w:hAnsi="Times New Roman" w:cs="Times New Roman"/>
          <w:noProof/>
          <w:lang w:val="sr-Latn-CS"/>
        </w:rPr>
        <w:t>Pojmovi</w:t>
      </w:r>
    </w:p>
    <w:p w:rsidR="008D3171" w:rsidRPr="003B10CC" w:rsidRDefault="003B10CC" w:rsidP="008D3171">
      <w:pPr>
        <w:pStyle w:val="clan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8D3171" w:rsidRPr="003B10CC">
        <w:rPr>
          <w:rFonts w:ascii="Times New Roman" w:hAnsi="Times New Roman" w:cs="Times New Roman"/>
          <w:noProof/>
          <w:lang w:val="sr-Latn-CS"/>
        </w:rPr>
        <w:t xml:space="preserve"> 2</w:t>
      </w:r>
    </w:p>
    <w:p w:rsidR="008D3171" w:rsidRPr="003B10CC" w:rsidRDefault="003B10CC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izrazi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upotrebljeni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direktne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investicije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D3171" w:rsidRPr="003B10CC" w:rsidRDefault="008D3171" w:rsidP="008D3171">
      <w:pPr>
        <w:pStyle w:val="normaluvuceni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započinjanja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D3171" w:rsidRPr="003B10CC" w:rsidRDefault="008D3171" w:rsidP="008D3171">
      <w:pPr>
        <w:pStyle w:val="normaluvuceni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proširenja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D3171" w:rsidRPr="003B10CC" w:rsidRDefault="008D3171" w:rsidP="008D3171">
      <w:pPr>
        <w:pStyle w:val="normaluvuceni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diversifikacije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proizvodnog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D3171" w:rsidRPr="003B10CC" w:rsidRDefault="008D3171" w:rsidP="008D3171">
      <w:pPr>
        <w:pStyle w:val="normaluvuceni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bitne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celokupnom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procesu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3171" w:rsidRPr="003B10CC" w:rsidRDefault="003B10CC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grade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proizvodni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kapaciteti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greenfield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kapacitete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bro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w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nfield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investitor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domaće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strano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3)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korisnik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usluge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koje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mogu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biti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predmet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međunarodne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trgovine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komunikacionih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objedinjeno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ustupljeno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procesa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korporacija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korisnički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centri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logistički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distributivni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centri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projektni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dizajn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centri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ulaganje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posebnog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značaja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1000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nezaposlenosti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povećanju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supstituciji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uvoza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investitor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vrši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ulaganje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posebnog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značaja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renomirano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konzorcijum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jedinstvenu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neodvojivu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proizvodno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tehnološku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celinu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visoke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standarde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bavi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zajedničko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privredno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društvo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veliki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investicioni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projekat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300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srednji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investicioni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projekat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Pr="003B10C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50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D3171" w:rsidRPr="003B10CC" w:rsidRDefault="008D3171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strateški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projekat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iz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oblasti</w:t>
      </w:r>
      <w:r w:rsidRP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turizma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Strategijski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turističkog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0CC"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3171" w:rsidRPr="003B10CC" w:rsidRDefault="003B10CC" w:rsidP="008D3171">
      <w:pPr>
        <w:pStyle w:val="clan"/>
        <w:rPr>
          <w:rFonts w:ascii="Times New Roman" w:hAnsi="Times New Roman" w:cs="Times New Roman"/>
          <w:noProof/>
          <w:lang w:val="sr-Latn-CS"/>
        </w:rPr>
      </w:pPr>
      <w:bookmarkStart w:id="4" w:name="str_3"/>
      <w:bookmarkStart w:id="5" w:name="clan_5"/>
      <w:bookmarkEnd w:id="4"/>
      <w:bookmarkEnd w:id="5"/>
      <w:r>
        <w:rPr>
          <w:rFonts w:ascii="Times New Roman" w:hAnsi="Times New Roman" w:cs="Times New Roman"/>
          <w:noProof/>
          <w:lang w:val="sr-Latn-CS"/>
        </w:rPr>
        <w:t>Član</w:t>
      </w:r>
      <w:r w:rsidR="008D3171" w:rsidRPr="003B10CC">
        <w:rPr>
          <w:rFonts w:ascii="Times New Roman" w:hAnsi="Times New Roman" w:cs="Times New Roman"/>
          <w:noProof/>
          <w:lang w:val="sr-Latn-CS"/>
        </w:rPr>
        <w:t xml:space="preserve"> 5</w:t>
      </w:r>
    </w:p>
    <w:p w:rsidR="008D3171" w:rsidRPr="003B10CC" w:rsidRDefault="003B10CC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procentualno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3171" w:rsidRPr="003B10CC" w:rsidRDefault="003B10CC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velikih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bodovanje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D3171" w:rsidRPr="003B10CC" w:rsidRDefault="003B10CC" w:rsidP="008D3171">
      <w:pPr>
        <w:pStyle w:val="Normal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biti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17%,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 </w:t>
      </w:r>
      <w:r w:rsidR="008D3171" w:rsidRPr="003B10C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10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188" w:rsidRPr="003B10CC" w:rsidRDefault="003B10CC" w:rsidP="00CA3A38">
      <w:pPr>
        <w:pStyle w:val="Normal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radnim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mestima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zasniva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8D3171" w:rsidRPr="003B10C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A01188" w:rsidRPr="003B10CC" w:rsidSect="00555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73" w:rsidRDefault="009D3E73">
      <w:pPr>
        <w:spacing w:after="0" w:line="240" w:lineRule="auto"/>
      </w:pPr>
      <w:r>
        <w:separator/>
      </w:r>
    </w:p>
  </w:endnote>
  <w:endnote w:type="continuationSeparator" w:id="0">
    <w:p w:rsidR="009D3E73" w:rsidRDefault="009D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71" w:rsidRDefault="00B4683D" w:rsidP="00555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1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171" w:rsidRDefault="008D3171" w:rsidP="005553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71" w:rsidRPr="003B10CC" w:rsidRDefault="00B4683D" w:rsidP="005553C7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3B10CC">
      <w:rPr>
        <w:rStyle w:val="PageNumber"/>
        <w:noProof/>
        <w:lang w:val="sr-Latn-CS"/>
      </w:rPr>
      <w:fldChar w:fldCharType="begin"/>
    </w:r>
    <w:r w:rsidR="003B10CC">
      <w:rPr>
        <w:rStyle w:val="PageNumber"/>
        <w:noProof/>
        <w:lang w:val="sr-Latn-CS"/>
      </w:rPr>
      <w:instrText>PAGE</w:instrText>
    </w:r>
    <w:r w:rsidR="008D3171" w:rsidRPr="003B10CC">
      <w:rPr>
        <w:rStyle w:val="PageNumber"/>
        <w:noProof/>
        <w:lang w:val="sr-Latn-CS"/>
      </w:rPr>
      <w:instrText xml:space="preserve">  </w:instrText>
    </w:r>
    <w:r w:rsidRPr="003B10CC">
      <w:rPr>
        <w:rStyle w:val="PageNumber"/>
        <w:noProof/>
        <w:lang w:val="sr-Latn-CS"/>
      </w:rPr>
      <w:fldChar w:fldCharType="separate"/>
    </w:r>
    <w:r w:rsidR="003B10CC">
      <w:rPr>
        <w:rStyle w:val="PageNumber"/>
        <w:noProof/>
        <w:lang w:val="sr-Latn-CS"/>
      </w:rPr>
      <w:t>5</w:t>
    </w:r>
    <w:r w:rsidRPr="003B10CC">
      <w:rPr>
        <w:rStyle w:val="PageNumber"/>
        <w:noProof/>
        <w:lang w:val="sr-Latn-CS"/>
      </w:rPr>
      <w:fldChar w:fldCharType="end"/>
    </w:r>
  </w:p>
  <w:p w:rsidR="008D3171" w:rsidRPr="003B10CC" w:rsidRDefault="008D3171" w:rsidP="005553C7">
    <w:pPr>
      <w:pStyle w:val="Footer"/>
      <w:ind w:right="360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CC" w:rsidRDefault="003B1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73" w:rsidRDefault="009D3E73">
      <w:pPr>
        <w:spacing w:after="0" w:line="240" w:lineRule="auto"/>
      </w:pPr>
      <w:r>
        <w:separator/>
      </w:r>
    </w:p>
  </w:footnote>
  <w:footnote w:type="continuationSeparator" w:id="0">
    <w:p w:rsidR="009D3E73" w:rsidRDefault="009D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CC" w:rsidRDefault="003B10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CC" w:rsidRDefault="003B10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CC" w:rsidRDefault="003B1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7979"/>
    <w:multiLevelType w:val="hybridMultilevel"/>
    <w:tmpl w:val="D3980E24"/>
    <w:lvl w:ilvl="0" w:tplc="3F8AF8F0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7A6672"/>
    <w:multiLevelType w:val="hybridMultilevel"/>
    <w:tmpl w:val="083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6920"/>
    <w:multiLevelType w:val="hybridMultilevel"/>
    <w:tmpl w:val="083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E12"/>
    <w:rsid w:val="00001C69"/>
    <w:rsid w:val="00005B4E"/>
    <w:rsid w:val="00014B62"/>
    <w:rsid w:val="00015875"/>
    <w:rsid w:val="00021EAD"/>
    <w:rsid w:val="00024993"/>
    <w:rsid w:val="0003152A"/>
    <w:rsid w:val="00034C08"/>
    <w:rsid w:val="00035D40"/>
    <w:rsid w:val="00062A9E"/>
    <w:rsid w:val="000678B3"/>
    <w:rsid w:val="00071A5B"/>
    <w:rsid w:val="00073F1E"/>
    <w:rsid w:val="000759B8"/>
    <w:rsid w:val="00084080"/>
    <w:rsid w:val="0009028D"/>
    <w:rsid w:val="00097010"/>
    <w:rsid w:val="000A2C4F"/>
    <w:rsid w:val="000A6343"/>
    <w:rsid w:val="000B2737"/>
    <w:rsid w:val="000C08C5"/>
    <w:rsid w:val="000C0A07"/>
    <w:rsid w:val="000C2485"/>
    <w:rsid w:val="000C73BB"/>
    <w:rsid w:val="000D0D49"/>
    <w:rsid w:val="000D6666"/>
    <w:rsid w:val="000E0594"/>
    <w:rsid w:val="000E09D3"/>
    <w:rsid w:val="000E22E9"/>
    <w:rsid w:val="000E3960"/>
    <w:rsid w:val="000F19CA"/>
    <w:rsid w:val="000F5D53"/>
    <w:rsid w:val="000F742B"/>
    <w:rsid w:val="000F74E9"/>
    <w:rsid w:val="0011183C"/>
    <w:rsid w:val="00112919"/>
    <w:rsid w:val="00124714"/>
    <w:rsid w:val="00127F31"/>
    <w:rsid w:val="00130387"/>
    <w:rsid w:val="00130D5A"/>
    <w:rsid w:val="00150108"/>
    <w:rsid w:val="001577C4"/>
    <w:rsid w:val="0016319F"/>
    <w:rsid w:val="00166068"/>
    <w:rsid w:val="00172F8C"/>
    <w:rsid w:val="001757FF"/>
    <w:rsid w:val="00176B22"/>
    <w:rsid w:val="00181F71"/>
    <w:rsid w:val="0018362C"/>
    <w:rsid w:val="00186843"/>
    <w:rsid w:val="001A3B7F"/>
    <w:rsid w:val="001B6455"/>
    <w:rsid w:val="001C5040"/>
    <w:rsid w:val="001C5B58"/>
    <w:rsid w:val="001C7390"/>
    <w:rsid w:val="001D70F9"/>
    <w:rsid w:val="001E1C96"/>
    <w:rsid w:val="001E4F8B"/>
    <w:rsid w:val="001F6475"/>
    <w:rsid w:val="00202994"/>
    <w:rsid w:val="0021525B"/>
    <w:rsid w:val="00221823"/>
    <w:rsid w:val="00223826"/>
    <w:rsid w:val="00246224"/>
    <w:rsid w:val="002564C7"/>
    <w:rsid w:val="002620FD"/>
    <w:rsid w:val="002632F6"/>
    <w:rsid w:val="002643CC"/>
    <w:rsid w:val="00266FA3"/>
    <w:rsid w:val="00273B60"/>
    <w:rsid w:val="002915ED"/>
    <w:rsid w:val="002A5B1C"/>
    <w:rsid w:val="002C251C"/>
    <w:rsid w:val="002C5213"/>
    <w:rsid w:val="002D4668"/>
    <w:rsid w:val="002D65CD"/>
    <w:rsid w:val="002E1882"/>
    <w:rsid w:val="002F764A"/>
    <w:rsid w:val="003150F7"/>
    <w:rsid w:val="00317D11"/>
    <w:rsid w:val="0032358B"/>
    <w:rsid w:val="00331A7C"/>
    <w:rsid w:val="0033760E"/>
    <w:rsid w:val="00343B20"/>
    <w:rsid w:val="00353B2C"/>
    <w:rsid w:val="00383CBA"/>
    <w:rsid w:val="00396E6F"/>
    <w:rsid w:val="003A3A29"/>
    <w:rsid w:val="003B10CC"/>
    <w:rsid w:val="003B4A2B"/>
    <w:rsid w:val="003B6D98"/>
    <w:rsid w:val="003C4EAE"/>
    <w:rsid w:val="003C65C3"/>
    <w:rsid w:val="003C7736"/>
    <w:rsid w:val="003D07B6"/>
    <w:rsid w:val="003F22DF"/>
    <w:rsid w:val="003F71CA"/>
    <w:rsid w:val="004004A3"/>
    <w:rsid w:val="0040536F"/>
    <w:rsid w:val="00424462"/>
    <w:rsid w:val="0043159C"/>
    <w:rsid w:val="00435F18"/>
    <w:rsid w:val="004567FD"/>
    <w:rsid w:val="004756FA"/>
    <w:rsid w:val="0048357C"/>
    <w:rsid w:val="00484A98"/>
    <w:rsid w:val="0049465A"/>
    <w:rsid w:val="004A2E6F"/>
    <w:rsid w:val="004A68FE"/>
    <w:rsid w:val="004B7429"/>
    <w:rsid w:val="004D7C1F"/>
    <w:rsid w:val="004E37E6"/>
    <w:rsid w:val="004F0C2D"/>
    <w:rsid w:val="004F19BF"/>
    <w:rsid w:val="004F2D83"/>
    <w:rsid w:val="0050183C"/>
    <w:rsid w:val="00502CAB"/>
    <w:rsid w:val="00504E74"/>
    <w:rsid w:val="00507565"/>
    <w:rsid w:val="00521478"/>
    <w:rsid w:val="00524779"/>
    <w:rsid w:val="00524A77"/>
    <w:rsid w:val="005251D2"/>
    <w:rsid w:val="005553C7"/>
    <w:rsid w:val="00557B2D"/>
    <w:rsid w:val="00561D98"/>
    <w:rsid w:val="00572C87"/>
    <w:rsid w:val="005746AC"/>
    <w:rsid w:val="00580C40"/>
    <w:rsid w:val="005845DC"/>
    <w:rsid w:val="00584F14"/>
    <w:rsid w:val="005864C3"/>
    <w:rsid w:val="005A34B1"/>
    <w:rsid w:val="005B0EC1"/>
    <w:rsid w:val="005B3EEB"/>
    <w:rsid w:val="005B4F2F"/>
    <w:rsid w:val="005C598D"/>
    <w:rsid w:val="005C7499"/>
    <w:rsid w:val="005C7A4A"/>
    <w:rsid w:val="005D4DF3"/>
    <w:rsid w:val="005D63F5"/>
    <w:rsid w:val="005D7C8E"/>
    <w:rsid w:val="005E0D6C"/>
    <w:rsid w:val="005E6927"/>
    <w:rsid w:val="005F16F5"/>
    <w:rsid w:val="005F2AB8"/>
    <w:rsid w:val="005F5BC6"/>
    <w:rsid w:val="005F7FCF"/>
    <w:rsid w:val="006112DE"/>
    <w:rsid w:val="006128BE"/>
    <w:rsid w:val="006150F8"/>
    <w:rsid w:val="00626203"/>
    <w:rsid w:val="00643F19"/>
    <w:rsid w:val="00646A4B"/>
    <w:rsid w:val="00672E76"/>
    <w:rsid w:val="006744D5"/>
    <w:rsid w:val="006854FC"/>
    <w:rsid w:val="00690368"/>
    <w:rsid w:val="00691C86"/>
    <w:rsid w:val="00692D7A"/>
    <w:rsid w:val="006A060A"/>
    <w:rsid w:val="006A0B89"/>
    <w:rsid w:val="006A260C"/>
    <w:rsid w:val="006A4820"/>
    <w:rsid w:val="006A4A65"/>
    <w:rsid w:val="006B3A7A"/>
    <w:rsid w:val="006B4EE8"/>
    <w:rsid w:val="006B6D8C"/>
    <w:rsid w:val="006C06F8"/>
    <w:rsid w:val="006C27AC"/>
    <w:rsid w:val="006D2326"/>
    <w:rsid w:val="006D5C35"/>
    <w:rsid w:val="006E3129"/>
    <w:rsid w:val="006E3841"/>
    <w:rsid w:val="006E6A68"/>
    <w:rsid w:val="006F6E57"/>
    <w:rsid w:val="00700A8B"/>
    <w:rsid w:val="00701424"/>
    <w:rsid w:val="007121D2"/>
    <w:rsid w:val="00712A61"/>
    <w:rsid w:val="00715513"/>
    <w:rsid w:val="00716307"/>
    <w:rsid w:val="00720446"/>
    <w:rsid w:val="00720508"/>
    <w:rsid w:val="00724ED0"/>
    <w:rsid w:val="00727CCE"/>
    <w:rsid w:val="007303A0"/>
    <w:rsid w:val="007334AE"/>
    <w:rsid w:val="00742AC8"/>
    <w:rsid w:val="00745BE8"/>
    <w:rsid w:val="00755F0F"/>
    <w:rsid w:val="00756599"/>
    <w:rsid w:val="00761582"/>
    <w:rsid w:val="00765D62"/>
    <w:rsid w:val="00783E73"/>
    <w:rsid w:val="00784609"/>
    <w:rsid w:val="00785E3B"/>
    <w:rsid w:val="00791364"/>
    <w:rsid w:val="007A5606"/>
    <w:rsid w:val="007B33E0"/>
    <w:rsid w:val="007B5F16"/>
    <w:rsid w:val="007C3727"/>
    <w:rsid w:val="00811616"/>
    <w:rsid w:val="00812172"/>
    <w:rsid w:val="008132EB"/>
    <w:rsid w:val="0082144F"/>
    <w:rsid w:val="00825BD3"/>
    <w:rsid w:val="008336BA"/>
    <w:rsid w:val="0083552B"/>
    <w:rsid w:val="008448EA"/>
    <w:rsid w:val="00853013"/>
    <w:rsid w:val="008566AB"/>
    <w:rsid w:val="008734A3"/>
    <w:rsid w:val="00877391"/>
    <w:rsid w:val="008774D1"/>
    <w:rsid w:val="008904EF"/>
    <w:rsid w:val="0089247F"/>
    <w:rsid w:val="0089310D"/>
    <w:rsid w:val="008A3486"/>
    <w:rsid w:val="008C1854"/>
    <w:rsid w:val="008C6A77"/>
    <w:rsid w:val="008D3171"/>
    <w:rsid w:val="008E7D5C"/>
    <w:rsid w:val="008E7E3E"/>
    <w:rsid w:val="008F17AD"/>
    <w:rsid w:val="0090199F"/>
    <w:rsid w:val="0090349D"/>
    <w:rsid w:val="00904149"/>
    <w:rsid w:val="009042F6"/>
    <w:rsid w:val="00904B9F"/>
    <w:rsid w:val="009209AA"/>
    <w:rsid w:val="00931FD0"/>
    <w:rsid w:val="00937D76"/>
    <w:rsid w:val="00941813"/>
    <w:rsid w:val="0094188A"/>
    <w:rsid w:val="009420CB"/>
    <w:rsid w:val="00951795"/>
    <w:rsid w:val="00951AD6"/>
    <w:rsid w:val="00952504"/>
    <w:rsid w:val="00952D34"/>
    <w:rsid w:val="00955E57"/>
    <w:rsid w:val="00982AB5"/>
    <w:rsid w:val="00982FD0"/>
    <w:rsid w:val="00983A69"/>
    <w:rsid w:val="00986DF8"/>
    <w:rsid w:val="00996B02"/>
    <w:rsid w:val="009A18F6"/>
    <w:rsid w:val="009A1FE4"/>
    <w:rsid w:val="009A2B14"/>
    <w:rsid w:val="009A3342"/>
    <w:rsid w:val="009A3D3B"/>
    <w:rsid w:val="009A7FE0"/>
    <w:rsid w:val="009B008D"/>
    <w:rsid w:val="009C101F"/>
    <w:rsid w:val="009C5C0F"/>
    <w:rsid w:val="009C6CCF"/>
    <w:rsid w:val="009D3E73"/>
    <w:rsid w:val="009E2EC0"/>
    <w:rsid w:val="009F7E18"/>
    <w:rsid w:val="00A01188"/>
    <w:rsid w:val="00A030D6"/>
    <w:rsid w:val="00A06C1A"/>
    <w:rsid w:val="00A138BE"/>
    <w:rsid w:val="00A14FD7"/>
    <w:rsid w:val="00A228A8"/>
    <w:rsid w:val="00A25B83"/>
    <w:rsid w:val="00A30B72"/>
    <w:rsid w:val="00A33886"/>
    <w:rsid w:val="00A34964"/>
    <w:rsid w:val="00A43686"/>
    <w:rsid w:val="00A4667E"/>
    <w:rsid w:val="00A619C7"/>
    <w:rsid w:val="00A63BEF"/>
    <w:rsid w:val="00A657F4"/>
    <w:rsid w:val="00A8121D"/>
    <w:rsid w:val="00A82072"/>
    <w:rsid w:val="00A837A3"/>
    <w:rsid w:val="00A83F38"/>
    <w:rsid w:val="00A9371D"/>
    <w:rsid w:val="00A947AB"/>
    <w:rsid w:val="00A961AC"/>
    <w:rsid w:val="00A97EFD"/>
    <w:rsid w:val="00AA0546"/>
    <w:rsid w:val="00AA2BCF"/>
    <w:rsid w:val="00AA48CE"/>
    <w:rsid w:val="00AA6CB7"/>
    <w:rsid w:val="00AB2828"/>
    <w:rsid w:val="00AD0F20"/>
    <w:rsid w:val="00AD4C7F"/>
    <w:rsid w:val="00AF1822"/>
    <w:rsid w:val="00AF400E"/>
    <w:rsid w:val="00B00282"/>
    <w:rsid w:val="00B03CAC"/>
    <w:rsid w:val="00B06E51"/>
    <w:rsid w:val="00B07A11"/>
    <w:rsid w:val="00B136E5"/>
    <w:rsid w:val="00B137C1"/>
    <w:rsid w:val="00B174B3"/>
    <w:rsid w:val="00B35C41"/>
    <w:rsid w:val="00B418A5"/>
    <w:rsid w:val="00B44FC0"/>
    <w:rsid w:val="00B4512E"/>
    <w:rsid w:val="00B4683D"/>
    <w:rsid w:val="00B46FE6"/>
    <w:rsid w:val="00B575B7"/>
    <w:rsid w:val="00B61668"/>
    <w:rsid w:val="00B703A3"/>
    <w:rsid w:val="00B8347E"/>
    <w:rsid w:val="00B86941"/>
    <w:rsid w:val="00B9566F"/>
    <w:rsid w:val="00BA094D"/>
    <w:rsid w:val="00BB4C00"/>
    <w:rsid w:val="00BC7043"/>
    <w:rsid w:val="00BC7180"/>
    <w:rsid w:val="00BD6268"/>
    <w:rsid w:val="00BD6FF3"/>
    <w:rsid w:val="00BE6378"/>
    <w:rsid w:val="00BF20CB"/>
    <w:rsid w:val="00BF42F5"/>
    <w:rsid w:val="00C01A80"/>
    <w:rsid w:val="00C0530D"/>
    <w:rsid w:val="00C25776"/>
    <w:rsid w:val="00C32FA4"/>
    <w:rsid w:val="00C41128"/>
    <w:rsid w:val="00C701C1"/>
    <w:rsid w:val="00C71F72"/>
    <w:rsid w:val="00C744AB"/>
    <w:rsid w:val="00C81772"/>
    <w:rsid w:val="00C825B9"/>
    <w:rsid w:val="00C936FE"/>
    <w:rsid w:val="00C959EC"/>
    <w:rsid w:val="00C9652C"/>
    <w:rsid w:val="00CA0A9D"/>
    <w:rsid w:val="00CA270E"/>
    <w:rsid w:val="00CA3A38"/>
    <w:rsid w:val="00CB412E"/>
    <w:rsid w:val="00CC3462"/>
    <w:rsid w:val="00CC446D"/>
    <w:rsid w:val="00CD33F7"/>
    <w:rsid w:val="00CD7D03"/>
    <w:rsid w:val="00CE2134"/>
    <w:rsid w:val="00CF5C63"/>
    <w:rsid w:val="00D03E42"/>
    <w:rsid w:val="00D040CF"/>
    <w:rsid w:val="00D07C9C"/>
    <w:rsid w:val="00D14177"/>
    <w:rsid w:val="00D1544C"/>
    <w:rsid w:val="00D26435"/>
    <w:rsid w:val="00D3665F"/>
    <w:rsid w:val="00D4691E"/>
    <w:rsid w:val="00D47BBB"/>
    <w:rsid w:val="00D5186B"/>
    <w:rsid w:val="00D607D5"/>
    <w:rsid w:val="00D61A79"/>
    <w:rsid w:val="00D669D6"/>
    <w:rsid w:val="00D67393"/>
    <w:rsid w:val="00D72845"/>
    <w:rsid w:val="00D73135"/>
    <w:rsid w:val="00D75C1A"/>
    <w:rsid w:val="00D81953"/>
    <w:rsid w:val="00D81D63"/>
    <w:rsid w:val="00D84DC7"/>
    <w:rsid w:val="00D85EC5"/>
    <w:rsid w:val="00D86EC9"/>
    <w:rsid w:val="00DA304B"/>
    <w:rsid w:val="00DA3303"/>
    <w:rsid w:val="00DA46E6"/>
    <w:rsid w:val="00DB4248"/>
    <w:rsid w:val="00DD0F60"/>
    <w:rsid w:val="00DD5625"/>
    <w:rsid w:val="00DE01BF"/>
    <w:rsid w:val="00DE0920"/>
    <w:rsid w:val="00DE4D2E"/>
    <w:rsid w:val="00DE650C"/>
    <w:rsid w:val="00DF5E31"/>
    <w:rsid w:val="00E00E67"/>
    <w:rsid w:val="00E02BA6"/>
    <w:rsid w:val="00E03400"/>
    <w:rsid w:val="00E15A5F"/>
    <w:rsid w:val="00E169F0"/>
    <w:rsid w:val="00E2590C"/>
    <w:rsid w:val="00E43C31"/>
    <w:rsid w:val="00E478B5"/>
    <w:rsid w:val="00E500AC"/>
    <w:rsid w:val="00E54458"/>
    <w:rsid w:val="00E61FA1"/>
    <w:rsid w:val="00E62859"/>
    <w:rsid w:val="00E6302C"/>
    <w:rsid w:val="00E66311"/>
    <w:rsid w:val="00E67597"/>
    <w:rsid w:val="00E67BDF"/>
    <w:rsid w:val="00E71602"/>
    <w:rsid w:val="00E77767"/>
    <w:rsid w:val="00E77BFA"/>
    <w:rsid w:val="00E81CC3"/>
    <w:rsid w:val="00E86DE1"/>
    <w:rsid w:val="00E95297"/>
    <w:rsid w:val="00EA00D3"/>
    <w:rsid w:val="00EA18E5"/>
    <w:rsid w:val="00EA2239"/>
    <w:rsid w:val="00EA7D87"/>
    <w:rsid w:val="00ED374B"/>
    <w:rsid w:val="00EE0C9D"/>
    <w:rsid w:val="00EE1E12"/>
    <w:rsid w:val="00EE2FA7"/>
    <w:rsid w:val="00EF14B7"/>
    <w:rsid w:val="00EF2C77"/>
    <w:rsid w:val="00F02414"/>
    <w:rsid w:val="00F04696"/>
    <w:rsid w:val="00F2119D"/>
    <w:rsid w:val="00F34E2F"/>
    <w:rsid w:val="00F411D7"/>
    <w:rsid w:val="00F4669D"/>
    <w:rsid w:val="00F4692D"/>
    <w:rsid w:val="00F47FEB"/>
    <w:rsid w:val="00F5362C"/>
    <w:rsid w:val="00F551AD"/>
    <w:rsid w:val="00F6143E"/>
    <w:rsid w:val="00F64522"/>
    <w:rsid w:val="00F65359"/>
    <w:rsid w:val="00F65606"/>
    <w:rsid w:val="00F67F28"/>
    <w:rsid w:val="00F80DDC"/>
    <w:rsid w:val="00F821C2"/>
    <w:rsid w:val="00F91BB5"/>
    <w:rsid w:val="00FC505D"/>
    <w:rsid w:val="00FD0133"/>
    <w:rsid w:val="00FD1543"/>
    <w:rsid w:val="00FE1AA2"/>
    <w:rsid w:val="00FE7ED9"/>
    <w:rsid w:val="00FF47F6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E1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E12"/>
    <w:pPr>
      <w:spacing w:line="240" w:lineRule="auto"/>
    </w:pPr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E12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EE1E12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EE1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1E1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E1E12"/>
  </w:style>
  <w:style w:type="paragraph" w:styleId="BalloonText">
    <w:name w:val="Balloon Text"/>
    <w:basedOn w:val="Normal"/>
    <w:link w:val="BalloonTextChar"/>
    <w:uiPriority w:val="99"/>
    <w:semiHidden/>
    <w:unhideWhenUsed/>
    <w:rsid w:val="00EE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12"/>
    <w:rPr>
      <w:rFonts w:ascii="Tahoma" w:eastAsia="Calibri" w:hAnsi="Tahoma" w:cs="Tahoma"/>
      <w:sz w:val="16"/>
      <w:szCs w:val="16"/>
    </w:rPr>
  </w:style>
  <w:style w:type="paragraph" w:customStyle="1" w:styleId="clan">
    <w:name w:val="clan"/>
    <w:basedOn w:val="Normal"/>
    <w:rsid w:val="008D317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8D317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8D317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8D317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0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E1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E12"/>
    <w:pPr>
      <w:spacing w:line="240" w:lineRule="auto"/>
    </w:pPr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E12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EE1E12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EE1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1E1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E1E12"/>
  </w:style>
  <w:style w:type="paragraph" w:styleId="BalloonText">
    <w:name w:val="Balloon Text"/>
    <w:basedOn w:val="Normal"/>
    <w:link w:val="BalloonTextChar"/>
    <w:uiPriority w:val="99"/>
    <w:semiHidden/>
    <w:unhideWhenUsed/>
    <w:rsid w:val="00EE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12"/>
    <w:rPr>
      <w:rFonts w:ascii="Tahoma" w:eastAsia="Calibri" w:hAnsi="Tahoma" w:cs="Tahoma"/>
      <w:sz w:val="16"/>
      <w:szCs w:val="16"/>
    </w:rPr>
  </w:style>
  <w:style w:type="paragraph" w:customStyle="1" w:styleId="clan">
    <w:name w:val="clan"/>
    <w:basedOn w:val="Normal"/>
    <w:rsid w:val="008D317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8D317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8D317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8D317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nenad.ilic</dc:creator>
  <cp:lastModifiedBy>jovan</cp:lastModifiedBy>
  <cp:revision>2</cp:revision>
  <cp:lastPrinted>2013-02-12T10:19:00Z</cp:lastPrinted>
  <dcterms:created xsi:type="dcterms:W3CDTF">2013-02-13T13:45:00Z</dcterms:created>
  <dcterms:modified xsi:type="dcterms:W3CDTF">2013-02-13T13:45:00Z</dcterms:modified>
</cp:coreProperties>
</file>