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6F" w:rsidRPr="00B9310A" w:rsidRDefault="002D316F" w:rsidP="00B9310A">
      <w:pPr>
        <w:keepNext/>
        <w:spacing w:before="480" w:after="24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sr-Cyrl-CS"/>
        </w:rPr>
      </w:pPr>
      <w:bookmarkStart w:id="0" w:name="_Toc436849040"/>
      <w:r w:rsidRPr="00B9310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Акциони план </w:t>
      </w:r>
      <w:r w:rsidRPr="00B9310A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за спровођење приоритетних мера и активности </w:t>
      </w:r>
      <w:r w:rsidRPr="00B9310A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sr-Cyrl-CS"/>
        </w:rPr>
        <w:t>за реализацију предложених решења</w:t>
      </w:r>
      <w:bookmarkEnd w:id="0"/>
    </w:p>
    <w:p w:rsidR="002D316F" w:rsidRPr="00B9310A" w:rsidRDefault="002D316F" w:rsidP="00B9310A">
      <w:pPr>
        <w:spacing w:after="0" w:line="240" w:lineRule="auto"/>
        <w:rPr>
          <w:rFonts w:ascii="Times New Roman" w:hAnsi="Times New Roman"/>
          <w:sz w:val="24"/>
          <w:szCs w:val="20"/>
          <w:lang w:val="sr-Cyrl-CS"/>
        </w:rPr>
      </w:pPr>
    </w:p>
    <w:p w:rsidR="002D316F" w:rsidRPr="00B9310A" w:rsidRDefault="002D316F" w:rsidP="00B9310A">
      <w:pPr>
        <w:tabs>
          <w:tab w:val="left" w:pos="2295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9310A">
        <w:rPr>
          <w:rFonts w:ascii="Times New Roman" w:hAnsi="Times New Roman"/>
          <w:b/>
          <w:sz w:val="24"/>
          <w:szCs w:val="24"/>
          <w:lang w:val="sr-Latn-CS" w:eastAsia="sr-Latn-CS"/>
        </w:rPr>
        <w:t>1. Политика конкуренције</w:t>
      </w:r>
    </w:p>
    <w:tbl>
      <w:tblPr>
        <w:tblW w:w="12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80"/>
        <w:gridCol w:w="2605"/>
        <w:gridCol w:w="1737"/>
        <w:gridCol w:w="2658"/>
        <w:gridCol w:w="2180"/>
      </w:tblGrid>
      <w:tr w:rsidR="002D316F" w:rsidRPr="00BB1FC9" w:rsidTr="00956AFD">
        <w:trPr>
          <w:trHeight w:val="315"/>
          <w:tblHeader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Мера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r w:rsidRPr="00B9310A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/ Активност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Опис активности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Носилац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Рок спровођења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Утицај на привреду</w:t>
            </w:r>
          </w:p>
        </w:tc>
      </w:tr>
      <w:tr w:rsidR="002D316F" w:rsidRPr="00BB1FC9" w:rsidTr="00956AFD">
        <w:trPr>
          <w:trHeight w:val="3060"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br/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br/>
              <w:t>1. Активна политика просторно уравнотеженог развоја трговине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-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Анализа стања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br/>
              <w:t xml:space="preserve"> 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Сегментирана анализа сатурираности тржишта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малопродаје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епублике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рбије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(површина продајног простора по становнику по општинама и насељима) и акциони план подршке неразвијеним подручјима са сетом конкурсне документације за доделу средстава.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Министарство трговине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Спровођење почети одмах након идентификовања подручја са ниским степеном развоја трговинске мреже.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Већа запосленост у трговинском сектору,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br/>
              <w:t>Јача конкуренција између малопродаваца, Повећање благостања потрошача.</w:t>
            </w:r>
          </w:p>
        </w:tc>
      </w:tr>
      <w:tr w:rsidR="002D316F" w:rsidRPr="00BB1FC9" w:rsidTr="00956AFD">
        <w:trPr>
          <w:trHeight w:val="1545"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2. Усмеравање развоја трговине у правцу остваривања макро распореда малопродајних објеката који ће свим потрошачима створити сличне услове куповине.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 Подстицај развоја трговине у руралним подручјима 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Спровођење почети одмах након усвајања налаза претходне студије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Већа запосленост у трговинском сектору,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br/>
              <w:t>Јача конкуренција између малопродаваца, Повећање благостања потрошача.</w:t>
            </w:r>
          </w:p>
        </w:tc>
      </w:tr>
      <w:tr w:rsidR="002D316F" w:rsidRPr="00BB1FC9" w:rsidTr="00956AFD">
        <w:trPr>
          <w:trHeight w:val="1530"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3.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Подстицај развоју електронске трговине и савремених трговинских формат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а: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br/>
            </w:r>
            <w:r w:rsidRPr="00B9310A">
              <w:rPr>
                <w:rFonts w:ascii="Times New Roman" w:hAnsi="Times New Roman"/>
                <w:strike/>
                <w:sz w:val="20"/>
                <w:szCs w:val="20"/>
                <w:lang w:val="sr-Latn-CS" w:eastAsia="sr-Latn-CS"/>
              </w:rPr>
              <w:br/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Latn-CS" w:eastAsia="sr-Latn-CS"/>
              </w:rPr>
            </w:pP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Latn-CS" w:eastAsia="sr-Latn-CS"/>
              </w:rPr>
            </w:pP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Latn-CS" w:eastAsia="sr-Latn-CS"/>
              </w:rPr>
            </w:pP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Latn-CS" w:eastAsia="sr-Latn-CS"/>
              </w:rPr>
            </w:pPr>
          </w:p>
        </w:tc>
      </w:tr>
      <w:tr w:rsidR="002D316F" w:rsidRPr="00BB1FC9" w:rsidTr="00956AFD">
        <w:trPr>
          <w:trHeight w:val="1530"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3.1.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Едукациони програми за унапређење пословних знања које тангирају електронску трговину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Едукациони програми за представнике малих и средњих предузећа, као и предузетника.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Континуирано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Позитиван утицај: значајно унапређење капацитета привреде у сфери електронске трговине</w:t>
            </w:r>
          </w:p>
        </w:tc>
      </w:tr>
      <w:tr w:rsidR="002D316F" w:rsidRPr="00BB1FC9" w:rsidTr="00956AFD">
        <w:trPr>
          <w:trHeight w:val="1530"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3.2. Кампања за подизање свести о корисности електронске трговине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ТВ програми, кампање спроведене у електронском окружењу као начин уклањања баријера на страни тражње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. Израда водича за е-трговину</w:t>
            </w:r>
          </w:p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Континуирано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Позитиван утицај: повећа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н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а тражња за производима и услугама који се продају путем електронских канала</w:t>
            </w:r>
          </w:p>
        </w:tc>
      </w:tr>
      <w:tr w:rsidR="002D316F" w:rsidRPr="00BB1FC9" w:rsidTr="00956AFD">
        <w:trPr>
          <w:trHeight w:val="2055"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3.3. Подршка развоју савремених трговинских формата - дисконти, cash and carry, DIY, итд.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Представљање нових технологија и нових трговинских формата. Информисање привредника о развоју нових конкурентских концепата у трговини.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Министарство трговине, туризма и телекомуникација и струковна удружења трговаца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Два пута годишње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Развој конкуренције на тржишту;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br/>
              <w:t>Боље и квалитетније снабдевање потрошача;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br/>
              <w:t>Трошак: радно време које трговински менаџери проводе на едукацији.</w:t>
            </w:r>
          </w:p>
        </w:tc>
      </w:tr>
      <w:tr w:rsidR="002D316F" w:rsidRPr="00BB1FC9" w:rsidTr="00956AFD">
        <w:trPr>
          <w:trHeight w:val="1680"/>
        </w:trPr>
        <w:tc>
          <w:tcPr>
            <w:tcW w:w="3280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18"/>
                <w:szCs w:val="18"/>
                <w:lang w:eastAsia="sr-Latn-CS"/>
              </w:rPr>
              <w:t>4.</w:t>
            </w: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Истраживање односа у каналима маркетинга Србије.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Ревизија урађене истраживачке методологије и пилот истраживање.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CD74D1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>година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Дефинисање носилаца промета;</w:t>
            </w: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br/>
              <w:t>Дефинисање трошкова по фазама промета;</w:t>
            </w: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br/>
              <w:t>Успостављање кључних индикатора успешности појединих фаза промета.</w:t>
            </w:r>
          </w:p>
        </w:tc>
      </w:tr>
      <w:tr w:rsidR="002D316F" w:rsidRPr="00BB1FC9" w:rsidTr="00956AFD">
        <w:trPr>
          <w:trHeight w:val="1695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Редовно праћење кључних индикатора и односа;</w:t>
            </w: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br/>
              <w:t>Предлагање мера за унапређење перформанси;</w:t>
            </w: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br/>
              <w:t>Препоруке управљања односима и развој партнерске праксе.</w:t>
            </w:r>
          </w:p>
          <w:p w:rsidR="002D316F" w:rsidRPr="005A5CFA" w:rsidRDefault="002D316F" w:rsidP="005A5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Континуирано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18"/>
                <w:szCs w:val="18"/>
                <w:lang w:val="sr-Latn-CS" w:eastAsia="sr-Latn-CS"/>
              </w:rPr>
              <w:t>Дефинисање основних праваца развоја и превентива евентуалних аномалија.</w:t>
            </w:r>
          </w:p>
        </w:tc>
      </w:tr>
    </w:tbl>
    <w:p w:rsidR="002D316F" w:rsidRDefault="002D316F">
      <w:r>
        <w:br w:type="page"/>
      </w:r>
    </w:p>
    <w:tbl>
      <w:tblPr>
        <w:tblW w:w="12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80"/>
        <w:gridCol w:w="2605"/>
        <w:gridCol w:w="1737"/>
        <w:gridCol w:w="2658"/>
        <w:gridCol w:w="2180"/>
      </w:tblGrid>
      <w:tr w:rsidR="002D316F" w:rsidRPr="00BB1FC9" w:rsidTr="00956AFD">
        <w:trPr>
          <w:trHeight w:val="315"/>
        </w:trPr>
        <w:tc>
          <w:tcPr>
            <w:tcW w:w="7622" w:type="dxa"/>
            <w:gridSpan w:val="3"/>
            <w:noWrap/>
            <w:vAlign w:val="center"/>
          </w:tcPr>
          <w:p w:rsidR="002D316F" w:rsidRPr="005A5CFA" w:rsidRDefault="002D316F" w:rsidP="00B93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>
              <w:br w:type="page"/>
            </w:r>
            <w:r>
              <w:br w:type="page"/>
            </w:r>
            <w:r w:rsidRPr="00B9310A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2</w:t>
            </w:r>
            <w:r w:rsidRPr="00B9310A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. Политика развоја малих трговинских предузећа и предузетника</w:t>
            </w:r>
          </w:p>
        </w:tc>
        <w:tc>
          <w:tcPr>
            <w:tcW w:w="2658" w:type="dxa"/>
            <w:noWrap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</w:tc>
        <w:tc>
          <w:tcPr>
            <w:tcW w:w="2180" w:type="dxa"/>
            <w:noWrap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</w:tc>
      </w:tr>
      <w:tr w:rsidR="002D316F" w:rsidRPr="00BB1FC9" w:rsidTr="00956AFD">
        <w:trPr>
          <w:trHeight w:val="5290"/>
        </w:trPr>
        <w:tc>
          <w:tcPr>
            <w:tcW w:w="3280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1.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Унапређење пословног окружења за пословање малих трговинских предузећа и предузетника</w:t>
            </w:r>
          </w:p>
        </w:tc>
        <w:tc>
          <w:tcPr>
            <w:tcW w:w="2605" w:type="dxa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10A">
              <w:rPr>
                <w:rFonts w:ascii="Times New Roman" w:hAnsi="Times New Roman"/>
                <w:sz w:val="20"/>
                <w:szCs w:val="20"/>
              </w:rPr>
              <w:t>1) Успостављање Јединствене електронске тачке контакта (ЈЕКТ), државног сервиса на коме ће, пре свега, сви пружаоци услуга моћи да добију све неопходне информације које су им неопходн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B9310A">
              <w:rPr>
                <w:rFonts w:ascii="Times New Roman" w:hAnsi="Times New Roman"/>
                <w:sz w:val="20"/>
                <w:szCs w:val="20"/>
              </w:rPr>
              <w:t xml:space="preserve"> за обављање одређене услуге. Мисли се на пружаоце услуга који су предмет Дирек</w:t>
            </w:r>
            <w:r>
              <w:rPr>
                <w:rFonts w:ascii="Times New Roman" w:hAnsi="Times New Roman"/>
                <w:sz w:val="20"/>
                <w:szCs w:val="20"/>
              </w:rPr>
              <w:t>тиве о услугама, која се односи</w:t>
            </w:r>
            <w:r w:rsidRPr="00B9310A">
              <w:rPr>
                <w:rFonts w:ascii="Times New Roman" w:hAnsi="Times New Roman"/>
                <w:sz w:val="20"/>
                <w:szCs w:val="20"/>
              </w:rPr>
              <w:t xml:space="preserve"> на трговину.</w:t>
            </w:r>
          </w:p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10A">
              <w:rPr>
                <w:rFonts w:ascii="Times New Roman" w:hAnsi="Times New Roman"/>
                <w:sz w:val="20"/>
                <w:szCs w:val="20"/>
              </w:rPr>
              <w:t xml:space="preserve">Министарство ће идентификовати све активности и </w:t>
            </w:r>
            <w:r>
              <w:rPr>
                <w:rFonts w:ascii="Times New Roman" w:hAnsi="Times New Roman"/>
                <w:sz w:val="20"/>
                <w:szCs w:val="20"/>
              </w:rPr>
              <w:t>све кораке које мора да зна јед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ан</w:t>
            </w:r>
            <w:r w:rsidRPr="00B9310A">
              <w:rPr>
                <w:rFonts w:ascii="Times New Roman" w:hAnsi="Times New Roman"/>
                <w:sz w:val="20"/>
                <w:szCs w:val="20"/>
              </w:rPr>
              <w:t xml:space="preserve"> привредни субјект да би обављао услугу трговине. У другој фази, предвиђено је омогућавање да се све процедуре заврше електронским путем.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CD74D1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2016-201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>године</w:t>
            </w:r>
          </w:p>
        </w:tc>
        <w:tc>
          <w:tcPr>
            <w:tcW w:w="2180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Убрзани развој информационог друштва у Републици Србији који ће додатно поједноставити обављање трговинске делатности у Србији.</w:t>
            </w:r>
          </w:p>
        </w:tc>
      </w:tr>
      <w:tr w:rsidR="002D316F" w:rsidRPr="00BB1FC9" w:rsidTr="00956AFD">
        <w:trPr>
          <w:trHeight w:val="1363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</w:tcPr>
          <w:p w:rsidR="002D316F" w:rsidRPr="00B9310A" w:rsidRDefault="002D316F" w:rsidP="00D335BF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35BF">
              <w:rPr>
                <w:rFonts w:ascii="Times New Roman" w:hAnsi="Times New Roman"/>
                <w:sz w:val="20"/>
                <w:szCs w:val="20"/>
              </w:rPr>
              <w:t>2)</w:t>
            </w:r>
            <w:r w:rsidRPr="00B9310A">
              <w:rPr>
                <w:rFonts w:ascii="Times New Roman" w:hAnsi="Times New Roman"/>
                <w:sz w:val="20"/>
                <w:szCs w:val="20"/>
              </w:rPr>
              <w:t xml:space="preserve"> Израда водича за трговину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2017. година</w:t>
            </w:r>
          </w:p>
        </w:tc>
        <w:tc>
          <w:tcPr>
            <w:tcW w:w="21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2D316F" w:rsidRPr="00BB1FC9" w:rsidTr="00956AFD">
        <w:trPr>
          <w:trHeight w:val="1290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D3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3)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оквиру Националног савета за развој трговине, а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под окриљем надлежног министарства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један од кључних приоритета ће бити подстицај развоју малих и сред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њ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их предузећа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2016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21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2D316F" w:rsidRPr="00BB1FC9" w:rsidTr="00956AFD">
        <w:trPr>
          <w:trHeight w:val="1785"/>
        </w:trPr>
        <w:tc>
          <w:tcPr>
            <w:tcW w:w="3280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2.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Унапређење заштите малих трговинских предузећа и предузетника у трговинском сектору 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Едукативне радионице</w:t>
            </w:r>
          </w:p>
          <w:p w:rsidR="002D316F" w:rsidRPr="00B9310A" w:rsidRDefault="002D316F" w:rsidP="00B931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Трговински менаџмент – вођење малог бизниса</w:t>
            </w:r>
          </w:p>
          <w:p w:rsidR="002D316F" w:rsidRPr="00B9310A" w:rsidRDefault="002D316F" w:rsidP="00B931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Прописи у области заштите конкуренције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 и Комисија за заштиту конкуренције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2017. година</w:t>
            </w:r>
          </w:p>
        </w:tc>
        <w:tc>
          <w:tcPr>
            <w:tcW w:w="2180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Бољи услови 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з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а мала и средња предузећа</w:t>
            </w:r>
          </w:p>
        </w:tc>
      </w:tr>
      <w:tr w:rsidR="002D316F" w:rsidRPr="00BB1FC9" w:rsidTr="00956AFD">
        <w:trPr>
          <w:trHeight w:val="2052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Анализа кључних проблема у обављању е-трговине и унапређење законодавног оквира на бази компаративне анализе правног регулисања е-трговине у земљама региона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2017. година</w:t>
            </w:r>
          </w:p>
        </w:tc>
        <w:tc>
          <w:tcPr>
            <w:tcW w:w="21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2D316F" w:rsidRPr="00BB1FC9" w:rsidTr="00956AFD">
        <w:trPr>
          <w:trHeight w:val="765"/>
        </w:trPr>
        <w:tc>
          <w:tcPr>
            <w:tcW w:w="3280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3.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Стимулисање пословног удруживања и креирање ланца вредности за мала трговинска предузећа и предузетнике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1) Подстицање даљег развоја набавних алијанси и кластера  у трговини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Merge w:val="restart"/>
            <w:vAlign w:val="center"/>
          </w:tcPr>
          <w:p w:rsidR="002D316F" w:rsidRPr="00B9310A" w:rsidRDefault="002D316F" w:rsidP="00D33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Континуирани</w:t>
            </w:r>
          </w:p>
        </w:tc>
        <w:tc>
          <w:tcPr>
            <w:tcW w:w="2180" w:type="dxa"/>
            <w:vMerge w:val="restart"/>
            <w:vAlign w:val="center"/>
          </w:tcPr>
          <w:p w:rsidR="002D316F" w:rsidRPr="00B9310A" w:rsidRDefault="002D316F" w:rsidP="00D3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Јачање набавне снаге малих трговинских предузећа и преговарачке моћи на тржишту.</w:t>
            </w:r>
          </w:p>
        </w:tc>
      </w:tr>
      <w:tr w:rsidR="002D316F" w:rsidRPr="00BB1FC9" w:rsidTr="00956AFD">
        <w:trPr>
          <w:trHeight w:val="1020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2) Организовање догађаја „Упознај купца</w:t>
            </w:r>
            <w:r w:rsidRPr="000855B9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”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,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Министарство трговине, туризма и телекомуникација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у сарадњи са  Привредном комором  Србије и Удружењем привредника.</w:t>
            </w:r>
          </w:p>
        </w:tc>
        <w:tc>
          <w:tcPr>
            <w:tcW w:w="2658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80" w:type="dxa"/>
            <w:vMerge/>
            <w:vAlign w:val="center"/>
          </w:tcPr>
          <w:p w:rsidR="002D316F" w:rsidRPr="00B9310A" w:rsidRDefault="002D316F" w:rsidP="00D3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2D316F" w:rsidRPr="00BB1FC9" w:rsidTr="00956AFD">
        <w:trPr>
          <w:trHeight w:val="1035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3) Организација пословних сусрета власника малих трговинских предузећа у земљи и иностранству ,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Министарство трговине, туризма и телекомуникација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у сарадњи са  Привредном комором  Србије и Удружењем привредника.</w:t>
            </w:r>
          </w:p>
        </w:tc>
        <w:tc>
          <w:tcPr>
            <w:tcW w:w="2658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80" w:type="dxa"/>
            <w:vMerge/>
            <w:vAlign w:val="center"/>
          </w:tcPr>
          <w:p w:rsidR="002D316F" w:rsidRPr="00B9310A" w:rsidRDefault="002D316F" w:rsidP="00D3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2D316F" w:rsidRPr="00BB1FC9" w:rsidTr="00956AFD">
        <w:trPr>
          <w:trHeight w:val="2112"/>
        </w:trPr>
        <w:tc>
          <w:tcPr>
            <w:tcW w:w="3280" w:type="dxa"/>
            <w:vMerge w:val="restart"/>
            <w:vAlign w:val="center"/>
          </w:tcPr>
          <w:p w:rsidR="002D316F" w:rsidRPr="00B9310A" w:rsidRDefault="002D316F" w:rsidP="00046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4.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Унапређење приступа новим тржиштима за мала трговинска предузећа и предузетнике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Израда е-портала за извознике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2016. година</w:t>
            </w:r>
          </w:p>
        </w:tc>
        <w:tc>
          <w:tcPr>
            <w:tcW w:w="2180" w:type="dxa"/>
            <w:vMerge w:val="restart"/>
            <w:vAlign w:val="center"/>
          </w:tcPr>
          <w:p w:rsidR="002D316F" w:rsidRPr="00B9310A" w:rsidRDefault="002D316F" w:rsidP="00D3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Освајање нових тржишта кроз располагање релевантним информацијама (што има за циљ отварање нових радних места и самозапошљавање у трговини).</w:t>
            </w:r>
          </w:p>
        </w:tc>
      </w:tr>
      <w:tr w:rsidR="002D316F" w:rsidRPr="00BB1FC9" w:rsidTr="00956AFD">
        <w:trPr>
          <w:trHeight w:val="780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2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) Промовисање иновативних малопродајних формата.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Континуирано</w:t>
            </w:r>
          </w:p>
        </w:tc>
        <w:tc>
          <w:tcPr>
            <w:tcW w:w="21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2D316F" w:rsidRPr="00BB1FC9" w:rsidTr="00D335BF">
        <w:trPr>
          <w:trHeight w:val="506"/>
        </w:trPr>
        <w:tc>
          <w:tcPr>
            <w:tcW w:w="12460" w:type="dxa"/>
            <w:gridSpan w:val="5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</w:pPr>
            <w:r w:rsidRPr="00B9310A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3. Институционална решења</w:t>
            </w:r>
          </w:p>
        </w:tc>
      </w:tr>
      <w:tr w:rsidR="002D316F" w:rsidRPr="00BB1FC9" w:rsidTr="00956AFD">
        <w:trPr>
          <w:trHeight w:val="654"/>
        </w:trPr>
        <w:tc>
          <w:tcPr>
            <w:tcW w:w="3280" w:type="dxa"/>
            <w:vAlign w:val="center"/>
          </w:tcPr>
          <w:p w:rsidR="002D316F" w:rsidRPr="00B9310A" w:rsidRDefault="002D316F" w:rsidP="00046D40">
            <w:pPr>
              <w:numPr>
                <w:ilvl w:val="1"/>
                <w:numId w:val="1"/>
              </w:numPr>
              <w:tabs>
                <w:tab w:val="clear" w:pos="1440"/>
                <w:tab w:val="num" w:pos="485"/>
              </w:tabs>
              <w:spacing w:after="0" w:line="240" w:lineRule="auto"/>
              <w:ind w:left="437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Формирање Националног савета за развој трговине Републике Србије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Министарство 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надлежно 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за послове трговине окупља један број стручњака (7-15) у саветодавно тело. Савет предлаже промене прописа, критички чита предлоге прописа других органа, предлаже мере за боље функционисање тржишта и трговине и саветима подржава рад министарства.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телекомуникација, универзитети, струковна удружења, кључне институције</w:t>
            </w:r>
          </w:p>
        </w:tc>
        <w:tc>
          <w:tcPr>
            <w:tcW w:w="2658" w:type="dxa"/>
            <w:vAlign w:val="center"/>
          </w:tcPr>
          <w:p w:rsidR="002D316F" w:rsidRPr="00CD74D1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>година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Трошак привреде: Време ангажованих стручњака на седницама Савета.</w:t>
            </w:r>
          </w:p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Корист за привреду: размена позитивних искустава са представницима Министарства и Владе </w:t>
            </w:r>
          </w:p>
        </w:tc>
      </w:tr>
    </w:tbl>
    <w:p w:rsidR="002D316F" w:rsidRDefault="002D316F">
      <w:r>
        <w:br w:type="page"/>
      </w:r>
    </w:p>
    <w:tbl>
      <w:tblPr>
        <w:tblW w:w="12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80"/>
        <w:gridCol w:w="2605"/>
        <w:gridCol w:w="1737"/>
        <w:gridCol w:w="2658"/>
        <w:gridCol w:w="2180"/>
      </w:tblGrid>
      <w:tr w:rsidR="002D316F" w:rsidRPr="00BB1FC9" w:rsidTr="00D335BF">
        <w:trPr>
          <w:trHeight w:val="911"/>
        </w:trPr>
        <w:tc>
          <w:tcPr>
            <w:tcW w:w="3280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2.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Допуне и измене закона из области тржишта и трговине, као и доношење пратећих правилника.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br/>
              <w:t>Активности операционализације институционалних решења.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1) </w:t>
            </w:r>
            <w:r w:rsidRPr="00B9310A">
              <w:rPr>
                <w:rFonts w:ascii="Times New Roman" w:hAnsi="Times New Roman"/>
                <w:sz w:val="20"/>
                <w:szCs w:val="20"/>
              </w:rPr>
              <w:t>Доношење подзаконских аката на предвиђених Законом о трговини</w:t>
            </w:r>
          </w:p>
        </w:tc>
        <w:tc>
          <w:tcPr>
            <w:tcW w:w="1737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Merge w:val="restart"/>
            <w:vAlign w:val="center"/>
          </w:tcPr>
          <w:p w:rsidR="002D316F" w:rsidRPr="00CD74D1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2016-2017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>године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Остваривање кључног принципа слободне трговине и тржишта.</w:t>
            </w:r>
          </w:p>
        </w:tc>
      </w:tr>
      <w:tr w:rsidR="002D316F" w:rsidRPr="00BB1FC9" w:rsidTr="00D335BF">
        <w:trPr>
          <w:trHeight w:val="541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2) 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Доношење Закона о услугама</w:t>
            </w:r>
          </w:p>
        </w:tc>
        <w:tc>
          <w:tcPr>
            <w:tcW w:w="1737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58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Регулисање правила у растућем, до сада нерегулисаном сегменту</w:t>
            </w:r>
          </w:p>
        </w:tc>
      </w:tr>
      <w:tr w:rsidR="002D316F" w:rsidRPr="00BB1FC9" w:rsidTr="00956AFD">
        <w:trPr>
          <w:trHeight w:val="765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3) 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Доношење Закона о робним берзама</w:t>
            </w:r>
          </w:p>
        </w:tc>
        <w:tc>
          <w:tcPr>
            <w:tcW w:w="1737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58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Стварање услова за ефикасан промет великих количина стандардне (пољопривредне и друге) робе - снижење трошкова промета</w:t>
            </w:r>
          </w:p>
        </w:tc>
      </w:tr>
      <w:tr w:rsidR="002D316F" w:rsidRPr="00BB1FC9" w:rsidTr="00956AFD">
        <w:trPr>
          <w:trHeight w:val="510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4) Измене 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и допуне Закона о е-трговини</w:t>
            </w:r>
          </w:p>
        </w:tc>
        <w:tc>
          <w:tcPr>
            <w:tcW w:w="1737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58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Усклађивање прописа у е-трговини са прописима Е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вропске уније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и поједностављење процедура за обављање овог облика трговине који предтавља значајан генератор запослености</w:t>
            </w:r>
          </w:p>
        </w:tc>
      </w:tr>
      <w:tr w:rsidR="002D316F" w:rsidRPr="00BB1FC9" w:rsidTr="00046D40">
        <w:trPr>
          <w:trHeight w:val="554"/>
        </w:trPr>
        <w:tc>
          <w:tcPr>
            <w:tcW w:w="12460" w:type="dxa"/>
            <w:gridSpan w:val="5"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</w:pPr>
            <w:r w:rsidRPr="00B9310A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Pr="00B9310A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Информатичка база</w:t>
            </w:r>
          </w:p>
        </w:tc>
      </w:tr>
      <w:tr w:rsidR="002D316F" w:rsidRPr="00BB1FC9" w:rsidTr="00956AFD">
        <w:trPr>
          <w:trHeight w:val="1035"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Ажурирање базе основних показатеља у трговини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Ажурирање постојећег модула података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CD74D1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2016. годин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а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Ажурна 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база података о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трговин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и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поспешиће бржи и усклађенији развој</w:t>
            </w:r>
          </w:p>
        </w:tc>
      </w:tr>
      <w:tr w:rsidR="002D316F" w:rsidRPr="00BB1FC9" w:rsidTr="00956AFD">
        <w:trPr>
          <w:trHeight w:val="1035"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Анализа података о трговини и трговинској мрежи које прикупљају институције Републике Србије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Анализа начина прикупљања података, дефинисање кључних проблема и начина за превазилажење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2016. година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Ажурна база података о трговини поспешиће бржи и усклађенији развој</w:t>
            </w:r>
          </w:p>
        </w:tc>
      </w:tr>
      <w:tr w:rsidR="002D316F" w:rsidRPr="00BB1FC9" w:rsidTr="00046D40">
        <w:trPr>
          <w:trHeight w:val="748"/>
        </w:trPr>
        <w:tc>
          <w:tcPr>
            <w:tcW w:w="3280" w:type="dxa"/>
          </w:tcPr>
          <w:p w:rsidR="002D316F" w:rsidRPr="00B9310A" w:rsidRDefault="002D316F" w:rsidP="00B931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</w:rPr>
              <w:t>Потписивање споразума са институцијама које поседују податке о трговини и трговинској мрежи</w:t>
            </w:r>
          </w:p>
        </w:tc>
        <w:tc>
          <w:tcPr>
            <w:tcW w:w="2605" w:type="dxa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</w:rPr>
              <w:t>Размена података са институцијама које поседују поједине податке</w:t>
            </w:r>
          </w:p>
        </w:tc>
        <w:tc>
          <w:tcPr>
            <w:tcW w:w="1737" w:type="dxa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0A">
              <w:rPr>
                <w:rFonts w:ascii="Times New Roman" w:hAnsi="Times New Roman"/>
                <w:sz w:val="20"/>
                <w:szCs w:val="20"/>
              </w:rPr>
              <w:t xml:space="preserve">Министарство трговине, туризма и телекомуникација,     </w:t>
            </w:r>
          </w:p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</w:rPr>
              <w:t>Министарство финансија, Министарство привреде</w:t>
            </w:r>
          </w:p>
        </w:tc>
        <w:tc>
          <w:tcPr>
            <w:tcW w:w="2658" w:type="dxa"/>
          </w:tcPr>
          <w:p w:rsidR="002D316F" w:rsidRPr="00CD74D1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</w:rPr>
              <w:t>2017.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>година</w:t>
            </w:r>
          </w:p>
        </w:tc>
        <w:tc>
          <w:tcPr>
            <w:tcW w:w="2180" w:type="dxa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Ажурна база података о трговини поспешиће бржи и усклађенији развој</w:t>
            </w:r>
          </w:p>
        </w:tc>
      </w:tr>
      <w:tr w:rsidR="002D316F" w:rsidRPr="00BB1FC9" w:rsidTr="00956AFD">
        <w:trPr>
          <w:trHeight w:val="1035"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Израда Идејног пројекта информационог система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Архитектура информационог система трговине 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Републике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Србије и дефинисање неопходних средстава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(Фаза 1)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2017.</w:t>
            </w: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 xml:space="preserve"> година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Ажурна статистика трговине поспешиће бржи и усклађенији развој</w:t>
            </w:r>
          </w:p>
        </w:tc>
      </w:tr>
      <w:tr w:rsidR="002D316F" w:rsidRPr="00BB1FC9" w:rsidTr="00956AFD">
        <w:trPr>
          <w:trHeight w:val="2415"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Унапређивање постојећих база података и регистара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Проширење постојећих база података и увођење регистра објеката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br/>
              <w:t>Један део прикупљања података зависиће од завршетка најављеног процеса унапређивања фискализације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Годину дана од завршетка претходне фазе</w:t>
            </w: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А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журна статистика трговине поспешиће бржи и усклађенији развој</w:t>
            </w:r>
          </w:p>
        </w:tc>
      </w:tr>
      <w:tr w:rsidR="002D316F" w:rsidRPr="00BB1FC9" w:rsidTr="00D335BF">
        <w:trPr>
          <w:trHeight w:val="911"/>
        </w:trPr>
        <w:tc>
          <w:tcPr>
            <w:tcW w:w="3280" w:type="dxa"/>
            <w:vMerge w:val="restart"/>
            <w:vAlign w:val="center"/>
          </w:tcPr>
          <w:p w:rsidR="002D316F" w:rsidRPr="00B9310A" w:rsidRDefault="002D316F" w:rsidP="00B931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br w:type="page"/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Централна база података трговине (ЦБПТ)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Тендер за набавку, инсталацију, обуку и одржавање</w:t>
            </w:r>
          </w:p>
        </w:tc>
        <w:tc>
          <w:tcPr>
            <w:tcW w:w="1737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До годину дана од тренутка завршетка претходне фазе</w:t>
            </w:r>
          </w:p>
        </w:tc>
        <w:tc>
          <w:tcPr>
            <w:tcW w:w="2180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Ажурна 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статистика трговине</w:t>
            </w:r>
          </w:p>
        </w:tc>
      </w:tr>
      <w:tr w:rsidR="002D316F" w:rsidRPr="00BB1FC9" w:rsidTr="00956AFD">
        <w:trPr>
          <w:trHeight w:val="765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Предуслов за спровођење: реализована у потпуности Фаза 1</w:t>
            </w:r>
          </w:p>
        </w:tc>
        <w:tc>
          <w:tcPr>
            <w:tcW w:w="1737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58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2D316F" w:rsidRPr="00BB1FC9" w:rsidTr="00956AFD">
        <w:trPr>
          <w:trHeight w:val="1545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Редослед корака: истовремена реализација због међузависности са функцијом за пословно извештавање и пословну интелигенцију</w:t>
            </w:r>
          </w:p>
        </w:tc>
        <w:tc>
          <w:tcPr>
            <w:tcW w:w="1737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58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</w:tc>
      </w:tr>
      <w:tr w:rsidR="002D316F" w:rsidRPr="00BB1FC9" w:rsidTr="00D335BF">
        <w:trPr>
          <w:trHeight w:val="723"/>
        </w:trPr>
        <w:tc>
          <w:tcPr>
            <w:tcW w:w="3280" w:type="dxa"/>
            <w:vMerge w:val="restart"/>
            <w:vAlign w:val="center"/>
          </w:tcPr>
          <w:p w:rsidR="002D316F" w:rsidRPr="00B9310A" w:rsidRDefault="002D316F" w:rsidP="00B931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Функција за пословно </w:t>
            </w:r>
          </w:p>
          <w:p w:rsidR="002D316F" w:rsidRPr="00B9310A" w:rsidRDefault="002D316F" w:rsidP="00B9310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извештавање 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Тендер за набавку, инсталацију, обуку и одржавање</w:t>
            </w:r>
          </w:p>
        </w:tc>
        <w:tc>
          <w:tcPr>
            <w:tcW w:w="1737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Министарство трговине, туризма и телекомуникација</w:t>
            </w:r>
          </w:p>
        </w:tc>
        <w:tc>
          <w:tcPr>
            <w:tcW w:w="2658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br/>
              <w:t>До годину дана од тренутка завршетка претходне фазе</w:t>
            </w:r>
          </w:p>
        </w:tc>
        <w:tc>
          <w:tcPr>
            <w:tcW w:w="2180" w:type="dxa"/>
            <w:vMerge w:val="restart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Ажурна</w:t>
            </w: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статистика трговине и квалитетне анализе и предвиђања</w:t>
            </w:r>
          </w:p>
        </w:tc>
      </w:tr>
      <w:tr w:rsidR="002D316F" w:rsidRPr="00BB1FC9" w:rsidTr="00956AFD">
        <w:trPr>
          <w:trHeight w:val="1065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Предуслов за спровођење: реализована у потпуности Фаза 1</w:t>
            </w:r>
          </w:p>
        </w:tc>
        <w:tc>
          <w:tcPr>
            <w:tcW w:w="1737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58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2D316F" w:rsidRPr="00BB1FC9" w:rsidTr="00D335BF">
        <w:trPr>
          <w:trHeight w:val="894"/>
        </w:trPr>
        <w:tc>
          <w:tcPr>
            <w:tcW w:w="32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05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Редослед корака: истовремена реализација због међузависности са ЦБПТ</w:t>
            </w:r>
          </w:p>
        </w:tc>
        <w:tc>
          <w:tcPr>
            <w:tcW w:w="1737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58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80" w:type="dxa"/>
            <w:vMerge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</w:p>
        </w:tc>
      </w:tr>
      <w:tr w:rsidR="002D316F" w:rsidRPr="00BB1FC9" w:rsidTr="00956AFD">
        <w:trPr>
          <w:trHeight w:val="2778"/>
        </w:trPr>
        <w:tc>
          <w:tcPr>
            <w:tcW w:w="3280" w:type="dxa"/>
            <w:vAlign w:val="center"/>
          </w:tcPr>
          <w:p w:rsidR="002D316F" w:rsidRPr="00B9310A" w:rsidRDefault="002D316F" w:rsidP="00B931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Формирање Опсерваторије цена високо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</w:t>
            </w: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обртне робе (</w:t>
            </w:r>
            <w:r>
              <w:rPr>
                <w:rFonts w:ascii="Times New Roman" w:hAnsi="Times New Roman"/>
                <w:sz w:val="20"/>
                <w:szCs w:val="20"/>
              </w:rPr>
              <w:t>Портал на коме с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B9310A">
              <w:rPr>
                <w:rFonts w:ascii="Times New Roman" w:hAnsi="Times New Roman"/>
                <w:sz w:val="20"/>
                <w:szCs w:val="20"/>
              </w:rPr>
              <w:t xml:space="preserve"> истакнуте малопродајне цене за прописану корпу артикала високо обртне робе</w:t>
            </w:r>
            <w:r w:rsidRPr="0055189A">
              <w:rPr>
                <w:rFonts w:ascii="Times New Roman" w:hAnsi="Times New Roman"/>
                <w:sz w:val="20"/>
                <w:szCs w:val="20"/>
                <w:lang w:eastAsia="sr-Latn-CS"/>
              </w:rPr>
              <w:t>).</w:t>
            </w:r>
          </w:p>
        </w:tc>
        <w:tc>
          <w:tcPr>
            <w:tcW w:w="2605" w:type="dxa"/>
            <w:vAlign w:val="center"/>
          </w:tcPr>
          <w:p w:rsidR="002D316F" w:rsidRPr="00B9310A" w:rsidRDefault="002D316F" w:rsidP="00D335BF">
            <w:pPr>
              <w:numPr>
                <w:ilvl w:val="0"/>
                <w:numId w:val="3"/>
              </w:numPr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Израда идејног пројекта</w:t>
            </w:r>
          </w:p>
          <w:p w:rsidR="002D316F" w:rsidRPr="00B9310A" w:rsidRDefault="002D316F" w:rsidP="00D335BF">
            <w:pPr>
              <w:numPr>
                <w:ilvl w:val="0"/>
                <w:numId w:val="3"/>
              </w:numPr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Израда портала</w:t>
            </w:r>
          </w:p>
          <w:p w:rsidR="002D316F" w:rsidRPr="00B9310A" w:rsidRDefault="002D316F" w:rsidP="00D335BF">
            <w:pPr>
              <w:numPr>
                <w:ilvl w:val="0"/>
                <w:numId w:val="3"/>
              </w:numPr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Формирање листе трговаца који су обавезни да уносе цене</w:t>
            </w:r>
          </w:p>
          <w:p w:rsidR="002D316F" w:rsidRPr="00B9310A" w:rsidRDefault="002D316F" w:rsidP="00D335BF">
            <w:pPr>
              <w:numPr>
                <w:ilvl w:val="0"/>
                <w:numId w:val="3"/>
              </w:numPr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Формирање листе производа чије цене се прате</w:t>
            </w:r>
          </w:p>
          <w:p w:rsidR="002D316F" w:rsidRPr="00B9310A" w:rsidRDefault="002D316F" w:rsidP="00D335BF">
            <w:pPr>
              <w:numPr>
                <w:ilvl w:val="0"/>
                <w:numId w:val="3"/>
              </w:numPr>
              <w:spacing w:after="0" w:line="240" w:lineRule="auto"/>
              <w:ind w:left="265" w:hanging="180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Мониторинг ажурности и одржавање портала </w:t>
            </w:r>
          </w:p>
        </w:tc>
        <w:tc>
          <w:tcPr>
            <w:tcW w:w="1737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Министарство трговине, туризма и телекомуникација, струковно удружење</w:t>
            </w:r>
          </w:p>
        </w:tc>
        <w:tc>
          <w:tcPr>
            <w:tcW w:w="2658" w:type="dxa"/>
            <w:vAlign w:val="center"/>
          </w:tcPr>
          <w:p w:rsidR="002D316F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. године</w:t>
            </w:r>
          </w:p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– идејни пројекат </w:t>
            </w:r>
          </w:p>
          <w:p w:rsidR="002D316F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. године</w:t>
            </w:r>
          </w:p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9310A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– реализација пројекта</w:t>
            </w:r>
          </w:p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2180" w:type="dxa"/>
            <w:vAlign w:val="center"/>
          </w:tcPr>
          <w:p w:rsidR="002D316F" w:rsidRPr="00B9310A" w:rsidRDefault="002D316F" w:rsidP="00B9310A">
            <w:pPr>
              <w:spacing w:after="0" w:line="240" w:lineRule="auto"/>
              <w:jc w:val="center"/>
              <w:rPr>
                <w:rFonts w:ascii="Times New Roman" w:hAnsi="Times New Roman"/>
                <w:lang w:eastAsia="sr-Latn-CS"/>
              </w:rPr>
            </w:pPr>
            <w:r w:rsidRPr="00B9310A">
              <w:rPr>
                <w:rFonts w:ascii="Times New Roman" w:hAnsi="Times New Roman"/>
                <w:lang w:eastAsia="sr-Latn-CS"/>
              </w:rPr>
              <w:t>Јавни увид у малопродајне цене производа свакодневне потрошње</w:t>
            </w:r>
          </w:p>
        </w:tc>
      </w:tr>
    </w:tbl>
    <w:p w:rsidR="002D316F" w:rsidRDefault="002D316F" w:rsidP="00D335BF">
      <w:bookmarkStart w:id="1" w:name="_GoBack"/>
      <w:bookmarkEnd w:id="1"/>
    </w:p>
    <w:sectPr w:rsidR="002D316F" w:rsidSect="006E2EBA">
      <w:footerReference w:type="default" r:id="rId7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6F" w:rsidRDefault="002D316F" w:rsidP="006E2EBA">
      <w:pPr>
        <w:spacing w:after="0" w:line="240" w:lineRule="auto"/>
      </w:pPr>
      <w:r>
        <w:separator/>
      </w:r>
    </w:p>
  </w:endnote>
  <w:endnote w:type="continuationSeparator" w:id="0">
    <w:p w:rsidR="002D316F" w:rsidRDefault="002D316F" w:rsidP="006E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6F" w:rsidRDefault="002D316F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2D316F" w:rsidRDefault="002D3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6F" w:rsidRDefault="002D316F" w:rsidP="006E2EBA">
      <w:pPr>
        <w:spacing w:after="0" w:line="240" w:lineRule="auto"/>
      </w:pPr>
      <w:r>
        <w:separator/>
      </w:r>
    </w:p>
  </w:footnote>
  <w:footnote w:type="continuationSeparator" w:id="0">
    <w:p w:rsidR="002D316F" w:rsidRDefault="002D316F" w:rsidP="006E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234"/>
    <w:multiLevelType w:val="hybridMultilevel"/>
    <w:tmpl w:val="BC26A5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DE6FE5"/>
    <w:multiLevelType w:val="hybridMultilevel"/>
    <w:tmpl w:val="256AC3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9A2DA0"/>
    <w:multiLevelType w:val="hybridMultilevel"/>
    <w:tmpl w:val="F3D49E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2B1C9A"/>
    <w:multiLevelType w:val="hybridMultilevel"/>
    <w:tmpl w:val="74567C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2D09F1"/>
    <w:multiLevelType w:val="hybridMultilevel"/>
    <w:tmpl w:val="280A6E7C"/>
    <w:lvl w:ilvl="0" w:tplc="116A5B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6D3E7C"/>
    <w:multiLevelType w:val="hybridMultilevel"/>
    <w:tmpl w:val="77569D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E2"/>
    <w:rsid w:val="00046D40"/>
    <w:rsid w:val="000855B9"/>
    <w:rsid w:val="00193B14"/>
    <w:rsid w:val="001B09B6"/>
    <w:rsid w:val="00291730"/>
    <w:rsid w:val="002D316F"/>
    <w:rsid w:val="00360A71"/>
    <w:rsid w:val="00405830"/>
    <w:rsid w:val="004E3316"/>
    <w:rsid w:val="00543AE2"/>
    <w:rsid w:val="0055189A"/>
    <w:rsid w:val="005A5CFA"/>
    <w:rsid w:val="00697106"/>
    <w:rsid w:val="006E2EBA"/>
    <w:rsid w:val="006F6BE1"/>
    <w:rsid w:val="007B57AB"/>
    <w:rsid w:val="007C582B"/>
    <w:rsid w:val="008940C6"/>
    <w:rsid w:val="00956AFD"/>
    <w:rsid w:val="00AB47BD"/>
    <w:rsid w:val="00B43FF3"/>
    <w:rsid w:val="00B6075A"/>
    <w:rsid w:val="00B9310A"/>
    <w:rsid w:val="00BB1FC9"/>
    <w:rsid w:val="00BF5840"/>
    <w:rsid w:val="00C90FEC"/>
    <w:rsid w:val="00CD74D1"/>
    <w:rsid w:val="00D335BF"/>
    <w:rsid w:val="00DE269C"/>
    <w:rsid w:val="00E15D6E"/>
    <w:rsid w:val="00EB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E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E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8</Pages>
  <Words>1529</Words>
  <Characters>8717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daktilo07</cp:lastModifiedBy>
  <cp:revision>13</cp:revision>
  <cp:lastPrinted>2016-12-05T13:05:00Z</cp:lastPrinted>
  <dcterms:created xsi:type="dcterms:W3CDTF">2016-11-30T10:08:00Z</dcterms:created>
  <dcterms:modified xsi:type="dcterms:W3CDTF">2016-12-05T13:05:00Z</dcterms:modified>
</cp:coreProperties>
</file>