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83" w:rsidRPr="008A7CBF" w:rsidRDefault="008A7CBF" w:rsidP="00FD4B0D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181.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premeru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katastru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7265E2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72/09, 18/10, 65/13, 15/15-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7265E2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96/15</w:t>
      </w:r>
      <w:r w:rsidR="007265E2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265E2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47/</w:t>
      </w:r>
      <w:r w:rsidR="00B95CDC" w:rsidRPr="008A7CBF">
        <w:rPr>
          <w:rFonts w:ascii="Times New Roman" w:hAnsi="Times New Roman"/>
          <w:noProof/>
          <w:sz w:val="24"/>
          <w:szCs w:val="24"/>
          <w:lang w:val="sr-Latn-CS"/>
        </w:rPr>
        <w:t>17</w:t>
      </w:r>
      <w:r w:rsidR="007265E2" w:rsidRPr="008A7CBF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autentično</w:t>
      </w:r>
      <w:r w:rsidR="007265E2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tumačenje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teritorijalnoj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 129/07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18/16</w:t>
      </w:r>
      <w:r w:rsidR="00661935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61935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61935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661935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 1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B95CD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42.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 55/05, 71/05-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, 101/07, 65/08, 16/11, 68/12-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, 72/12, 7/14-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44/14),</w:t>
      </w:r>
    </w:p>
    <w:p w:rsidR="00267D83" w:rsidRPr="008A7CBF" w:rsidRDefault="008A7CBF" w:rsidP="00FD4B0D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267D83" w:rsidRPr="008A7CBF" w:rsidRDefault="00267D83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</w:p>
    <w:p w:rsidR="00267D83" w:rsidRPr="008A7CBF" w:rsidRDefault="008A7CBF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REGISTRU</w:t>
      </w:r>
    </w:p>
    <w:p w:rsidR="00267D83" w:rsidRPr="008A7CBF" w:rsidRDefault="00267D83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 w:rsidP="00052CA7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UVODNE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</w:p>
    <w:p w:rsidR="00B95CDC" w:rsidRPr="008A7CBF" w:rsidRDefault="00B95CDC" w:rsidP="00B95CDC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 w:rsidP="00B95CDC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267D83" w:rsidRPr="008A7CBF" w:rsidRDefault="008A7CBF" w:rsidP="00E60416">
      <w:pPr>
        <w:pStyle w:val="TEXTChar1CharChar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vođenja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označavanje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označavanje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obeležavanje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zgrada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 w:rsidP="00E60416">
      <w:pPr>
        <w:pStyle w:val="TEXTChar1CharChar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 w:rsidP="00B95CDC">
      <w:pPr>
        <w:pStyle w:val="TEXTChar1CharChar"/>
        <w:ind w:firstLine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267D83" w:rsidRPr="008A7CBF" w:rsidRDefault="008A7CBF" w:rsidP="00797AE4">
      <w:pPr>
        <w:pStyle w:val="TEXTChar1CharChar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Adresni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797AE4">
      <w:pPr>
        <w:pStyle w:val="TEXTChar1CharChar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Adresni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stambene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zgrade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urbanističkim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 w:rsidP="00E60416">
      <w:pPr>
        <w:pStyle w:val="TEXTChar1CharChar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 w:rsidP="00797AE4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</w:p>
    <w:p w:rsidR="00267D83" w:rsidRPr="008A7CBF" w:rsidRDefault="00267D83" w:rsidP="00797AE4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Označavanje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zgrada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katastarskih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parcela</w:t>
      </w:r>
      <w:r w:rsidR="007727B4" w:rsidRPr="008A7CBF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95CD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državnom</w:t>
      </w:r>
      <w:r w:rsidR="00B95CD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premeru</w:t>
      </w:r>
      <w:r w:rsidR="00B95CD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95CD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katastru</w:t>
      </w:r>
      <w:r w:rsidR="00B95CD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B95CD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B95CD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B95CD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B95CDC" w:rsidRPr="008A7CBF">
        <w:rPr>
          <w:rFonts w:ascii="Times New Roman" w:hAnsi="Times New Roman"/>
          <w:noProof/>
          <w:sz w:val="24"/>
          <w:szCs w:val="24"/>
          <w:lang w:val="sr-Latn-CS"/>
        </w:rPr>
        <w:t>. 72/09, 18/10, 65/13, 15/15-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B95CD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 96/15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95CD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47/17-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autentično</w:t>
      </w:r>
      <w:r w:rsidR="00B95CD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tumačenje</w:t>
      </w:r>
      <w:r w:rsidR="00B95CD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95CD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B95CD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B95CD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B95CD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7727B4" w:rsidRPr="008A7CBF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kućnom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nadležne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uže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unutrašnje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geodetskog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zavoda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obrazovane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teritoriju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opštine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grada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gradske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opštine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službe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katastar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 w:rsidP="00797AE4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stambena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zajednica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vlasnik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zgrade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vlasnik</w:t>
      </w:r>
      <w:r w:rsidR="00597067" w:rsidRPr="008A7CBF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9706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zakupac</w:t>
      </w:r>
      <w:r w:rsidR="0059706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katastarske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obeležavanje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objektu</w:t>
      </w:r>
      <w:r w:rsidR="00D02C11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D02C11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katastarskoj</w:t>
      </w:r>
      <w:r w:rsidR="00D02C11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parceli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svom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trošku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fizički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postavlja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tablicu</w:t>
      </w:r>
      <w:r w:rsidR="00D02C11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D02C11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="00D02C11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brojem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 w:rsidP="00797AE4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Obeležavanje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Knjigom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grafičkih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="00262DB9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geodetskog</w:t>
      </w:r>
      <w:r w:rsidR="00262DB9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zavoda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izgledom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namenom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materijalom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zgrada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izgrađena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 w:rsidP="00E60416">
      <w:pPr>
        <w:pStyle w:val="TEXTChar1CharChar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 w:rsidP="000C5609">
      <w:pPr>
        <w:pStyle w:val="TEXTChar1CharChar"/>
        <w:numPr>
          <w:ilvl w:val="0"/>
          <w:numId w:val="2"/>
        </w:numPr>
        <w:tabs>
          <w:tab w:val="clear" w:pos="720"/>
          <w:tab w:val="num" w:pos="450"/>
        </w:tabs>
        <w:ind w:hanging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ADRESNI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</w:p>
    <w:p w:rsidR="00267D83" w:rsidRPr="008A7CBF" w:rsidRDefault="00267D83" w:rsidP="000C5609">
      <w:pPr>
        <w:pStyle w:val="TEXTChar1CharChar"/>
        <w:ind w:firstLine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>
      <w:pPr>
        <w:tabs>
          <w:tab w:val="left" w:pos="4140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4.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Adresni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geodetski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7369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Zavod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67D83" w:rsidRPr="008A7CBF" w:rsidRDefault="00267D83" w:rsidP="007175E5">
      <w:pPr>
        <w:pStyle w:val="Heading4"/>
        <w:jc w:val="center"/>
        <w:rPr>
          <w:rStyle w:val="StyleCLANTimesNewRoman1CharCharChar"/>
          <w:noProof/>
          <w:szCs w:val="24"/>
          <w:lang w:val="sr-Latn-CS"/>
        </w:rPr>
      </w:pPr>
    </w:p>
    <w:p w:rsidR="00267D83" w:rsidRPr="008A7CBF" w:rsidRDefault="008A7CBF" w:rsidP="007175E5">
      <w:pPr>
        <w:pStyle w:val="Heading4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5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7175E5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Adresni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267D83" w:rsidRPr="008A7CBF" w:rsidRDefault="00267D83" w:rsidP="007175E5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matični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opštine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67D83" w:rsidRPr="008A7CBF" w:rsidRDefault="00267D83" w:rsidP="007175E5">
      <w:pPr>
        <w:ind w:right="-158"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matični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naseljenog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67D83" w:rsidRPr="008A7CBF" w:rsidRDefault="00267D83" w:rsidP="007175E5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matični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katastarske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opštine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67D83" w:rsidRPr="008A7CBF" w:rsidRDefault="00267D83" w:rsidP="007175E5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matični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trga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67D83" w:rsidRPr="008A7CBF" w:rsidRDefault="00267D83" w:rsidP="007175E5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raniji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trga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datumom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nastale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promene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67D83" w:rsidRPr="008A7CBF" w:rsidRDefault="00267D83" w:rsidP="007175E5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naseljenom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mestu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267D83" w:rsidRPr="008A7CBF" w:rsidRDefault="00267D83" w:rsidP="007175E5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ulici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trgu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datumom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nastale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promene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67D83" w:rsidRPr="008A7CBF" w:rsidRDefault="00267D83" w:rsidP="007175E5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zaseoku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delu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naseljenog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67D83" w:rsidRPr="008A7CBF" w:rsidRDefault="00267D83" w:rsidP="007175E5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9)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preuzeti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datumom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preuzimanja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67D83" w:rsidRPr="008A7CBF" w:rsidRDefault="00267D83" w:rsidP="007175E5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10)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katastarske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267D83" w:rsidRPr="008A7CBF" w:rsidRDefault="00267D83" w:rsidP="007175E5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11)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katastarske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objektom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6.</w:t>
      </w:r>
    </w:p>
    <w:p w:rsidR="00267D83" w:rsidRPr="008A7CBF" w:rsidRDefault="008A7CBF" w:rsidP="00052CA7">
      <w:pPr>
        <w:pStyle w:val="CommentTex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Državni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teritorijalne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preduzeća</w:t>
      </w:r>
      <w:r w:rsidR="00262DB9" w:rsidRPr="008A7CBF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povereno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3 001,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modelom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avgusta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67D83" w:rsidRPr="008A7CBF" w:rsidRDefault="00267D8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7.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Adresni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geoprostornih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NIGP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</w:p>
    <w:p w:rsidR="00267D83" w:rsidRPr="008A7CBF" w:rsidRDefault="00267D8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8.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70.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 w:rsidP="000C5609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</w:p>
    <w:p w:rsidR="00267D83" w:rsidRPr="008A7CBF" w:rsidRDefault="00267D8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>
      <w:pPr>
        <w:tabs>
          <w:tab w:val="left" w:pos="4253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9.</w:t>
      </w:r>
    </w:p>
    <w:p w:rsidR="00267D83" w:rsidRPr="008A7CBF" w:rsidRDefault="00267D83" w:rsidP="00052CA7">
      <w:pPr>
        <w:tabs>
          <w:tab w:val="left" w:pos="72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Adresni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nazive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trgova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odlukama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 w:rsidP="00052CA7">
      <w:pPr>
        <w:tabs>
          <w:tab w:val="left" w:pos="72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Skupština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nazivima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trgova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gradskih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četvrti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zaselaka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delova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naseljenih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svojoj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prethodnu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267D83" w:rsidRPr="008A7CBF" w:rsidRDefault="00267D83" w:rsidP="00052CA7">
      <w:pPr>
        <w:tabs>
          <w:tab w:val="left" w:pos="72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jezik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manjine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službenoj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promene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naziva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trgova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gradskih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četvrti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zaselaka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delova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naseljenih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pribaviće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manjine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ugasi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gašenju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67D83" w:rsidRPr="008A7CBF" w:rsidRDefault="00267D8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10.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formirana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terenu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deset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parnoj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neparnoj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preglednu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skicu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prikazom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izgrađenih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prostiranja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prikazivanje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imenovanje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neće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>
      <w:pPr>
        <w:tabs>
          <w:tab w:val="left" w:pos="3969"/>
        </w:tabs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34A70" w:rsidRPr="008A7CBF" w:rsidRDefault="00E34A70">
      <w:pPr>
        <w:tabs>
          <w:tab w:val="left" w:pos="3969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>
      <w:pPr>
        <w:tabs>
          <w:tab w:val="left" w:pos="3969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11.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prolazi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uličnog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j</w:t>
      </w:r>
      <w:r>
        <w:rPr>
          <w:rFonts w:ascii="Times New Roman" w:hAnsi="Times New Roman"/>
          <w:noProof/>
          <w:sz w:val="24"/>
          <w:szCs w:val="24"/>
          <w:lang w:val="sr-Latn-CS"/>
        </w:rPr>
        <w:t>ednoj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jedinici</w:t>
      </w:r>
      <w:r w:rsidR="00AC72D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AC72D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AC72D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AC72D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AC72D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AC72D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uputi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dopis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skicom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prikazom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izbeglo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imenovanje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prolazi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naseljenih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dupliranje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imenovanja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dupliranje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numeracije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susednim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dinice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numeracije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označavanje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obeležavanje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istovremeno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12.</w:t>
      </w:r>
    </w:p>
    <w:p w:rsidR="00267D83" w:rsidRPr="008A7CBF" w:rsidRDefault="008A7CBF" w:rsidP="00B32CA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Matični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sastoji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12 </w:t>
      </w:r>
      <w:r>
        <w:rPr>
          <w:rFonts w:ascii="Times New Roman" w:hAnsi="Times New Roman"/>
          <w:noProof/>
          <w:sz w:val="24"/>
          <w:szCs w:val="24"/>
          <w:lang w:val="sr-Latn-CS"/>
        </w:rPr>
        <w:t>cifara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cifara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matični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pripada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67D83" w:rsidRPr="008A7CBF" w:rsidRDefault="008A7CBF" w:rsidP="00B32CA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Sedma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cifra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razlikuje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zavisnosti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ukazuje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formirana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uličnog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imenovana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cifra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matičnom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</w:p>
    <w:p w:rsidR="00267D83" w:rsidRPr="008A7CBF" w:rsidRDefault="008A7CBF" w:rsidP="007E6478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zaseocima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delovima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uspostavljen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ulični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cifra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267D83" w:rsidRPr="008A7CBF" w:rsidRDefault="00267D83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ulici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naseljenom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mestu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uspostavljen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ulični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sedma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cifra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0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trgova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sedma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cifra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Poslednjih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cifara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matičnom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šifru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 w:rsidP="00052CA7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 w:rsidP="00052CA7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13.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granicom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susedna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parnoj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pripadaju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neparnoj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="00181B1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naselju</w:t>
      </w:r>
      <w:r w:rsidR="00181B1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="00181B1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181B1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81B1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šifra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matični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razlikuje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cifara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dopis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primedbom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greška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dupliranom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ispraviti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prenumeraciju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 15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 w:rsidP="00052CA7">
      <w:pPr>
        <w:tabs>
          <w:tab w:val="left" w:pos="3969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14.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Nadležna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stanovnike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odluci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keepNext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Nadležna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numeracije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prenumeracije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imenovanja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stanovnike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došlo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>
      <w:pPr>
        <w:keepNext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 w:rsidP="00C5459B">
      <w:pPr>
        <w:tabs>
          <w:tab w:val="left" w:pos="3969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15.</w:t>
      </w:r>
    </w:p>
    <w:p w:rsidR="00267D83" w:rsidRPr="008A7CBF" w:rsidRDefault="00267D83" w:rsidP="00C5459B">
      <w:pPr>
        <w:tabs>
          <w:tab w:val="left" w:pos="72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obavezna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označavanje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9.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4</w:t>
      </w:r>
      <w:r w:rsidR="007E6478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 w:rsidP="00C5459B">
      <w:pPr>
        <w:tabs>
          <w:tab w:val="left" w:pos="72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obeležavanje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9.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 w:rsidP="00C5459B">
      <w:pPr>
        <w:tabs>
          <w:tab w:val="left" w:pos="72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vršiti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obeležavanje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novoj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ulici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trgu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prethodno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označenog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naziva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trga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 w:rsidP="00C5459B">
      <w:pPr>
        <w:tabs>
          <w:tab w:val="left" w:pos="72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Stambena</w:t>
      </w:r>
      <w:r w:rsidR="007E6478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zajednica</w:t>
      </w:r>
      <w:r w:rsidR="007E6478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vlasnik</w:t>
      </w:r>
      <w:r w:rsidR="007E6478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E6478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7E6478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zgrade</w:t>
      </w:r>
      <w:r w:rsidR="007E6478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E6478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vlasnik</w:t>
      </w:r>
      <w:r w:rsidR="00597067" w:rsidRPr="008A7CBF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7E6478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7E6478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9706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zakupac</w:t>
      </w:r>
      <w:r w:rsidR="0059706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katastarske</w:t>
      </w:r>
      <w:r w:rsidR="007E6478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obeleži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zgrade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katastarske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brojevima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utvrđivanja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kućnog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 w:rsidP="00052CA7">
      <w:pPr>
        <w:keepNext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 w:rsidP="00052CA7">
      <w:pPr>
        <w:keepNext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16.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provodi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katastru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 w:rsidP="00052CA7">
      <w:pPr>
        <w:jc w:val="center"/>
        <w:outlineLv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</w:p>
    <w:p w:rsidR="00267D83" w:rsidRPr="008A7CBF" w:rsidRDefault="00267D83" w:rsidP="00052CA7">
      <w:pPr>
        <w:outlineLvl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 w:rsidP="00052CA7">
      <w:pPr>
        <w:jc w:val="center"/>
        <w:outlineLv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267D83" w:rsidRPr="008A7CB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17.</w:t>
      </w:r>
    </w:p>
    <w:p w:rsidR="00267D83" w:rsidRPr="008A7CBF" w:rsidRDefault="00267D83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državanje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Adresnog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prikupljanje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provođenje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nastalih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bazi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Adresnog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kućne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brojeve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nazive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trgova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vršenje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označavanjem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obeležavanjem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zgrada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katastarskih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parcela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brojevima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Održavanje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ažuriraju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grešku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baze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faktičkog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numeracije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predmetnoj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greške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prenumeracija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vršiće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numerisani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umetanjem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slovnih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oznaka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zadržavaju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numeraciju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>
      <w:pPr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267D83" w:rsidRPr="008A7CBF" w:rsidRDefault="00267D83">
      <w:pPr>
        <w:pStyle w:val="BodyText2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3. </w:t>
      </w:r>
      <w:r w:rsidR="008A7CBF">
        <w:rPr>
          <w:rFonts w:ascii="Times New Roman" w:hAnsi="Times New Roman"/>
          <w:bCs/>
          <w:noProof/>
          <w:sz w:val="24"/>
          <w:szCs w:val="24"/>
          <w:lang w:val="sr-Latn-CS"/>
        </w:rPr>
        <w:t>UTVRĐIVANJE</w:t>
      </w:r>
      <w:r w:rsidRPr="008A7CB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bCs/>
          <w:noProof/>
          <w:sz w:val="24"/>
          <w:szCs w:val="24"/>
          <w:lang w:val="sr-Latn-CS"/>
        </w:rPr>
        <w:t>KUĆNIH</w:t>
      </w:r>
      <w:r w:rsidRPr="008A7CB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bCs/>
          <w:noProof/>
          <w:sz w:val="24"/>
          <w:szCs w:val="24"/>
          <w:lang w:val="sr-Latn-CS"/>
        </w:rPr>
        <w:t>BROJEVA</w:t>
      </w:r>
    </w:p>
    <w:p w:rsidR="00267D83" w:rsidRPr="008A7CBF" w:rsidRDefault="00267D83">
      <w:pPr>
        <w:pStyle w:val="BodyText2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267D83" w:rsidRPr="008A7CBF" w:rsidRDefault="008A7CBF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18.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stambene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zgrade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stanovanje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vikendica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letnjikovac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vinogradarska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.).</w:t>
      </w:r>
    </w:p>
    <w:p w:rsidR="00267D83" w:rsidRPr="008A7CBF" w:rsidRDefault="00267D83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ućni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izgradnji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upisani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katastar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izgradnje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započet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planiranju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izgradnji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. 72/09, 81/09-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, 64/10-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, 24/11, 121/12, 42/13-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, 50/13-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, 98/13-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, 132/14, 145/14).</w:t>
      </w:r>
    </w:p>
    <w:p w:rsidR="00267D83" w:rsidRPr="008A7CBF" w:rsidRDefault="008A7CBF" w:rsidP="00052CA7">
      <w:pPr>
        <w:pStyle w:val="TEXTChar1CharChar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investitora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neizgrađene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urbanističkim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Posebnom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stambenog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neposredan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etaži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prizemlja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zgrade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spoljnim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stepeništem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etaže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E6478" w:rsidRPr="008A7CBF" w:rsidRDefault="007E6478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E6478" w:rsidRPr="008A7CBF" w:rsidRDefault="007E6478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92287B" w:rsidRPr="008A7CBF" w:rsidRDefault="0092287B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E6478" w:rsidRPr="008A7CBF" w:rsidRDefault="007E6478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 w:rsidP="00A14BA8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19.</w:t>
      </w:r>
    </w:p>
    <w:p w:rsidR="00267D83" w:rsidRPr="008A7CBF" w:rsidRDefault="00267D83" w:rsidP="007E6478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stambene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poslovne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upisani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katastar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napomenom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objekat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upisan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katastar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vrstu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kućnog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Evidentirani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uneti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Evidentirani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Upisom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naplate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Evidentiranog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E6478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7E6478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uverenje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napomenom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 w:rsidP="00052CA7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 w:rsidP="00052CA7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20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evidentiran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stambena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podnesu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evidentiranje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podnosilac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imalac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zakupac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izgrađen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graditelj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podnosilac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legalizaciju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ozakonjenje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evidentiranom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napomenu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67D83" w:rsidRPr="008A7CBF" w:rsidRDefault="008A7CBF" w:rsidP="00052CA7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Upisom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naplate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Evidentiranog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>
      <w:pPr>
        <w:pStyle w:val="CLANCharChar"/>
        <w:rPr>
          <w:noProof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 w:rsidR="00267D83" w:rsidRPr="008A7CBF">
        <w:rPr>
          <w:noProof/>
          <w:szCs w:val="24"/>
          <w:lang w:val="sr-Latn-CS"/>
        </w:rPr>
        <w:t>21.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glavnog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izgrađeni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izgrađen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glavni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ambare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silose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štale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ribnjake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žičare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mostove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vijadukte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tunele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heliodrome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parkinge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stadione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bazene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relejne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tornjev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e,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namenjen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stanovanje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67D83" w:rsidRPr="008A7CBF" w:rsidRDefault="00267D83">
      <w:pPr>
        <w:pStyle w:val="TEXTChar1CharChar"/>
        <w:rPr>
          <w:rStyle w:val="StyleCLANTimesNewRoman1CharCharChar"/>
          <w:noProof/>
          <w:szCs w:val="24"/>
          <w:lang w:val="sr-Latn-CS"/>
        </w:rPr>
      </w:pPr>
      <w:r w:rsidRPr="008A7CBF">
        <w:rPr>
          <w:rStyle w:val="StyleCLANTimesNewRoman1CharCharChar"/>
          <w:noProof/>
          <w:szCs w:val="24"/>
          <w:lang w:val="sr-Latn-CS"/>
        </w:rPr>
        <w:tab/>
      </w:r>
      <w:r w:rsidRPr="008A7CBF">
        <w:rPr>
          <w:rStyle w:val="StyleCLANTimesNewRoman1CharCharChar"/>
          <w:noProof/>
          <w:szCs w:val="24"/>
          <w:lang w:val="sr-Latn-CS"/>
        </w:rPr>
        <w:tab/>
      </w:r>
      <w:r w:rsidRPr="008A7CBF">
        <w:rPr>
          <w:rStyle w:val="StyleCLANTimesNewRoman1CharCharChar"/>
          <w:noProof/>
          <w:szCs w:val="24"/>
          <w:lang w:val="sr-Latn-CS"/>
        </w:rPr>
        <w:tab/>
      </w:r>
      <w:r w:rsidRPr="008A7CBF">
        <w:rPr>
          <w:rStyle w:val="StyleCLANTimesNewRoman1CharCharChar"/>
          <w:noProof/>
          <w:szCs w:val="24"/>
          <w:lang w:val="sr-Latn-CS"/>
        </w:rPr>
        <w:tab/>
      </w:r>
      <w:r w:rsidRPr="008A7CBF">
        <w:rPr>
          <w:rStyle w:val="StyleCLANTimesNewRoman1CharCharChar"/>
          <w:noProof/>
          <w:szCs w:val="24"/>
          <w:lang w:val="sr-Latn-CS"/>
        </w:rPr>
        <w:tab/>
      </w:r>
      <w:r w:rsidRPr="008A7CBF">
        <w:rPr>
          <w:rStyle w:val="StyleCLANTimesNewRoman1CharCharChar"/>
          <w:noProof/>
          <w:szCs w:val="24"/>
          <w:lang w:val="sr-Latn-CS"/>
        </w:rPr>
        <w:tab/>
      </w:r>
    </w:p>
    <w:p w:rsidR="00267D83" w:rsidRPr="008A7CBF" w:rsidRDefault="008A7CBF">
      <w:pPr>
        <w:pStyle w:val="TEXTChar1CharChar"/>
        <w:ind w:firstLine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22.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briše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uklanjanjem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elaborata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geodetskih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uviđajem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zapisnik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uviđaju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gašenja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naplaćuje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ugašen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ponovo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naplatu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>
      <w:pPr>
        <w:pStyle w:val="CLANCharChar"/>
        <w:rPr>
          <w:noProof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 w:rsidR="00267D83" w:rsidRPr="008A7CBF">
        <w:rPr>
          <w:noProof/>
          <w:szCs w:val="24"/>
          <w:lang w:val="sr-Latn-CS"/>
        </w:rPr>
        <w:t>23.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čemu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odakle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počinje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dobijaju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neparne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desne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dobijaju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keju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bliži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glavnom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nastavlja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pravcu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periferije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kontinuitetu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smeru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kretanja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kazaljke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satu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glavne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razbijenog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tipa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ulaska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administrativnog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kontinuitetu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najpovoljniji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najkraći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prilaz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zgradi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>
      <w:pPr>
        <w:pStyle w:val="CLANCharChar"/>
        <w:rPr>
          <w:noProof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 w:rsidR="00267D83" w:rsidRPr="008A7CBF">
        <w:rPr>
          <w:noProof/>
          <w:szCs w:val="24"/>
          <w:lang w:val="sr-Latn-CS"/>
        </w:rPr>
        <w:t>24.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zasebnih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raskrsnici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pripadajuću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>
      <w:pPr>
        <w:pStyle w:val="CLANCharChar"/>
        <w:rPr>
          <w:noProof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 w:rsidR="00267D83" w:rsidRPr="008A7CBF">
        <w:rPr>
          <w:noProof/>
          <w:szCs w:val="24"/>
          <w:lang w:val="sr-Latn-CS"/>
        </w:rPr>
        <w:t>25.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katastru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dvojni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opisom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dozvoljeno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pojedinačno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raskrsnici</w:t>
      </w:r>
      <w:r w:rsidR="00586B1A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586B1A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86B1A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586B1A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="00586B1A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uverenje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86B1A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586B1A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586B1A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numeraciji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ulicama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>
      <w:pPr>
        <w:pStyle w:val="CLANCharChar"/>
        <w:rPr>
          <w:noProof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 w:rsidR="00267D83" w:rsidRPr="008A7CBF">
        <w:rPr>
          <w:noProof/>
          <w:szCs w:val="24"/>
          <w:lang w:val="sr-Latn-CS"/>
        </w:rPr>
        <w:t>26.</w:t>
      </w:r>
    </w:p>
    <w:p w:rsidR="00267D83" w:rsidRPr="008A7CBF" w:rsidRDefault="00267D83" w:rsidP="00052CA7">
      <w:pPr>
        <w:pStyle w:val="BodyText2"/>
        <w:tabs>
          <w:tab w:val="left" w:pos="720"/>
        </w:tabs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dodatnog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kućnog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ulaz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objekat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izaziva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potrebu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promene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ostalih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kućnih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brojeva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objektu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ulaze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objekat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utvrdiće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isti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dodaju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slovne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oznake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azbučnom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redu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narednom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slovnom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oznakom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dvorišne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slovna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oznaka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azbučnom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slovnom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oznakom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ulični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slovnim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oznakama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dvorišnom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uličnog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slovnom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oznakom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>
      <w:pPr>
        <w:pStyle w:val="BodyText2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27.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Objektu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sagrađenom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susednog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manjeg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slovna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oznaka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azbučnom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slovnom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oznakom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>
      <w:pPr>
        <w:pStyle w:val="CLANCharChar"/>
        <w:rPr>
          <w:noProof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 w:rsidR="00267D83" w:rsidRPr="008A7CBF">
        <w:rPr>
          <w:noProof/>
          <w:szCs w:val="24"/>
          <w:lang w:val="sr-Latn-CS"/>
        </w:rPr>
        <w:t>28.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Vlasnik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investitor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istovremeno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pozvati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vlasnika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držaoca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držalac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stambenoj</w:t>
      </w:r>
      <w:r w:rsidR="0059706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zajednici</w:t>
      </w:r>
      <w:r w:rsidR="0059706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vlasniku</w:t>
      </w:r>
      <w:r w:rsidR="0059706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9706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korisniku</w:t>
      </w:r>
      <w:r w:rsidR="0059706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zgrade</w:t>
      </w:r>
      <w:r w:rsidR="0059706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9706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vlasniku</w:t>
      </w:r>
      <w:r w:rsidR="0059706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korisniku</w:t>
      </w:r>
      <w:r w:rsidR="0059706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9706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zakupcu</w:t>
      </w:r>
      <w:r w:rsidR="0059706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katastarske</w:t>
      </w:r>
      <w:r w:rsidR="0059706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="0059706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zgrada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izgrađena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 2.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ostavljenom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taksi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>
      <w:pPr>
        <w:pStyle w:val="CLANCharChar"/>
        <w:rPr>
          <w:noProof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 w:rsidR="00267D83" w:rsidRPr="008A7CBF">
        <w:rPr>
          <w:noProof/>
          <w:szCs w:val="24"/>
          <w:lang w:val="sr-Latn-CS"/>
        </w:rPr>
        <w:t>29.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Vlasnik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zakupac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zgrade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neizgrađenu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lokaciji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mouprave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Baza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počela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neizgrađene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neizgrađene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predvideti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izlaz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prvi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isparcelisani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susednog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manjeg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zadržaće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slovnom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oznakom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azbučnom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slovnom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oznakom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zavisnosti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isparcelisanih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pridružuje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Ako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izgrađene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zgrada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zgrada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zgrada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izgrađena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zgrade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istovremeno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zgradu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 w:rsidP="00052CA7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30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predat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elaborat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geodetskih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žalba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drugostepenog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dopunjen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67D83" w:rsidRPr="008A7CBF" w:rsidRDefault="008A7CBF">
      <w:pPr>
        <w:pStyle w:val="CLANCharChar"/>
        <w:rPr>
          <w:noProof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31</w:t>
      </w:r>
      <w:r w:rsidR="00267D83" w:rsidRPr="008A7CBF">
        <w:rPr>
          <w:noProof/>
          <w:szCs w:val="24"/>
          <w:lang w:val="sr-Latn-CS"/>
        </w:rPr>
        <w:t>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uviđaj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terenu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uviđaj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čemu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sačinjava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zapisnik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izjaviti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žalba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Zavodu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osam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>
      <w:pPr>
        <w:pStyle w:val="CLANCharChar"/>
        <w:rPr>
          <w:noProof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 w:rsidR="00267D83" w:rsidRPr="008A7CBF">
        <w:rPr>
          <w:noProof/>
          <w:szCs w:val="24"/>
          <w:lang w:val="sr-Latn-CS"/>
        </w:rPr>
        <w:t>32.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prenumerisati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promenjen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bb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Prenumeracija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elaborata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prenumeracije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izrađuje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predračun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grafički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novoutvrđenih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elaborata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prenumeracije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052CA7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prenumeracije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zgrade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zgrada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izgrađena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zabeležbu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>
      <w:pPr>
        <w:pStyle w:val="BodyText2"/>
        <w:rPr>
          <w:rStyle w:val="StyleCLANTimesNewRoman1CharCharChar"/>
          <w:noProof/>
          <w:szCs w:val="24"/>
          <w:lang w:val="sr-Latn-CS"/>
        </w:rPr>
      </w:pPr>
    </w:p>
    <w:p w:rsidR="00597067" w:rsidRPr="008A7CBF" w:rsidRDefault="00597067">
      <w:pPr>
        <w:pStyle w:val="BodyText2"/>
        <w:rPr>
          <w:rStyle w:val="StyleCLANTimesNewRoman1CharCharChar"/>
          <w:noProof/>
          <w:szCs w:val="24"/>
          <w:lang w:val="sr-Latn-CS"/>
        </w:rPr>
      </w:pPr>
    </w:p>
    <w:p w:rsidR="00597067" w:rsidRPr="008A7CBF" w:rsidRDefault="00597067">
      <w:pPr>
        <w:pStyle w:val="BodyText2"/>
        <w:rPr>
          <w:rStyle w:val="StyleCLANTimesNewRoman1CharCharChar"/>
          <w:noProof/>
          <w:szCs w:val="24"/>
          <w:lang w:val="sr-Latn-CS"/>
        </w:rPr>
      </w:pPr>
    </w:p>
    <w:p w:rsidR="00267D83" w:rsidRPr="008A7CBF" w:rsidRDefault="008A7CBF" w:rsidP="00701BAF">
      <w:pPr>
        <w:pStyle w:val="BodyText2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33.</w:t>
      </w:r>
    </w:p>
    <w:p w:rsidR="00267D83" w:rsidRPr="008A7CBF" w:rsidRDefault="008A7CBF" w:rsidP="00701BAF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obeležena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zapisniku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uviđaju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duplirani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obeležavanje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701BAF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vlasnicima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korisnicima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držaocima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obeleženi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usmenu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raspravu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priloženih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zadržava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skinuti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postavljenu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tablicu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701BAF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držalac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nalogu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skinuti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postavljenu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tablicu</w:t>
      </w:r>
      <w:r w:rsidR="00BA67C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BA67C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="00BA67C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brojem</w:t>
      </w:r>
      <w:r w:rsidR="00BA67C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A67C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BA67C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A67C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terenu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sačiniti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zapisnik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poslati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pokretanje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701BAF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obeleženi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701BAF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opštinskim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duplirani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numeracija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prenumeracija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naplate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>
      <w:pPr>
        <w:pStyle w:val="BodyText2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267D83">
      <w:pPr>
        <w:pStyle w:val="BodyText2"/>
        <w:keepNext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bCs/>
          <w:noProof/>
          <w:sz w:val="24"/>
          <w:szCs w:val="24"/>
          <w:lang w:val="sr-Latn-CS"/>
        </w:rPr>
        <w:lastRenderedPageBreak/>
        <w:t xml:space="preserve">  4. </w:t>
      </w:r>
      <w:r w:rsidR="008A7CBF">
        <w:rPr>
          <w:rFonts w:ascii="Times New Roman" w:hAnsi="Times New Roman"/>
          <w:bCs/>
          <w:noProof/>
          <w:sz w:val="24"/>
          <w:szCs w:val="24"/>
          <w:lang w:val="sr-Latn-CS"/>
        </w:rPr>
        <w:t>OZNAČAVANJE</w:t>
      </w:r>
      <w:r w:rsidRPr="008A7CB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bCs/>
          <w:noProof/>
          <w:sz w:val="24"/>
          <w:szCs w:val="24"/>
          <w:lang w:val="sr-Latn-CS"/>
        </w:rPr>
        <w:t>NAZIVA</w:t>
      </w:r>
      <w:r w:rsidRPr="008A7CB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bCs/>
          <w:noProof/>
          <w:sz w:val="24"/>
          <w:szCs w:val="24"/>
          <w:lang w:val="sr-Latn-CS"/>
        </w:rPr>
        <w:t>NASELJENIH</w:t>
      </w:r>
      <w:r w:rsidRPr="008A7CB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bCs/>
          <w:noProof/>
          <w:sz w:val="24"/>
          <w:szCs w:val="24"/>
          <w:lang w:val="sr-Latn-CS"/>
        </w:rPr>
        <w:t>MESTA</w:t>
      </w:r>
      <w:r w:rsidRPr="008A7CB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bCs/>
          <w:noProof/>
          <w:sz w:val="24"/>
          <w:szCs w:val="24"/>
          <w:lang w:val="sr-Latn-CS"/>
        </w:rPr>
        <w:t>ULICA</w:t>
      </w:r>
      <w:r w:rsidRPr="008A7CB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bCs/>
          <w:noProof/>
          <w:sz w:val="24"/>
          <w:szCs w:val="24"/>
          <w:lang w:val="sr-Latn-CS"/>
        </w:rPr>
        <w:t>TRGOVA</w:t>
      </w:r>
      <w:r w:rsidRPr="008A7CB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bCs/>
          <w:noProof/>
          <w:sz w:val="24"/>
          <w:szCs w:val="24"/>
          <w:lang w:val="sr-Latn-CS"/>
        </w:rPr>
        <w:t>OBELEŽAVANJE</w:t>
      </w:r>
      <w:r w:rsidRPr="008A7CB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bCs/>
          <w:noProof/>
          <w:sz w:val="24"/>
          <w:szCs w:val="24"/>
          <w:lang w:val="sr-Latn-CS"/>
        </w:rPr>
        <w:t>KUĆNIM</w:t>
      </w:r>
      <w:r w:rsidRPr="008A7CB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bCs/>
          <w:noProof/>
          <w:sz w:val="24"/>
          <w:szCs w:val="24"/>
          <w:lang w:val="sr-Latn-CS"/>
        </w:rPr>
        <w:t>BROJEVIMA</w:t>
      </w:r>
      <w:r w:rsidRPr="008A7CBF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</w:p>
    <w:p w:rsidR="00267D83" w:rsidRPr="008A7CBF" w:rsidRDefault="008A7CBF">
      <w:pPr>
        <w:pStyle w:val="CLANCharChar"/>
        <w:rPr>
          <w:noProof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 w:rsidR="00267D83" w:rsidRPr="008A7CBF">
        <w:rPr>
          <w:noProof/>
          <w:szCs w:val="24"/>
          <w:lang w:val="sr-Latn-CS"/>
        </w:rPr>
        <w:t>34.</w:t>
      </w:r>
    </w:p>
    <w:p w:rsidR="00267D83" w:rsidRPr="008A7CBF" w:rsidRDefault="008A7CBF" w:rsidP="00701BAF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Označavanje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signalizacija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701BAF">
      <w:pPr>
        <w:pStyle w:val="BodyText2"/>
        <w:keepNext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Nazivi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ispisuju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jezika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sloboda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jezika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701BAF">
      <w:pPr>
        <w:pStyle w:val="TEXTChar1CharChar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Označavanje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označavanje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E60416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označavanja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označavanje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E60416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označavanja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obeležavanje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zgrada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stambene</w:t>
      </w:r>
      <w:r w:rsidR="00BA67C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zajednice</w:t>
      </w:r>
      <w:r w:rsidR="00BA67C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vlasnika</w:t>
      </w:r>
      <w:r w:rsidR="00BA67C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A67C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BA67C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zgrade</w:t>
      </w:r>
      <w:r w:rsidR="00BA67C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BA67C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vlasnika</w:t>
      </w:r>
      <w:r w:rsidR="00BA67C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BA67C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A67C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zakupca</w:t>
      </w:r>
      <w:r w:rsidR="00BA67C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katastarske</w:t>
      </w:r>
      <w:r w:rsidR="00BA67C7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="00BA67C7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E60416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označavanja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obeležavanja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zgrada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numeracije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prenumeracije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izazvane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snosi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>
      <w:pPr>
        <w:pStyle w:val="CLANCharChar"/>
        <w:rPr>
          <w:noProof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 w:rsidR="00267D83" w:rsidRPr="008A7CBF">
        <w:rPr>
          <w:noProof/>
          <w:szCs w:val="24"/>
          <w:lang w:val="sr-Latn-CS"/>
        </w:rPr>
        <w:t>35.</w:t>
      </w:r>
    </w:p>
    <w:p w:rsidR="00267D83" w:rsidRPr="008A7CBF" w:rsidRDefault="008A7CBF" w:rsidP="00701BAF">
      <w:pPr>
        <w:pStyle w:val="TEXTChar1CharChar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označavanjem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701BAF">
      <w:pPr>
        <w:pStyle w:val="TEXTChar1CharChar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obeležavanjem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>
      <w:pPr>
        <w:pStyle w:val="CLANCharChar"/>
        <w:rPr>
          <w:noProof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 w:rsidR="00267D83" w:rsidRPr="008A7CBF">
        <w:rPr>
          <w:noProof/>
          <w:szCs w:val="24"/>
          <w:lang w:val="sr-Latn-CS"/>
        </w:rPr>
        <w:t>36.</w:t>
      </w:r>
    </w:p>
    <w:p w:rsidR="00267D83" w:rsidRPr="008A7CBF" w:rsidRDefault="008A7CBF" w:rsidP="00701BAF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Tabla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grb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701BAF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Označavanje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postavljanjem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zgradu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ispisanim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267D83" w:rsidRPr="008A7CBF" w:rsidRDefault="00267D83" w:rsidP="00701BAF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svakoj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ulici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početku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kraju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postave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table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67D83" w:rsidRPr="008A7CBF" w:rsidRDefault="00267D83" w:rsidP="00701BAF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svakoj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raskrsnici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table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postave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dijagonalno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67D83" w:rsidRPr="008A7CBF" w:rsidRDefault="00267D83" w:rsidP="00701BAF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svakom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trgu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mestu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spajanja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trgom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postave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table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701BAF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tabla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ispisanim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postaviti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tabla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stubu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2,5 m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ogradu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>
      <w:pPr>
        <w:tabs>
          <w:tab w:val="left" w:pos="72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Stambena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zajednica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vlasnik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zgrade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vlasnik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zakupac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katastarske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tabla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nazivom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trga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postavi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njegovom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objektu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katastarskoj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parceli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>
      <w:pPr>
        <w:tabs>
          <w:tab w:val="left" w:pos="72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Stambena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zajednica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vlasnik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zgrade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vlasnik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zakupac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katastarske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kućnom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obeleži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objekat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katastarsku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parcelu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tablicom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brojem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>
      <w:pPr>
        <w:pStyle w:val="CLANCharChar"/>
        <w:rPr>
          <w:noProof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 w:rsidR="00267D83" w:rsidRPr="008A7CBF">
        <w:rPr>
          <w:noProof/>
          <w:szCs w:val="24"/>
          <w:lang w:val="sr-Latn-CS"/>
        </w:rPr>
        <w:t>37.</w:t>
      </w:r>
    </w:p>
    <w:p w:rsidR="00267D83" w:rsidRPr="008A7CBF" w:rsidRDefault="00267D83">
      <w:pPr>
        <w:tabs>
          <w:tab w:val="left" w:pos="72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Table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nazivima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izrađuju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Knjigom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grafičkih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Zavoda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odlukom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teritoriju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>
      <w:pPr>
        <w:tabs>
          <w:tab w:val="left" w:pos="72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Tablice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brojem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izrađuju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Knjigom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grafičkih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Zavoda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izgledom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namenom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materijalom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zgrada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izgrađena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701BAF">
      <w:pPr>
        <w:pStyle w:val="CLANCharChar"/>
        <w:rPr>
          <w:noProof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lastRenderedPageBreak/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 w:rsidR="00267D83" w:rsidRPr="008A7CBF">
        <w:rPr>
          <w:noProof/>
          <w:szCs w:val="24"/>
          <w:lang w:val="sr-Latn-CS"/>
        </w:rPr>
        <w:t>38.</w:t>
      </w:r>
    </w:p>
    <w:p w:rsidR="00267D83" w:rsidRPr="008A7CBF" w:rsidRDefault="008A7CBF" w:rsidP="00701BAF">
      <w:pPr>
        <w:pStyle w:val="BodyText2"/>
        <w:keepNext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postavljaju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desne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iznad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vodeći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vidljivosti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701BAF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Obeležavanje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postavljanjem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stubu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2,5 m,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levom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glavne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ograđena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vodeći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vidljivosti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 w:rsidP="00E6041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 w:rsidP="00E60416">
      <w:pPr>
        <w:tabs>
          <w:tab w:val="left" w:pos="4320"/>
          <w:tab w:val="left" w:pos="4770"/>
          <w:tab w:val="left" w:pos="5760"/>
          <w:tab w:val="left" w:pos="6120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39.</w:t>
      </w:r>
    </w:p>
    <w:p w:rsidR="00267D83" w:rsidRPr="008A7CBF" w:rsidRDefault="008A7CBF" w:rsidP="00E60416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Zabranjeno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označavanje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skidanje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uništavanje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oštećivanje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narušavanje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izgleda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267D83" w:rsidP="00701BAF">
      <w:pPr>
        <w:pStyle w:val="BodyText2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5.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KAZNENE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ODREDBE</w:t>
      </w:r>
    </w:p>
    <w:p w:rsidR="00267D83" w:rsidRPr="008A7CBF" w:rsidRDefault="00267D83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8A7CBF" w:rsidP="00701BAF">
      <w:pPr>
        <w:pStyle w:val="BodyText2"/>
        <w:tabs>
          <w:tab w:val="left" w:pos="720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40.</w:t>
      </w:r>
    </w:p>
    <w:p w:rsidR="00267D83" w:rsidRPr="008A7CBF" w:rsidRDefault="008A7CBF" w:rsidP="00701BAF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885AB2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885AB2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85AB2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85AB2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50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vlasnik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zakupac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267D83" w:rsidRPr="008A7CBF" w:rsidRDefault="00267D83" w:rsidP="00701BAF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tabla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nazivom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trga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postavi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njegovom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objektu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katastarskoj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parceli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2287B" w:rsidRPr="008A7CBF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36.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92287B" w:rsidRPr="008A7CBF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67D83" w:rsidRPr="008A7CBF" w:rsidRDefault="00267D83" w:rsidP="00701BAF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obeleži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objekat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katastarsku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parcelu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tablicom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brojem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2287B" w:rsidRPr="008A7CBF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36.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92287B" w:rsidRPr="008A7CBF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67D83" w:rsidRPr="008A7CBF" w:rsidRDefault="009F2D92" w:rsidP="00701BAF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neovlašćeno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označi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skine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uništi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ošteti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naruši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izgled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table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nazivom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trga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tablice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brojem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2287B" w:rsidRPr="008A7CBF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39.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92287B" w:rsidRPr="008A7CBF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701BAF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701BAF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885AB2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885AB2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85AB2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85AB2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100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8A7CBF" w:rsidP="00701BAF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885AB2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885AB2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85AB2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85AB2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100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67D83" w:rsidRPr="008A7CBF" w:rsidRDefault="008A7CBF" w:rsidP="00701BAF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skine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uništi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ošteti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naruši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izgled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table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tablice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brojem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2D92" w:rsidRPr="008A7CBF">
        <w:rPr>
          <w:rFonts w:ascii="Times New Roman" w:hAnsi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39.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324CBC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9F2D92" w:rsidRPr="008A7CBF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>
      <w:pPr>
        <w:ind w:left="725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267D83">
      <w:pPr>
        <w:pStyle w:val="Heading4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6. 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PRELAZNE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ZAVRŠNE</w:t>
      </w: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7CBF">
        <w:rPr>
          <w:rFonts w:ascii="Times New Roman" w:hAnsi="Times New Roman"/>
          <w:noProof/>
          <w:sz w:val="24"/>
          <w:szCs w:val="24"/>
          <w:lang w:val="sr-Latn-CS"/>
        </w:rPr>
        <w:t>ODREDBE</w:t>
      </w:r>
    </w:p>
    <w:p w:rsidR="00267D83" w:rsidRPr="008A7CBF" w:rsidRDefault="008A7CBF">
      <w:pPr>
        <w:pStyle w:val="CLANCharChar"/>
        <w:rPr>
          <w:noProof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41</w:t>
      </w:r>
      <w:r w:rsidR="00267D83" w:rsidRPr="008A7CBF">
        <w:rPr>
          <w:noProof/>
          <w:szCs w:val="24"/>
          <w:lang w:val="sr-Latn-CS"/>
        </w:rPr>
        <w:t>.</w:t>
      </w:r>
    </w:p>
    <w:p w:rsidR="00267D83" w:rsidRPr="008A7CBF" w:rsidRDefault="008A7CBF" w:rsidP="00701BAF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geodetsko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Adresni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službenoj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preuzimaju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istovremeno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unose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67D83" w:rsidRPr="008A7CBF" w:rsidRDefault="008A7CBF">
      <w:pPr>
        <w:pStyle w:val="CLANCharChar"/>
        <w:rPr>
          <w:noProof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42</w:t>
      </w:r>
      <w:r w:rsidR="00267D83" w:rsidRPr="008A7CBF">
        <w:rPr>
          <w:noProof/>
          <w:szCs w:val="24"/>
          <w:lang w:val="sr-Latn-CS"/>
        </w:rPr>
        <w:t>.</w:t>
      </w:r>
    </w:p>
    <w:p w:rsidR="00267D83" w:rsidRPr="008A7CBF" w:rsidRDefault="008A7CBF" w:rsidP="00701BAF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Označavanje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ulica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označavanje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katastarskih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kućnim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brojevima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završeno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okončaće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67D83" w:rsidRPr="008A7CBF" w:rsidRDefault="00267D83" w:rsidP="00701BAF">
      <w:pPr>
        <w:pStyle w:val="NoSpacing"/>
        <w:jc w:val="center"/>
        <w:rPr>
          <w:rStyle w:val="StyleCLANTimesNewRoman1CharCharChar"/>
          <w:noProof/>
          <w:szCs w:val="24"/>
          <w:lang w:val="sr-Latn-CS"/>
        </w:rPr>
      </w:pPr>
    </w:p>
    <w:p w:rsidR="00267D83" w:rsidRPr="008A7CBF" w:rsidRDefault="008A7CBF" w:rsidP="00701BAF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43.</w:t>
      </w:r>
    </w:p>
    <w:p w:rsidR="00267D83" w:rsidRPr="008A7CBF" w:rsidRDefault="008A7CBF" w:rsidP="00701BAF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t>Danom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stupanja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na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snagu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ove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uredbe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prestaje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da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važi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Uredba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o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označavanju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naziva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naseljenih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mesta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, </w:t>
      </w:r>
      <w:r>
        <w:rPr>
          <w:rStyle w:val="StyleCLANTimesNewRoman1CharCharChar"/>
          <w:noProof/>
          <w:szCs w:val="24"/>
          <w:lang w:val="sr-Latn-CS"/>
        </w:rPr>
        <w:t>ulica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i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trgova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, </w:t>
      </w:r>
      <w:r>
        <w:rPr>
          <w:rStyle w:val="StyleCLANTimesNewRoman1CharCharChar"/>
          <w:noProof/>
          <w:szCs w:val="24"/>
          <w:lang w:val="sr-Latn-CS"/>
        </w:rPr>
        <w:t>označavanju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zgrada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kućnim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brojevima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i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vođenju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registra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kućnih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brojeva</w:t>
      </w:r>
      <w:r w:rsidR="00324CBC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i</w:t>
      </w:r>
      <w:r w:rsidR="00324CBC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trgova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(„</w:t>
      </w:r>
      <w:r>
        <w:rPr>
          <w:rStyle w:val="StyleCLANTimesNewRoman1CharCharChar"/>
          <w:noProof/>
          <w:szCs w:val="24"/>
          <w:lang w:val="sr-Latn-CS"/>
        </w:rPr>
        <w:t>Službeni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glasnik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</w:t>
      </w:r>
      <w:r>
        <w:rPr>
          <w:rStyle w:val="StyleCLANTimesNewRoman1CharCharChar"/>
          <w:noProof/>
          <w:szCs w:val="24"/>
          <w:lang w:val="sr-Latn-CS"/>
        </w:rPr>
        <w:t>RS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”, </w:t>
      </w:r>
      <w:r>
        <w:rPr>
          <w:rStyle w:val="StyleCLANTimesNewRoman1CharCharChar"/>
          <w:noProof/>
          <w:szCs w:val="24"/>
          <w:lang w:val="sr-Latn-CS"/>
        </w:rPr>
        <w:t>broj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16/12).</w:t>
      </w:r>
    </w:p>
    <w:p w:rsidR="00267D83" w:rsidRPr="008A7CBF" w:rsidRDefault="008A7CBF" w:rsidP="00701BAF">
      <w:pPr>
        <w:pStyle w:val="CLANCharChar"/>
        <w:rPr>
          <w:noProof/>
          <w:szCs w:val="24"/>
          <w:lang w:val="sr-Latn-CS"/>
        </w:rPr>
      </w:pPr>
      <w:r>
        <w:rPr>
          <w:rStyle w:val="StyleCLANTimesNewRoman1CharCharChar"/>
          <w:noProof/>
          <w:szCs w:val="24"/>
          <w:lang w:val="sr-Latn-CS"/>
        </w:rPr>
        <w:lastRenderedPageBreak/>
        <w:t>Član</w:t>
      </w:r>
      <w:r w:rsidR="00267D83" w:rsidRPr="008A7CBF">
        <w:rPr>
          <w:rStyle w:val="StyleCLANTimesNewRoman1CharCharChar"/>
          <w:noProof/>
          <w:szCs w:val="24"/>
          <w:lang w:val="sr-Latn-CS"/>
        </w:rPr>
        <w:t xml:space="preserve"> 44.</w:t>
      </w:r>
    </w:p>
    <w:p w:rsidR="00267D83" w:rsidRPr="008A7CBF" w:rsidRDefault="008A7CBF" w:rsidP="00701BAF">
      <w:pPr>
        <w:pStyle w:val="BodyText2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267D83" w:rsidRPr="008A7CBF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267D83" w:rsidRPr="008A7CBF" w:rsidRDefault="00267D83">
      <w:pPr>
        <w:pStyle w:val="BodyText2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67D83" w:rsidRPr="008A7CBF" w:rsidRDefault="00267D83">
      <w:pPr>
        <w:pStyle w:val="Default"/>
        <w:rPr>
          <w:noProof/>
          <w:color w:val="00000A"/>
        </w:rPr>
      </w:pPr>
    </w:p>
    <w:p w:rsidR="00324CBC" w:rsidRPr="008A7CBF" w:rsidRDefault="00324CBC">
      <w:pPr>
        <w:pStyle w:val="Default"/>
        <w:rPr>
          <w:noProof/>
          <w:color w:val="00000A"/>
        </w:rPr>
      </w:pPr>
    </w:p>
    <w:p w:rsidR="00324CBC" w:rsidRPr="008A7CBF" w:rsidRDefault="00324CBC">
      <w:pPr>
        <w:pStyle w:val="Default"/>
        <w:rPr>
          <w:noProof/>
          <w:color w:val="00000A"/>
        </w:rPr>
      </w:pPr>
    </w:p>
    <w:p w:rsidR="00324CBC" w:rsidRPr="008A7CBF" w:rsidRDefault="00324CBC" w:rsidP="00324CBC">
      <w:pPr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05 </w:t>
      </w:r>
      <w:r w:rsidR="008A7CBF"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Pr="008A7CBF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: </w:t>
      </w:r>
    </w:p>
    <w:p w:rsidR="00324CBC" w:rsidRPr="008A7CBF" w:rsidRDefault="008A7CBF" w:rsidP="00324CBC">
      <w:pPr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24CBC" w:rsidRPr="008A7CBF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Beogradu</w:t>
      </w:r>
      <w:r w:rsidR="00324CBC" w:rsidRPr="008A7CBF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___.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juna</w:t>
      </w:r>
      <w:r w:rsidR="00324CBC" w:rsidRPr="008A7CBF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</w:p>
    <w:p w:rsidR="00324CBC" w:rsidRPr="008A7CBF" w:rsidRDefault="00324CBC" w:rsidP="00324CBC">
      <w:pPr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324CBC" w:rsidRPr="008A7CBF" w:rsidRDefault="008A7CBF" w:rsidP="00324CBC">
      <w:pPr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24CBC" w:rsidRPr="008A7CBF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="00324CBC" w:rsidRPr="008A7CBF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24CBC" w:rsidRPr="008A7CBF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24CBC" w:rsidRPr="008A7CBF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24CBC" w:rsidRPr="008A7CBF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                                                                             </w:t>
      </w:r>
    </w:p>
    <w:tbl>
      <w:tblPr>
        <w:tblpPr w:leftFromText="180" w:rightFromText="180" w:vertAnchor="text" w:horzAnchor="margin" w:tblpXSpec="right" w:tblpY="173"/>
        <w:tblW w:w="3936" w:type="dxa"/>
        <w:tblLook w:val="04A0" w:firstRow="1" w:lastRow="0" w:firstColumn="1" w:lastColumn="0" w:noHBand="0" w:noVBand="1"/>
      </w:tblPr>
      <w:tblGrid>
        <w:gridCol w:w="3936"/>
      </w:tblGrid>
      <w:tr w:rsidR="00324CBC" w:rsidRPr="008A7CBF" w:rsidTr="0048582B">
        <w:trPr>
          <w:trHeight w:val="571"/>
        </w:trPr>
        <w:tc>
          <w:tcPr>
            <w:tcW w:w="3936" w:type="dxa"/>
            <w:shd w:val="clear" w:color="auto" w:fill="auto"/>
          </w:tcPr>
          <w:p w:rsidR="00324CBC" w:rsidRPr="008A7CBF" w:rsidRDefault="008A7CBF" w:rsidP="00324CBC">
            <w:pPr>
              <w:jc w:val="center"/>
              <w:rPr>
                <w:rFonts w:ascii="Times New Roman" w:eastAsia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val="sr-Latn-CS"/>
              </w:rPr>
              <w:t>PRVI</w:t>
            </w:r>
            <w:r w:rsidR="00324CBC" w:rsidRPr="008A7CBF">
              <w:rPr>
                <w:rFonts w:ascii="Times New Roman" w:eastAsia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lang w:val="sr-Latn-CS"/>
              </w:rPr>
              <w:t>POTPREDSEDNIK</w:t>
            </w:r>
            <w:r w:rsidR="00324CBC" w:rsidRPr="008A7CBF">
              <w:rPr>
                <w:rFonts w:ascii="Times New Roman" w:eastAsia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lang w:val="sr-Latn-CS"/>
              </w:rPr>
              <w:t>VLADE</w:t>
            </w:r>
          </w:p>
          <w:p w:rsidR="00324CBC" w:rsidRPr="008A7CBF" w:rsidRDefault="00324CBC" w:rsidP="00324CBC">
            <w:pPr>
              <w:rPr>
                <w:rFonts w:ascii="Times New Roman" w:eastAsia="Times New Roman" w:hAnsi="Times New Roman"/>
                <w:noProof/>
                <w:sz w:val="24"/>
                <w:lang w:val="sr-Latn-CS"/>
              </w:rPr>
            </w:pPr>
          </w:p>
        </w:tc>
      </w:tr>
      <w:tr w:rsidR="00324CBC" w:rsidRPr="008A7CBF" w:rsidTr="0048582B">
        <w:trPr>
          <w:trHeight w:val="312"/>
        </w:trPr>
        <w:tc>
          <w:tcPr>
            <w:tcW w:w="3936" w:type="dxa"/>
            <w:shd w:val="clear" w:color="auto" w:fill="auto"/>
          </w:tcPr>
          <w:p w:rsidR="00324CBC" w:rsidRPr="008A7CBF" w:rsidRDefault="008A7CBF" w:rsidP="00324CBC">
            <w:pPr>
              <w:jc w:val="center"/>
              <w:rPr>
                <w:rFonts w:ascii="Times New Roman" w:eastAsia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val="sr-Latn-CS"/>
              </w:rPr>
              <w:t>Ivica</w:t>
            </w:r>
            <w:r w:rsidR="00324CBC" w:rsidRPr="008A7CBF">
              <w:rPr>
                <w:rFonts w:ascii="Times New Roman" w:eastAsia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lang w:val="sr-Latn-CS"/>
              </w:rPr>
              <w:t>Dačić</w:t>
            </w:r>
          </w:p>
        </w:tc>
      </w:tr>
    </w:tbl>
    <w:p w:rsidR="00324CBC" w:rsidRPr="008A7CBF" w:rsidRDefault="00324CBC" w:rsidP="00324CBC">
      <w:pPr>
        <w:tabs>
          <w:tab w:val="left" w:pos="1440"/>
          <w:tab w:val="left" w:pos="1800"/>
        </w:tabs>
        <w:spacing w:line="276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8A7CBF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</w:t>
      </w:r>
      <w:r w:rsidRPr="008A7CBF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Pr="008A7CBF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</w:p>
    <w:p w:rsidR="00324CBC" w:rsidRPr="008A7CBF" w:rsidRDefault="00324CBC" w:rsidP="00324CBC">
      <w:pPr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324CBC" w:rsidRPr="008A7CBF" w:rsidRDefault="00324CBC" w:rsidP="00324CBC">
      <w:pPr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267D83" w:rsidRPr="008A7CBF" w:rsidRDefault="00267D83" w:rsidP="0044617B">
      <w:pPr>
        <w:pStyle w:val="BodyText2"/>
        <w:rPr>
          <w:caps/>
          <w:noProof/>
          <w:color w:val="00000A"/>
          <w:sz w:val="24"/>
          <w:szCs w:val="24"/>
          <w:lang w:val="sr-Latn-CS"/>
        </w:rPr>
      </w:pPr>
      <w:r w:rsidRPr="008A7CBF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                                </w:t>
      </w:r>
    </w:p>
    <w:p w:rsidR="00267D83" w:rsidRPr="008A7CBF" w:rsidRDefault="00267D83">
      <w:pPr>
        <w:pStyle w:val="Default"/>
        <w:jc w:val="right"/>
        <w:rPr>
          <w:noProof/>
        </w:rPr>
      </w:pPr>
    </w:p>
    <w:sectPr w:rsidR="00267D83" w:rsidRPr="008A7CBF" w:rsidSect="00657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0" w:footer="567" w:gutter="0"/>
      <w:pgNumType w:start="1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86D" w:rsidRDefault="00C4586D">
      <w:r>
        <w:separator/>
      </w:r>
    </w:p>
  </w:endnote>
  <w:endnote w:type="continuationSeparator" w:id="0">
    <w:p w:rsidR="00C4586D" w:rsidRDefault="00C4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Ciril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Ciril.Bold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CBF" w:rsidRDefault="008A7C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2068913615"/>
      <w:docPartObj>
        <w:docPartGallery w:val="Page Numbers (Bottom of Page)"/>
        <w:docPartUnique/>
      </w:docPartObj>
    </w:sdtPr>
    <w:sdtEndPr/>
    <w:sdtContent>
      <w:p w:rsidR="00657C96" w:rsidRPr="008A7CBF" w:rsidRDefault="00657C96">
        <w:pPr>
          <w:pStyle w:val="Footer"/>
          <w:jc w:val="center"/>
          <w:rPr>
            <w:noProof/>
            <w:lang w:val="sr-Latn-CS"/>
          </w:rPr>
        </w:pPr>
        <w:r w:rsidRPr="008A7CBF">
          <w:rPr>
            <w:noProof/>
            <w:lang w:val="sr-Latn-CS"/>
          </w:rPr>
          <w:fldChar w:fldCharType="begin"/>
        </w:r>
        <w:r w:rsidRPr="008A7CBF">
          <w:rPr>
            <w:noProof/>
            <w:lang w:val="sr-Latn-CS"/>
          </w:rPr>
          <w:instrText xml:space="preserve"> PAGE   \* MERGEFORMAT </w:instrText>
        </w:r>
        <w:r w:rsidRPr="008A7CBF">
          <w:rPr>
            <w:noProof/>
            <w:lang w:val="sr-Latn-CS"/>
          </w:rPr>
          <w:fldChar w:fldCharType="separate"/>
        </w:r>
        <w:r w:rsidR="008A7CBF">
          <w:rPr>
            <w:noProof/>
            <w:lang w:val="sr-Latn-CS"/>
          </w:rPr>
          <w:t>2</w:t>
        </w:r>
        <w:r w:rsidRPr="008A7CBF">
          <w:rPr>
            <w:noProof/>
            <w:lang w:val="sr-Latn-CS"/>
          </w:rPr>
          <w:fldChar w:fldCharType="end"/>
        </w:r>
      </w:p>
    </w:sdtContent>
  </w:sdt>
  <w:p w:rsidR="00267D83" w:rsidRPr="008A7CBF" w:rsidRDefault="00267D83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CBF" w:rsidRDefault="008A7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86D" w:rsidRDefault="00C4586D">
      <w:r>
        <w:separator/>
      </w:r>
    </w:p>
  </w:footnote>
  <w:footnote w:type="continuationSeparator" w:id="0">
    <w:p w:rsidR="00C4586D" w:rsidRDefault="00C4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CBF" w:rsidRDefault="008A7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96" w:rsidRDefault="00657C96">
    <w:pPr>
      <w:pStyle w:val="Header"/>
      <w:jc w:val="center"/>
    </w:pPr>
  </w:p>
  <w:p w:rsidR="00657C96" w:rsidRDefault="00657C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96" w:rsidRDefault="00657C96">
    <w:pPr>
      <w:pStyle w:val="Header"/>
      <w:jc w:val="center"/>
    </w:pPr>
  </w:p>
  <w:p w:rsidR="00657C96" w:rsidRDefault="00657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2A26"/>
    <w:multiLevelType w:val="multilevel"/>
    <w:tmpl w:val="3972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Ciril" w:hAnsi="HelvCiril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C45DC9"/>
    <w:multiLevelType w:val="multilevel"/>
    <w:tmpl w:val="4658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Ciril" w:hAnsi="HelvCiril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7A640D"/>
    <w:multiLevelType w:val="multilevel"/>
    <w:tmpl w:val="14541EA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4D916D31"/>
    <w:multiLevelType w:val="multilevel"/>
    <w:tmpl w:val="8F16DFB4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F2A4971"/>
    <w:multiLevelType w:val="multilevel"/>
    <w:tmpl w:val="77268E2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BF"/>
    <w:rsid w:val="000042A8"/>
    <w:rsid w:val="00034A9C"/>
    <w:rsid w:val="00052CA7"/>
    <w:rsid w:val="000876D4"/>
    <w:rsid w:val="000A450B"/>
    <w:rsid w:val="000C5609"/>
    <w:rsid w:val="00123256"/>
    <w:rsid w:val="00165328"/>
    <w:rsid w:val="00181B17"/>
    <w:rsid w:val="001B30E4"/>
    <w:rsid w:val="001D1933"/>
    <w:rsid w:val="00262DB9"/>
    <w:rsid w:val="00267D83"/>
    <w:rsid w:val="002E400E"/>
    <w:rsid w:val="00304856"/>
    <w:rsid w:val="00323AA6"/>
    <w:rsid w:val="00324CBC"/>
    <w:rsid w:val="00331DBF"/>
    <w:rsid w:val="00347D03"/>
    <w:rsid w:val="0038698E"/>
    <w:rsid w:val="003A5FB8"/>
    <w:rsid w:val="003C30D2"/>
    <w:rsid w:val="003F387D"/>
    <w:rsid w:val="0044617B"/>
    <w:rsid w:val="00451077"/>
    <w:rsid w:val="00494CF0"/>
    <w:rsid w:val="004E71C4"/>
    <w:rsid w:val="00504B6D"/>
    <w:rsid w:val="00553B2A"/>
    <w:rsid w:val="00577B79"/>
    <w:rsid w:val="00586B1A"/>
    <w:rsid w:val="00597067"/>
    <w:rsid w:val="005A7899"/>
    <w:rsid w:val="005B5E8E"/>
    <w:rsid w:val="005B7E28"/>
    <w:rsid w:val="005C69E8"/>
    <w:rsid w:val="00616BF9"/>
    <w:rsid w:val="006327BC"/>
    <w:rsid w:val="00657C96"/>
    <w:rsid w:val="00661935"/>
    <w:rsid w:val="006931FA"/>
    <w:rsid w:val="006D0F2F"/>
    <w:rsid w:val="006D54A4"/>
    <w:rsid w:val="006D6ADE"/>
    <w:rsid w:val="006E60FB"/>
    <w:rsid w:val="006F6572"/>
    <w:rsid w:val="00701BAF"/>
    <w:rsid w:val="007175E5"/>
    <w:rsid w:val="007261EA"/>
    <w:rsid w:val="007265E2"/>
    <w:rsid w:val="0074413F"/>
    <w:rsid w:val="00757BAF"/>
    <w:rsid w:val="00770DB3"/>
    <w:rsid w:val="007727B4"/>
    <w:rsid w:val="00793955"/>
    <w:rsid w:val="00797AE4"/>
    <w:rsid w:val="007E6478"/>
    <w:rsid w:val="00840B6A"/>
    <w:rsid w:val="00862E90"/>
    <w:rsid w:val="0086780F"/>
    <w:rsid w:val="00867F12"/>
    <w:rsid w:val="00885AB2"/>
    <w:rsid w:val="008A7CBF"/>
    <w:rsid w:val="009033F9"/>
    <w:rsid w:val="0092287B"/>
    <w:rsid w:val="00973693"/>
    <w:rsid w:val="00981867"/>
    <w:rsid w:val="009F2D92"/>
    <w:rsid w:val="00A14BA8"/>
    <w:rsid w:val="00A1793F"/>
    <w:rsid w:val="00A24BE6"/>
    <w:rsid w:val="00A61577"/>
    <w:rsid w:val="00AC72D7"/>
    <w:rsid w:val="00B32CAE"/>
    <w:rsid w:val="00B95CDC"/>
    <w:rsid w:val="00BA67C7"/>
    <w:rsid w:val="00BC474E"/>
    <w:rsid w:val="00C121B4"/>
    <w:rsid w:val="00C2053B"/>
    <w:rsid w:val="00C422C3"/>
    <w:rsid w:val="00C4586D"/>
    <w:rsid w:val="00C5459B"/>
    <w:rsid w:val="00C95BE5"/>
    <w:rsid w:val="00CA7C81"/>
    <w:rsid w:val="00CB6B86"/>
    <w:rsid w:val="00CD7B5D"/>
    <w:rsid w:val="00D02C11"/>
    <w:rsid w:val="00D1598B"/>
    <w:rsid w:val="00D9063D"/>
    <w:rsid w:val="00DE1B3E"/>
    <w:rsid w:val="00E32BE0"/>
    <w:rsid w:val="00E34A70"/>
    <w:rsid w:val="00E4341A"/>
    <w:rsid w:val="00E60416"/>
    <w:rsid w:val="00E70E7C"/>
    <w:rsid w:val="00EB1A6F"/>
    <w:rsid w:val="00EC1ECB"/>
    <w:rsid w:val="00F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EB8EF4-12A6-4978-87FF-F6CB942E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4A4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54A4"/>
    <w:pPr>
      <w:keepNext/>
      <w:jc w:val="center"/>
      <w:outlineLvl w:val="0"/>
    </w:pPr>
    <w:rPr>
      <w:rFonts w:ascii="HelvCiril.Bold" w:hAnsi="HelvCiril.Bol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54A4"/>
    <w:pPr>
      <w:keepNext/>
      <w:outlineLvl w:val="3"/>
    </w:pPr>
    <w:rPr>
      <w:rFonts w:ascii="HelvCiril" w:hAnsi="HelvCir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4A4"/>
    <w:rPr>
      <w:rFonts w:ascii="HelvCiril.Bold" w:hAnsi="HelvCiril.Bold" w:cs="Times New Roman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D54A4"/>
    <w:rPr>
      <w:rFonts w:ascii="HelvCiril" w:hAnsi="HelvCiril" w:cs="Times New Roman"/>
      <w:sz w:val="20"/>
    </w:rPr>
  </w:style>
  <w:style w:type="character" w:customStyle="1" w:styleId="BodyText2Char">
    <w:name w:val="Body Text 2 Char"/>
    <w:uiPriority w:val="99"/>
    <w:locked/>
    <w:rsid w:val="006D54A4"/>
    <w:rPr>
      <w:rFonts w:ascii="HelvCiril" w:hAnsi="HelvCiril" w:cs="Times New Roman"/>
      <w:sz w:val="20"/>
    </w:rPr>
  </w:style>
  <w:style w:type="character" w:customStyle="1" w:styleId="FooterChar">
    <w:name w:val="Footer Char"/>
    <w:uiPriority w:val="99"/>
    <w:locked/>
    <w:rsid w:val="006D54A4"/>
    <w:rPr>
      <w:rFonts w:ascii="Arial" w:hAnsi="Arial" w:cs="Times New Roman"/>
      <w:sz w:val="20"/>
    </w:rPr>
  </w:style>
  <w:style w:type="character" w:styleId="PageNumber">
    <w:name w:val="page number"/>
    <w:basedOn w:val="DefaultParagraphFont"/>
    <w:uiPriority w:val="99"/>
    <w:rsid w:val="006D54A4"/>
    <w:rPr>
      <w:rFonts w:cs="Times New Roman"/>
    </w:rPr>
  </w:style>
  <w:style w:type="character" w:customStyle="1" w:styleId="HeaderChar">
    <w:name w:val="Header Char"/>
    <w:uiPriority w:val="99"/>
    <w:locked/>
    <w:rsid w:val="006D54A4"/>
    <w:rPr>
      <w:rFonts w:ascii="Arial" w:hAnsi="Arial" w:cs="Times New Roman"/>
      <w:sz w:val="20"/>
    </w:rPr>
  </w:style>
  <w:style w:type="character" w:customStyle="1" w:styleId="TEXTChar1CharCharChar">
    <w:name w:val="TEXT Char1 Char Char Char"/>
    <w:link w:val="TEXTChar1CharChar"/>
    <w:uiPriority w:val="99"/>
    <w:locked/>
    <w:rsid w:val="006D54A4"/>
    <w:rPr>
      <w:rFonts w:ascii="Arial" w:hAnsi="Arial"/>
      <w:sz w:val="20"/>
    </w:rPr>
  </w:style>
  <w:style w:type="character" w:customStyle="1" w:styleId="CLANCharCharChar">
    <w:name w:val="CLAN Char Char Char"/>
    <w:link w:val="CLANCharChar"/>
    <w:uiPriority w:val="99"/>
    <w:locked/>
    <w:rsid w:val="006D54A4"/>
    <w:rPr>
      <w:rFonts w:ascii="Times New Roman" w:hAnsi="Times New Roman"/>
      <w:sz w:val="24"/>
    </w:rPr>
  </w:style>
  <w:style w:type="character" w:customStyle="1" w:styleId="StyleCLANTimesNewRoman1CharCharChar">
    <w:name w:val="Style CLAN + Times New Roman1 Char Char Char"/>
    <w:link w:val="StyleCLANTimesNewRoman1CharChar"/>
    <w:uiPriority w:val="99"/>
    <w:locked/>
    <w:rsid w:val="006D54A4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6D54A4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6D54A4"/>
    <w:rPr>
      <w:rFonts w:ascii="Arial" w:hAnsi="Arial" w:cs="Times New Roman"/>
      <w:sz w:val="20"/>
    </w:rPr>
  </w:style>
  <w:style w:type="character" w:customStyle="1" w:styleId="CommentSubjectChar">
    <w:name w:val="Comment Subject Char"/>
    <w:uiPriority w:val="99"/>
    <w:semiHidden/>
    <w:locked/>
    <w:rsid w:val="006D54A4"/>
    <w:rPr>
      <w:rFonts w:ascii="Arial" w:hAnsi="Arial" w:cs="Times New Roman"/>
      <w:b/>
      <w:sz w:val="20"/>
    </w:rPr>
  </w:style>
  <w:style w:type="character" w:customStyle="1" w:styleId="BalloonTextChar">
    <w:name w:val="Balloon Text Char"/>
    <w:uiPriority w:val="99"/>
    <w:semiHidden/>
    <w:locked/>
    <w:rsid w:val="006D54A4"/>
    <w:rPr>
      <w:rFonts w:ascii="Segoe UI" w:hAnsi="Segoe UI" w:cs="Times New Roman"/>
      <w:sz w:val="18"/>
    </w:rPr>
  </w:style>
  <w:style w:type="character" w:customStyle="1" w:styleId="DocumentMapChar">
    <w:name w:val="Document Map Char"/>
    <w:uiPriority w:val="99"/>
    <w:semiHidden/>
    <w:locked/>
    <w:rsid w:val="006D54A4"/>
    <w:rPr>
      <w:rFonts w:ascii="Times New Roman" w:hAnsi="Times New Roman" w:cs="Times New Roman"/>
      <w:sz w:val="2"/>
    </w:rPr>
  </w:style>
  <w:style w:type="character" w:customStyle="1" w:styleId="ListLabel1">
    <w:name w:val="ListLabel 1"/>
    <w:uiPriority w:val="99"/>
    <w:rsid w:val="00840B6A"/>
    <w:rPr>
      <w:sz w:val="24"/>
    </w:rPr>
  </w:style>
  <w:style w:type="character" w:customStyle="1" w:styleId="ListLabel2">
    <w:name w:val="ListLabel 2"/>
    <w:uiPriority w:val="99"/>
    <w:rsid w:val="00840B6A"/>
  </w:style>
  <w:style w:type="character" w:customStyle="1" w:styleId="ListLabel3">
    <w:name w:val="ListLabel 3"/>
    <w:uiPriority w:val="99"/>
    <w:rsid w:val="00840B6A"/>
  </w:style>
  <w:style w:type="character" w:customStyle="1" w:styleId="ListLabel4">
    <w:name w:val="ListLabel 4"/>
    <w:uiPriority w:val="99"/>
    <w:rsid w:val="00840B6A"/>
  </w:style>
  <w:style w:type="character" w:customStyle="1" w:styleId="ListLabel5">
    <w:name w:val="ListLabel 5"/>
    <w:uiPriority w:val="99"/>
    <w:rsid w:val="00840B6A"/>
  </w:style>
  <w:style w:type="character" w:customStyle="1" w:styleId="ListLabel6">
    <w:name w:val="ListLabel 6"/>
    <w:uiPriority w:val="99"/>
    <w:rsid w:val="00840B6A"/>
  </w:style>
  <w:style w:type="character" w:customStyle="1" w:styleId="ListLabel7">
    <w:name w:val="ListLabel 7"/>
    <w:uiPriority w:val="99"/>
    <w:rsid w:val="00840B6A"/>
  </w:style>
  <w:style w:type="character" w:customStyle="1" w:styleId="ListLabel8">
    <w:name w:val="ListLabel 8"/>
    <w:uiPriority w:val="99"/>
    <w:rsid w:val="00840B6A"/>
  </w:style>
  <w:style w:type="character" w:customStyle="1" w:styleId="ListLabel9">
    <w:name w:val="ListLabel 9"/>
    <w:uiPriority w:val="99"/>
    <w:rsid w:val="00840B6A"/>
  </w:style>
  <w:style w:type="character" w:customStyle="1" w:styleId="ListLabel10">
    <w:name w:val="ListLabel 10"/>
    <w:uiPriority w:val="99"/>
    <w:rsid w:val="00840B6A"/>
    <w:rPr>
      <w:rFonts w:ascii="HelvCiril" w:hAnsi="HelvCiril"/>
      <w:b/>
      <w:sz w:val="24"/>
    </w:rPr>
  </w:style>
  <w:style w:type="character" w:customStyle="1" w:styleId="ListLabel11">
    <w:name w:val="ListLabel 11"/>
    <w:uiPriority w:val="99"/>
    <w:rsid w:val="00840B6A"/>
  </w:style>
  <w:style w:type="character" w:customStyle="1" w:styleId="ListLabel12">
    <w:name w:val="ListLabel 12"/>
    <w:uiPriority w:val="99"/>
    <w:rsid w:val="00840B6A"/>
  </w:style>
  <w:style w:type="character" w:customStyle="1" w:styleId="ListLabel13">
    <w:name w:val="ListLabel 13"/>
    <w:uiPriority w:val="99"/>
    <w:rsid w:val="00840B6A"/>
  </w:style>
  <w:style w:type="character" w:customStyle="1" w:styleId="ListLabel14">
    <w:name w:val="ListLabel 14"/>
    <w:uiPriority w:val="99"/>
    <w:rsid w:val="00840B6A"/>
  </w:style>
  <w:style w:type="character" w:customStyle="1" w:styleId="ListLabel15">
    <w:name w:val="ListLabel 15"/>
    <w:uiPriority w:val="99"/>
    <w:rsid w:val="00840B6A"/>
  </w:style>
  <w:style w:type="character" w:customStyle="1" w:styleId="ListLabel16">
    <w:name w:val="ListLabel 16"/>
    <w:uiPriority w:val="99"/>
    <w:rsid w:val="00840B6A"/>
  </w:style>
  <w:style w:type="character" w:customStyle="1" w:styleId="ListLabel17">
    <w:name w:val="ListLabel 17"/>
    <w:uiPriority w:val="99"/>
    <w:rsid w:val="00840B6A"/>
  </w:style>
  <w:style w:type="character" w:customStyle="1" w:styleId="ListLabel18">
    <w:name w:val="ListLabel 18"/>
    <w:uiPriority w:val="99"/>
    <w:rsid w:val="00840B6A"/>
  </w:style>
  <w:style w:type="character" w:customStyle="1" w:styleId="ListLabel19">
    <w:name w:val="ListLabel 19"/>
    <w:uiPriority w:val="99"/>
    <w:rsid w:val="00840B6A"/>
  </w:style>
  <w:style w:type="character" w:customStyle="1" w:styleId="ListLabel20">
    <w:name w:val="ListLabel 20"/>
    <w:uiPriority w:val="99"/>
    <w:rsid w:val="00840B6A"/>
  </w:style>
  <w:style w:type="character" w:customStyle="1" w:styleId="ListLabel21">
    <w:name w:val="ListLabel 21"/>
    <w:uiPriority w:val="99"/>
    <w:rsid w:val="00840B6A"/>
  </w:style>
  <w:style w:type="character" w:customStyle="1" w:styleId="ListLabel22">
    <w:name w:val="ListLabel 22"/>
    <w:uiPriority w:val="99"/>
    <w:rsid w:val="00840B6A"/>
  </w:style>
  <w:style w:type="character" w:customStyle="1" w:styleId="ListLabel23">
    <w:name w:val="ListLabel 23"/>
    <w:uiPriority w:val="99"/>
    <w:rsid w:val="00840B6A"/>
  </w:style>
  <w:style w:type="character" w:customStyle="1" w:styleId="ListLabel24">
    <w:name w:val="ListLabel 24"/>
    <w:uiPriority w:val="99"/>
    <w:rsid w:val="00840B6A"/>
  </w:style>
  <w:style w:type="character" w:customStyle="1" w:styleId="ListLabel25">
    <w:name w:val="ListLabel 25"/>
    <w:uiPriority w:val="99"/>
    <w:rsid w:val="00840B6A"/>
  </w:style>
  <w:style w:type="character" w:customStyle="1" w:styleId="ListLabel26">
    <w:name w:val="ListLabel 26"/>
    <w:uiPriority w:val="99"/>
    <w:rsid w:val="00840B6A"/>
  </w:style>
  <w:style w:type="character" w:customStyle="1" w:styleId="ListLabel27">
    <w:name w:val="ListLabel 27"/>
    <w:uiPriority w:val="99"/>
    <w:rsid w:val="00840B6A"/>
  </w:style>
  <w:style w:type="character" w:customStyle="1" w:styleId="ListLabel28">
    <w:name w:val="ListLabel 28"/>
    <w:uiPriority w:val="99"/>
    <w:rsid w:val="00840B6A"/>
  </w:style>
  <w:style w:type="character" w:customStyle="1" w:styleId="ListLabel29">
    <w:name w:val="ListLabel 29"/>
    <w:uiPriority w:val="99"/>
    <w:rsid w:val="00840B6A"/>
  </w:style>
  <w:style w:type="character" w:customStyle="1" w:styleId="ListLabel30">
    <w:name w:val="ListLabel 30"/>
    <w:uiPriority w:val="99"/>
    <w:rsid w:val="00840B6A"/>
  </w:style>
  <w:style w:type="character" w:customStyle="1" w:styleId="ListLabel31">
    <w:name w:val="ListLabel 31"/>
    <w:uiPriority w:val="99"/>
    <w:rsid w:val="00840B6A"/>
  </w:style>
  <w:style w:type="character" w:customStyle="1" w:styleId="ListLabel32">
    <w:name w:val="ListLabel 32"/>
    <w:uiPriority w:val="99"/>
    <w:rsid w:val="00840B6A"/>
  </w:style>
  <w:style w:type="character" w:customStyle="1" w:styleId="ListLabel33">
    <w:name w:val="ListLabel 33"/>
    <w:uiPriority w:val="99"/>
    <w:rsid w:val="00840B6A"/>
  </w:style>
  <w:style w:type="character" w:customStyle="1" w:styleId="ListLabel34">
    <w:name w:val="ListLabel 34"/>
    <w:uiPriority w:val="99"/>
    <w:rsid w:val="00840B6A"/>
  </w:style>
  <w:style w:type="character" w:customStyle="1" w:styleId="ListLabel35">
    <w:name w:val="ListLabel 35"/>
    <w:uiPriority w:val="99"/>
    <w:rsid w:val="00840B6A"/>
  </w:style>
  <w:style w:type="character" w:customStyle="1" w:styleId="ListLabel36">
    <w:name w:val="ListLabel 36"/>
    <w:uiPriority w:val="99"/>
    <w:rsid w:val="00840B6A"/>
  </w:style>
  <w:style w:type="character" w:customStyle="1" w:styleId="ListLabel37">
    <w:name w:val="ListLabel 37"/>
    <w:uiPriority w:val="99"/>
    <w:rsid w:val="00840B6A"/>
  </w:style>
  <w:style w:type="character" w:customStyle="1" w:styleId="ListLabel38">
    <w:name w:val="ListLabel 38"/>
    <w:uiPriority w:val="99"/>
    <w:rsid w:val="00840B6A"/>
  </w:style>
  <w:style w:type="character" w:customStyle="1" w:styleId="ListLabel39">
    <w:name w:val="ListLabel 39"/>
    <w:uiPriority w:val="99"/>
    <w:rsid w:val="00840B6A"/>
  </w:style>
  <w:style w:type="character" w:customStyle="1" w:styleId="ListLabel40">
    <w:name w:val="ListLabel 40"/>
    <w:uiPriority w:val="99"/>
    <w:rsid w:val="00840B6A"/>
  </w:style>
  <w:style w:type="character" w:customStyle="1" w:styleId="ListLabel41">
    <w:name w:val="ListLabel 41"/>
    <w:uiPriority w:val="99"/>
    <w:rsid w:val="00840B6A"/>
  </w:style>
  <w:style w:type="character" w:customStyle="1" w:styleId="ListLabel42">
    <w:name w:val="ListLabel 42"/>
    <w:uiPriority w:val="99"/>
    <w:rsid w:val="00840B6A"/>
  </w:style>
  <w:style w:type="character" w:customStyle="1" w:styleId="ListLabel43">
    <w:name w:val="ListLabel 43"/>
    <w:uiPriority w:val="99"/>
    <w:rsid w:val="00840B6A"/>
  </w:style>
  <w:style w:type="character" w:customStyle="1" w:styleId="ListLabel44">
    <w:name w:val="ListLabel 44"/>
    <w:uiPriority w:val="99"/>
    <w:rsid w:val="00840B6A"/>
  </w:style>
  <w:style w:type="character" w:customStyle="1" w:styleId="ListLabel45">
    <w:name w:val="ListLabel 45"/>
    <w:uiPriority w:val="99"/>
    <w:rsid w:val="00840B6A"/>
  </w:style>
  <w:style w:type="character" w:customStyle="1" w:styleId="ListLabel46">
    <w:name w:val="ListLabel 46"/>
    <w:uiPriority w:val="99"/>
    <w:rsid w:val="00840B6A"/>
  </w:style>
  <w:style w:type="character" w:customStyle="1" w:styleId="ListLabel47">
    <w:name w:val="ListLabel 47"/>
    <w:uiPriority w:val="99"/>
    <w:rsid w:val="00840B6A"/>
    <w:rPr>
      <w:sz w:val="24"/>
    </w:rPr>
  </w:style>
  <w:style w:type="character" w:customStyle="1" w:styleId="ListLabel48">
    <w:name w:val="ListLabel 48"/>
    <w:uiPriority w:val="99"/>
    <w:rsid w:val="00840B6A"/>
  </w:style>
  <w:style w:type="character" w:customStyle="1" w:styleId="ListLabel49">
    <w:name w:val="ListLabel 49"/>
    <w:uiPriority w:val="99"/>
    <w:rsid w:val="00840B6A"/>
  </w:style>
  <w:style w:type="character" w:customStyle="1" w:styleId="ListLabel50">
    <w:name w:val="ListLabel 50"/>
    <w:uiPriority w:val="99"/>
    <w:rsid w:val="00840B6A"/>
  </w:style>
  <w:style w:type="character" w:customStyle="1" w:styleId="ListLabel51">
    <w:name w:val="ListLabel 51"/>
    <w:uiPriority w:val="99"/>
    <w:rsid w:val="00840B6A"/>
  </w:style>
  <w:style w:type="character" w:customStyle="1" w:styleId="ListLabel52">
    <w:name w:val="ListLabel 52"/>
    <w:uiPriority w:val="99"/>
    <w:rsid w:val="00840B6A"/>
  </w:style>
  <w:style w:type="character" w:customStyle="1" w:styleId="ListLabel53">
    <w:name w:val="ListLabel 53"/>
    <w:uiPriority w:val="99"/>
    <w:rsid w:val="00840B6A"/>
  </w:style>
  <w:style w:type="character" w:customStyle="1" w:styleId="ListLabel54">
    <w:name w:val="ListLabel 54"/>
    <w:uiPriority w:val="99"/>
    <w:rsid w:val="00840B6A"/>
  </w:style>
  <w:style w:type="character" w:customStyle="1" w:styleId="ListLabel55">
    <w:name w:val="ListLabel 55"/>
    <w:uiPriority w:val="99"/>
    <w:rsid w:val="00840B6A"/>
  </w:style>
  <w:style w:type="paragraph" w:customStyle="1" w:styleId="Heading">
    <w:name w:val="Heading"/>
    <w:basedOn w:val="Normal"/>
    <w:next w:val="BodyText"/>
    <w:uiPriority w:val="99"/>
    <w:rsid w:val="00840B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6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</w:rPr>
  </w:style>
  <w:style w:type="paragraph" w:styleId="List">
    <w:name w:val="List"/>
    <w:basedOn w:val="BodyText"/>
    <w:uiPriority w:val="99"/>
    <w:rsid w:val="00840B6A"/>
    <w:rPr>
      <w:rFonts w:cs="Arial"/>
    </w:rPr>
  </w:style>
  <w:style w:type="paragraph" w:styleId="Caption">
    <w:name w:val="caption"/>
    <w:basedOn w:val="Normal"/>
    <w:uiPriority w:val="99"/>
    <w:qFormat/>
    <w:rsid w:val="00840B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40B6A"/>
    <w:pPr>
      <w:suppressLineNumbers/>
    </w:pPr>
    <w:rPr>
      <w:rFonts w:cs="Arial"/>
    </w:rPr>
  </w:style>
  <w:style w:type="paragraph" w:styleId="BodyText2">
    <w:name w:val="Body Text 2"/>
    <w:basedOn w:val="Normal"/>
    <w:link w:val="BodyText2Char1"/>
    <w:uiPriority w:val="99"/>
    <w:rsid w:val="006D54A4"/>
    <w:pPr>
      <w:jc w:val="both"/>
    </w:pPr>
    <w:rPr>
      <w:rFonts w:ascii="HelvCiril" w:hAnsi="HelvCiri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6D54A4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1"/>
    <w:uiPriority w:val="99"/>
    <w:rsid w:val="006D54A4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TEXTChar1CharChar">
    <w:name w:val="TEXT Char1 Char Char"/>
    <w:basedOn w:val="Normal"/>
    <w:link w:val="TEXTChar1CharCharChar"/>
    <w:uiPriority w:val="99"/>
    <w:rsid w:val="006D54A4"/>
    <w:pPr>
      <w:ind w:firstLine="567"/>
      <w:jc w:val="both"/>
    </w:pPr>
  </w:style>
  <w:style w:type="paragraph" w:customStyle="1" w:styleId="CLANCharChar">
    <w:name w:val="CLAN Char Char"/>
    <w:basedOn w:val="Normal"/>
    <w:link w:val="CLANCharCharChar"/>
    <w:uiPriority w:val="99"/>
    <w:rsid w:val="006D54A4"/>
    <w:pPr>
      <w:keepNext/>
      <w:spacing w:before="240" w:after="60"/>
      <w:jc w:val="center"/>
      <w:outlineLvl w:val="3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6D54A4"/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StyleCLANTimesNewRoman1CharChar">
    <w:name w:val="Style CLAN + Times New Roman1 Char Char"/>
    <w:basedOn w:val="CLANCharChar"/>
    <w:next w:val="Normal"/>
    <w:link w:val="StyleCLANTimesNewRoman1CharCharChar"/>
    <w:uiPriority w:val="99"/>
    <w:rsid w:val="006D54A4"/>
  </w:style>
  <w:style w:type="paragraph" w:styleId="CommentText">
    <w:name w:val="annotation text"/>
    <w:basedOn w:val="Normal"/>
    <w:link w:val="CommentTextChar1"/>
    <w:uiPriority w:val="99"/>
    <w:rsid w:val="006D54A4"/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6D54A4"/>
    <w:rPr>
      <w:b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6D54A4"/>
    <w:rPr>
      <w:rFonts w:ascii="Segoe UI" w:hAnsi="Segoe UI"/>
      <w:sz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D54A4"/>
    <w:pPr>
      <w:ind w:left="720"/>
      <w:contextualSpacing/>
    </w:pPr>
  </w:style>
  <w:style w:type="paragraph" w:styleId="DocumentMap">
    <w:name w:val="Document Map"/>
    <w:basedOn w:val="Normal"/>
    <w:link w:val="DocumentMapChar1"/>
    <w:uiPriority w:val="99"/>
    <w:semiHidden/>
    <w:rsid w:val="006D54A4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FrameContents">
    <w:name w:val="Frame Contents"/>
    <w:basedOn w:val="Normal"/>
    <w:uiPriority w:val="99"/>
    <w:rsid w:val="00840B6A"/>
  </w:style>
  <w:style w:type="paragraph" w:customStyle="1" w:styleId="TableContents">
    <w:name w:val="Table Contents"/>
    <w:basedOn w:val="Normal"/>
    <w:uiPriority w:val="99"/>
    <w:rsid w:val="00840B6A"/>
  </w:style>
  <w:style w:type="paragraph" w:customStyle="1" w:styleId="TableHeading">
    <w:name w:val="Table Heading"/>
    <w:basedOn w:val="TableContents"/>
    <w:uiPriority w:val="99"/>
    <w:rsid w:val="00840B6A"/>
  </w:style>
  <w:style w:type="paragraph" w:styleId="NoSpacing">
    <w:name w:val="No Spacing"/>
    <w:uiPriority w:val="99"/>
    <w:qFormat/>
    <w:rsid w:val="00052CA7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</vt:lpstr>
    </vt:vector>
  </TitlesOfParts>
  <Company/>
  <LinksUpToDate>false</LinksUpToDate>
  <CharactersWithSpaces>27348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subject/>
  <dc:creator>Bojana Jakšić Kovačević</dc:creator>
  <cp:keywords/>
  <dc:description/>
  <cp:lastModifiedBy>Nenad Zdraljevic</cp:lastModifiedBy>
  <cp:revision>2</cp:revision>
  <cp:lastPrinted>2017-06-23T04:58:00Z</cp:lastPrinted>
  <dcterms:created xsi:type="dcterms:W3CDTF">2017-06-27T14:25:00Z</dcterms:created>
  <dcterms:modified xsi:type="dcterms:W3CDTF">2017-06-27T14:25:00Z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