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EE" w:rsidRPr="00BE7685" w:rsidRDefault="00BE7685" w:rsidP="00A65DEE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t>NACIONALNI</w:t>
      </w:r>
      <w:r w:rsidR="00A65DEE" w:rsidRPr="00BE76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PROGRAM</w:t>
      </w:r>
      <w:r w:rsidR="00A65DEE" w:rsidRPr="00BE76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ZA</w:t>
      </w:r>
      <w:r w:rsidR="00A65DEE" w:rsidRPr="00BE76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SUZBIJANJE</w:t>
      </w:r>
      <w:r w:rsidR="00A65DEE" w:rsidRPr="00BE76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SIVE</w:t>
      </w:r>
      <w:r w:rsidR="00A65DEE" w:rsidRPr="00BE76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EKONOMIJE</w:t>
      </w:r>
    </w:p>
    <w:p w:rsidR="00616DC1" w:rsidRPr="00BE7685" w:rsidRDefault="00616DC1" w:rsidP="005B324A">
      <w:pPr>
        <w:rPr>
          <w:rFonts w:ascii="Times New Roman" w:hAnsi="Times New Roman" w:cs="Times New Roman"/>
          <w:noProof/>
          <w:sz w:val="24"/>
          <w:szCs w:val="24"/>
        </w:rPr>
      </w:pPr>
    </w:p>
    <w:p w:rsidR="00323803" w:rsidRPr="00BE7685" w:rsidRDefault="00BE7685" w:rsidP="00FA3701">
      <w:pPr>
        <w:pStyle w:val="Headi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Style w:val="Heading2Char"/>
          <w:rFonts w:ascii="Times New Roman" w:hAnsi="Times New Roman" w:cs="Times New Roman"/>
          <w:noProof/>
          <w:color w:val="auto"/>
          <w:sz w:val="24"/>
          <w:szCs w:val="24"/>
        </w:rPr>
        <w:t>POLAZN</w:t>
      </w:r>
      <w:r w:rsidR="00070607" w:rsidRPr="00BE7685">
        <w:rPr>
          <w:rStyle w:val="Heading2Char"/>
          <w:rFonts w:ascii="Times New Roman" w:hAnsi="Times New Roman" w:cs="Times New Roman"/>
          <w:noProof/>
          <w:color w:val="auto"/>
          <w:sz w:val="24"/>
          <w:szCs w:val="24"/>
        </w:rPr>
        <w:t>E</w:t>
      </w:r>
      <w:r w:rsidR="00D01183" w:rsidRPr="00BE7685">
        <w:rPr>
          <w:rStyle w:val="Heading2Char"/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>
        <w:rPr>
          <w:rStyle w:val="Heading2Char"/>
          <w:rFonts w:ascii="Times New Roman" w:hAnsi="Times New Roman" w:cs="Times New Roman"/>
          <w:noProof/>
          <w:color w:val="auto"/>
          <w:sz w:val="24"/>
          <w:szCs w:val="24"/>
        </w:rPr>
        <w:t>OSNOVE</w:t>
      </w:r>
    </w:p>
    <w:p w:rsidR="005B324A" w:rsidRPr="00BE7685" w:rsidRDefault="005B324A" w:rsidP="003238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B324A" w:rsidRPr="00BE7685" w:rsidRDefault="00BE7685" w:rsidP="00A460B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FB6AE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preduslov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ostvarivanje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održivog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društveno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ekonomskog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razvoja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povoljnog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poslovnog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ambijenta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životnog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standarda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kontinuiranog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privrednog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razvoja</w:t>
      </w:r>
      <w:r w:rsidR="00BC6580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obezbediti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jednake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uslove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aktere</w:t>
      </w:r>
      <w:r w:rsidR="00E254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E254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tržištu</w:t>
      </w:r>
      <w:r w:rsidR="00E254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254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suzbiti</w:t>
      </w:r>
      <w:r w:rsidR="00E254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nelegalne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tokove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novca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neformalnu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ekonomiju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B324A" w:rsidRPr="00BE7685" w:rsidRDefault="005B324A" w:rsidP="00A460B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B324A" w:rsidRPr="00BE7685" w:rsidRDefault="00BE7685" w:rsidP="00A460B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Nacionalni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daljem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tekstu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Nacionalni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utvrđuje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ciljeve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suzbijanje</w:t>
      </w:r>
      <w:r w:rsidR="00D0118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D0118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DD68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5B324A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0367F" w:rsidRPr="00BE7685" w:rsidRDefault="00C0367F" w:rsidP="00A460B6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3803" w:rsidRPr="00BE7685" w:rsidRDefault="00D02DD8" w:rsidP="00A460B6">
      <w:pPr>
        <w:spacing w:line="276" w:lineRule="auto"/>
        <w:ind w:left="3" w:firstLine="56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Počev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od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2010. </w:t>
      </w:r>
      <w:r w:rsidR="00BE7685">
        <w:rPr>
          <w:rFonts w:ascii="Times New Roman" w:hAnsi="Times New Roman" w:cs="Times New Roman"/>
          <w:noProof/>
          <w:sz w:val="24"/>
          <w:szCs w:val="24"/>
        </w:rPr>
        <w:t>godine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do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danas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privreda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ističe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uz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visoke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stope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poreza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doprinosa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E7685">
        <w:rPr>
          <w:rFonts w:ascii="Times New Roman" w:hAnsi="Times New Roman" w:cs="Times New Roman"/>
          <w:noProof/>
          <w:sz w:val="24"/>
          <w:szCs w:val="24"/>
        </w:rPr>
        <w:t>kao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jednu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od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dve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najveće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prepreke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legalnom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poslovanju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</w:rPr>
        <w:t>Istraživanje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stavova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privrede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koje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sprovedeno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tokom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avgusta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2015. </w:t>
      </w:r>
      <w:r w:rsidR="00BE7685">
        <w:rPr>
          <w:rFonts w:ascii="Times New Roman" w:hAnsi="Times New Roman" w:cs="Times New Roman"/>
          <w:noProof/>
          <w:sz w:val="24"/>
          <w:szCs w:val="24"/>
        </w:rPr>
        <w:t>godine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, 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pokazalo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skoro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dve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trećine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predstavnika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privrede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(64%) </w:t>
      </w:r>
      <w:r w:rsidR="00BE7685">
        <w:rPr>
          <w:rFonts w:ascii="Times New Roman" w:hAnsi="Times New Roman" w:cs="Times New Roman"/>
          <w:noProof/>
          <w:sz w:val="24"/>
          <w:szCs w:val="24"/>
        </w:rPr>
        <w:t>smatra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poslovanje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preduzeća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sivoj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zoni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najviše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ugrožava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njihovo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poslovanje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ističe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suzbijanje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treba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bude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prvom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mestu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liste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prioriteta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Vlade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mnogim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zemljama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tranziciji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pa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tako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Republici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Srbiji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je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značajna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prepreka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razvoj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izgradnju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funkcionalne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tržišne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privrede</w:t>
      </w:r>
      <w:r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02DD8" w:rsidRPr="00BE7685" w:rsidRDefault="00D02DD8" w:rsidP="003238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3803" w:rsidRPr="00BE7685" w:rsidRDefault="00BE7685" w:rsidP="00B3551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adekvatno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pristupilo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rešavanju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problema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C6580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identifikovani</w:t>
      </w:r>
      <w:r w:rsidR="00616D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obim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uzroci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posledice</w:t>
      </w:r>
      <w:r w:rsidR="00AC7D3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AC7D3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323803" w:rsidRPr="00BE7685" w:rsidRDefault="00323803" w:rsidP="0032380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3803" w:rsidRPr="00BE7685" w:rsidRDefault="00BE7685" w:rsidP="00334F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Iako</w:t>
      </w:r>
      <w:r w:rsidR="00616D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ED0B4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pokazalo</w:t>
      </w:r>
      <w:r w:rsidR="00511E2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511E2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511E2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obim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602E0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teško</w:t>
      </w:r>
      <w:r w:rsidR="00602E0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precizno</w:t>
      </w:r>
      <w:r w:rsidR="00602E0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proceniti</w:t>
      </w:r>
      <w:r w:rsidR="00602E09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procena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obavljena</w:t>
      </w:r>
      <w:r w:rsidR="002E4BA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korišćenjem</w:t>
      </w:r>
      <w:r w:rsidR="002E4BA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tri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metode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1F4EBA" w:rsidRPr="00BE7685" w:rsidRDefault="001F4EBA" w:rsidP="00334F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3803" w:rsidRPr="00BE7685" w:rsidRDefault="00095FB4" w:rsidP="0008059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685">
        <w:rPr>
          <w:rFonts w:ascii="Times New Roman" w:hAnsi="Times New Roman" w:cs="Times New Roman"/>
          <w:noProof/>
          <w:sz w:val="24"/>
          <w:szCs w:val="24"/>
        </w:rPr>
        <w:t>1</w:t>
      </w:r>
      <w:r w:rsidR="001F4EBA" w:rsidRPr="00BE7685">
        <w:rPr>
          <w:rFonts w:ascii="Times New Roman" w:hAnsi="Times New Roman" w:cs="Times New Roman"/>
          <w:noProof/>
          <w:sz w:val="24"/>
          <w:szCs w:val="24"/>
        </w:rPr>
        <w:t>)</w:t>
      </w:r>
      <w:r w:rsidR="00334F3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C7D3C" w:rsidRPr="00BE7685">
        <w:rPr>
          <w:rFonts w:ascii="Times New Roman" w:hAnsi="Times New Roman" w:cs="Times New Roman"/>
          <w:noProof/>
          <w:sz w:val="24"/>
          <w:szCs w:val="24"/>
        </w:rPr>
        <w:t>MIMIC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metodom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zasnovanom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modeliranju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obim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procenjen</w:t>
      </w:r>
      <w:r w:rsidR="00FB6AE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je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</w:t>
      </w:r>
      <w:r w:rsidR="00FB6AE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>30</w:t>
      </w:r>
      <w:r w:rsidR="00A3637F" w:rsidRPr="00BE7685">
        <w:rPr>
          <w:rFonts w:ascii="Times New Roman" w:hAnsi="Times New Roman" w:cs="Times New Roman"/>
          <w:noProof/>
          <w:sz w:val="24"/>
          <w:szCs w:val="24"/>
        </w:rPr>
        <w:t>,1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% </w:t>
      </w:r>
      <w:r w:rsidR="00BE7685">
        <w:rPr>
          <w:rFonts w:ascii="Times New Roman" w:hAnsi="Times New Roman" w:cs="Times New Roman"/>
          <w:noProof/>
          <w:sz w:val="24"/>
          <w:szCs w:val="24"/>
        </w:rPr>
        <w:t>bruto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društvenog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proizvoda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daljem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tekstu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BE7685">
        <w:rPr>
          <w:rFonts w:ascii="Times New Roman" w:hAnsi="Times New Roman" w:cs="Times New Roman"/>
          <w:noProof/>
          <w:sz w:val="24"/>
          <w:szCs w:val="24"/>
        </w:rPr>
        <w:t>BDP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 xml:space="preserve"> 2010. </w:t>
      </w:r>
      <w:r w:rsidR="00BE7685">
        <w:rPr>
          <w:rFonts w:ascii="Times New Roman" w:hAnsi="Times New Roman" w:cs="Times New Roman"/>
          <w:noProof/>
          <w:sz w:val="24"/>
          <w:szCs w:val="24"/>
        </w:rPr>
        <w:t>godini</w:t>
      </w:r>
      <w:r w:rsidR="00323803" w:rsidRPr="00BE768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323803" w:rsidRPr="00BE7685" w:rsidRDefault="00095FB4" w:rsidP="0008059F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1F4EB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AC7D3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HTC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metodom</w:t>
      </w:r>
      <w:r w:rsidR="0066359D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(household tax compliance)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zasnovanom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poštovanju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poreskih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domaćinstava</w:t>
      </w:r>
      <w:r w:rsidR="00AC7D3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ekonomije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procenjen</w:t>
      </w:r>
      <w:r w:rsidR="00FB6AE0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B6AE0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24%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BDP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2010.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AC7D3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47086" w:rsidRPr="00BE7685" w:rsidRDefault="00095FB4" w:rsidP="0008059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1F4EB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334F3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Anketom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preduzetnika</w:t>
      </w:r>
      <w:r w:rsidR="00BC6580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AC7D3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C7D3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identifikovana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siva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ekonomija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prometu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delimičnom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potpunom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crno</w:t>
      </w:r>
      <w:r w:rsidR="00AC7D3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ekonomije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procenjen</w:t>
      </w:r>
      <w:r w:rsidR="00FB6AE0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B6AE0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21%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BDP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380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1352B" w:rsidRPr="00BE7685" w:rsidRDefault="0021352B" w:rsidP="0008059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1352B" w:rsidRPr="00BE7685" w:rsidRDefault="00BE7685" w:rsidP="0008059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kandidat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članstvo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nameće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ekonomije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BDP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prosečan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ekonomije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BDP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zemalja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pristupile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članstvo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pristupanja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Poređenja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Fondacije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nauke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utvrdilo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prosečno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ekonomije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BDP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jedanaest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zemalja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pristupile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Evropskoj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uniji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postale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članice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26,82%.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Estonija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Letonija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Litvanija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Češka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Slovačka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Mađarska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Poljska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Slovenija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Bugarska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Rumunija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Hrvatska</w:t>
      </w:r>
      <w:r w:rsidR="002135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21352B" w:rsidRPr="00BE7685" w:rsidRDefault="0021352B" w:rsidP="0008059F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21352B" w:rsidRPr="00BE7685" w:rsidSect="005B09A8">
          <w:footerReference w:type="default" r:id="rId12"/>
          <w:type w:val="continuous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105F11" w:rsidRPr="00BE7685" w:rsidRDefault="00731B00" w:rsidP="00B2243A">
      <w:pPr>
        <w:pStyle w:val="ListParagraph"/>
        <w:tabs>
          <w:tab w:val="left" w:pos="6015"/>
        </w:tabs>
        <w:ind w:left="1140"/>
        <w:rPr>
          <w:rFonts w:ascii="Times New Roman" w:hAnsi="Times New Roman" w:cs="Times New Roman"/>
          <w:noProof/>
          <w:lang w:val="sr-Latn-CS"/>
        </w:rPr>
      </w:pPr>
      <w:r w:rsidRPr="00BE7685">
        <w:rPr>
          <w:rFonts w:ascii="Times New Roman" w:hAnsi="Times New Roman" w:cs="Times New Roman"/>
          <w:noProof/>
          <w:lang w:val="sr-Latn-C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4DA7F" wp14:editId="56FF3AB6">
                <wp:simplePos x="0" y="0"/>
                <wp:positionH relativeFrom="column">
                  <wp:posOffset>6757035</wp:posOffset>
                </wp:positionH>
                <wp:positionV relativeFrom="paragraph">
                  <wp:posOffset>-300990</wp:posOffset>
                </wp:positionV>
                <wp:extent cx="2343150" cy="447675"/>
                <wp:effectExtent l="0" t="0" r="19050" b="28575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40"/>
                                <w:sz w:val="28"/>
                                <w:szCs w:val="28"/>
                              </w:rPr>
                              <w:t>POSLEDIC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40"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4DA7F" id="AutoShape 48" o:spid="_x0000_s1026" style="position:absolute;left:0;text-align:left;margin-left:532.05pt;margin-top:-23.7pt;width:184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" filled="f" strokecolor="white [3212]" strokeweight="1pt">
                <v:stroke dashstyle="dash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40"/>
                          <w:sz w:val="28"/>
                          <w:szCs w:val="28"/>
                        </w:rPr>
                        <w:t>POSLEDIC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pacing w:val="40"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C4CA2" wp14:editId="7394A7A2">
                <wp:simplePos x="0" y="0"/>
                <wp:positionH relativeFrom="column">
                  <wp:posOffset>4866640</wp:posOffset>
                </wp:positionH>
                <wp:positionV relativeFrom="paragraph">
                  <wp:posOffset>4617720</wp:posOffset>
                </wp:positionV>
                <wp:extent cx="2181225" cy="1247775"/>
                <wp:effectExtent l="19050" t="19050" r="47625" b="66675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81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Ugrožena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bezbednost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zdravlje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na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radu</w:t>
                            </w:r>
                          </w:p>
                          <w:p w:rsidR="006C2745" w:rsidRPr="00BE7685" w:rsidRDefault="006C2745" w:rsidP="00B2243A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C2745" w:rsidRPr="00BE7685" w:rsidRDefault="006C2745" w:rsidP="00B2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C4CA2" id="AutoShape 42" o:spid="_x0000_s1027" style="position:absolute;left:0;text-align:left;margin-left:383.2pt;margin-top:363.6pt;width:171.75pt;height:98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" fillcolor="#9bbb59 [3206]" strokecolor="#f2f2f2 [3041]" strokeweight="3pt">
                <v:shadow on="t" color="#4e6128 [1606]" opacity=".5" offset="1pt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Ugrožena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bezbednost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zdravlje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na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radu</w:t>
                      </w:r>
                    </w:p>
                    <w:p w:rsidR="006C2745" w:rsidRPr="00BE7685" w:rsidRDefault="006C2745" w:rsidP="00B2243A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6C2745" w:rsidRPr="00BE7685" w:rsidRDefault="006C2745" w:rsidP="00B224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FE851" wp14:editId="16B025A6">
                <wp:simplePos x="0" y="0"/>
                <wp:positionH relativeFrom="column">
                  <wp:posOffset>5836920</wp:posOffset>
                </wp:positionH>
                <wp:positionV relativeFrom="paragraph">
                  <wp:posOffset>3463290</wp:posOffset>
                </wp:positionV>
                <wp:extent cx="2181225" cy="962025"/>
                <wp:effectExtent l="19050" t="19050" r="47625" b="66675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812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Iskrivljena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svest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građana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privrede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o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sivoj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ekonomiji</w:t>
                            </w:r>
                          </w:p>
                          <w:p w:rsidR="006C2745" w:rsidRPr="00BE7685" w:rsidRDefault="006C274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6C2745" w:rsidRPr="00BE7685" w:rsidRDefault="006C2745" w:rsidP="00B2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EFE851" id="AutoShape 41" o:spid="_x0000_s1028" style="position:absolute;left:0;text-align:left;margin-left:459.6pt;margin-top:272.7pt;width:171.75pt;height:75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" fillcolor="#9bbb59 [3206]" strokecolor="#f2f2f2 [3041]" strokeweight="3pt">
                <v:shadow on="t" color="#4e6128 [1606]" opacity=".5" offset="1pt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Iskrivljena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svest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građana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privrede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o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sivoj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ekonomiji</w:t>
                      </w:r>
                    </w:p>
                    <w:p w:rsidR="006C2745" w:rsidRPr="00BE7685" w:rsidRDefault="006C2745" w:rsidP="00B2243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</w:p>
                    <w:p w:rsidR="006C2745" w:rsidRPr="00BE7685" w:rsidRDefault="006C2745" w:rsidP="00B224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109F2" wp14:editId="03079569">
                <wp:simplePos x="0" y="0"/>
                <wp:positionH relativeFrom="column">
                  <wp:posOffset>6409055</wp:posOffset>
                </wp:positionH>
                <wp:positionV relativeFrom="paragraph">
                  <wp:posOffset>2311400</wp:posOffset>
                </wp:positionV>
                <wp:extent cx="2181225" cy="904875"/>
                <wp:effectExtent l="19050" t="19050" r="47625" b="6667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812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Nelojalna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konkurencija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109F2" id="AutoShape 40" o:spid="_x0000_s1029" style="position:absolute;left:0;text-align:left;margin-left:504.65pt;margin-top:182pt;width:171.75pt;height:71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" fillcolor="#9bbb59 [3206]" strokecolor="#f2f2f2 [3041]" strokeweight="3pt">
                <v:shadow on="t" color="#4e6128 [1606]" opacity=".5" offset="1pt"/>
                <v:textbox>
                  <w:txbxContent>
                    <w:p w:rsidR="006C2745" w:rsidRPr="00BE7685" w:rsidRDefault="00BE7685" w:rsidP="00B2243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Nelojalna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konkurencija</w:t>
                      </w: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B806F" wp14:editId="4F7B115F">
                <wp:simplePos x="0" y="0"/>
                <wp:positionH relativeFrom="column">
                  <wp:posOffset>5838190</wp:posOffset>
                </wp:positionH>
                <wp:positionV relativeFrom="paragraph">
                  <wp:posOffset>796925</wp:posOffset>
                </wp:positionV>
                <wp:extent cx="1905000" cy="1143000"/>
                <wp:effectExtent l="19050" t="19050" r="38100" b="5715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050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6C2745" w:rsidP="00B2243A">
                            <w:pPr>
                              <w:ind w:right="-3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Učestale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povrede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prava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iz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radnog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odnosa</w:t>
                            </w:r>
                          </w:p>
                          <w:p w:rsidR="006C2745" w:rsidRPr="00BE7685" w:rsidRDefault="006C2745" w:rsidP="00B224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B806F" id="AutoShape 39" o:spid="_x0000_s1030" style="position:absolute;left:0;text-align:left;margin-left:459.7pt;margin-top:62.75pt;width:150pt;height:90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" fillcolor="#9bbb59 [3206]" strokecolor="#f2f2f2 [3041]" strokeweight="3pt">
                <v:shadow on="t" color="#4e6128 [1606]" opacity=".5" offset="1pt"/>
                <v:textbox>
                  <w:txbxContent>
                    <w:p w:rsidR="006C2745" w:rsidRPr="00BE7685" w:rsidRDefault="006C2745" w:rsidP="00B2243A">
                      <w:pPr>
                        <w:ind w:right="-33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Učestale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povrede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prava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iz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radnog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odnosa</w:t>
                      </w:r>
                    </w:p>
                    <w:p w:rsidR="006C2745" w:rsidRPr="00BE7685" w:rsidRDefault="006C2745" w:rsidP="00B224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63B55" wp14:editId="6A2F1334">
                <wp:simplePos x="0" y="0"/>
                <wp:positionH relativeFrom="column">
                  <wp:posOffset>4657090</wp:posOffset>
                </wp:positionH>
                <wp:positionV relativeFrom="paragraph">
                  <wp:posOffset>-526415</wp:posOffset>
                </wp:positionV>
                <wp:extent cx="2095500" cy="1190625"/>
                <wp:effectExtent l="19050" t="19050" r="38100" b="6667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955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Smanjeni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budžetski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prihodi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loš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kvalitet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javnih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usluga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C2745" w:rsidRPr="00BE7685" w:rsidRDefault="006C2745" w:rsidP="00B2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63B55" id="AutoShape 38" o:spid="_x0000_s1031" style="position:absolute;left:0;text-align:left;margin-left:366.7pt;margin-top:-41.45pt;width:165pt;height:93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" fillcolor="#9bbb59 [3206]" strokecolor="#f2f2f2 [3041]" strokeweight="3pt">
                <v:shadow on="t" color="#4e6128 [1606]" opacity=".5" offset="1pt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Smanjeni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budžetski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prihodi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loš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kvalitet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javnih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usluga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6C2745" w:rsidRPr="00BE7685" w:rsidRDefault="006C2745" w:rsidP="00B224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09E3D" wp14:editId="51C356A9">
                <wp:simplePos x="0" y="0"/>
                <wp:positionH relativeFrom="column">
                  <wp:posOffset>1771015</wp:posOffset>
                </wp:positionH>
                <wp:positionV relativeFrom="paragraph">
                  <wp:posOffset>-535940</wp:posOffset>
                </wp:positionV>
                <wp:extent cx="1724025" cy="1076325"/>
                <wp:effectExtent l="19050" t="19050" r="47625" b="6667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543B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Nizak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nivo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poreske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kulture</w:t>
                            </w:r>
                          </w:p>
                          <w:p w:rsidR="006C2745" w:rsidRPr="00BE7685" w:rsidRDefault="006C2745" w:rsidP="00B2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09E3D" id="AutoShape 30" o:spid="_x0000_s1032" style="position:absolute;left:0;text-align:left;margin-left:139.45pt;margin-top:-42.2pt;width:135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" fillcolor="#d3543b" strokecolor="#f2f2f2 [3041]" strokeweight="3pt">
                <v:shadow on="t" color="#622423 [1605]" opacity=".5" offset="1pt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Nizak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nivo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poreske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kulture</w:t>
                      </w:r>
                    </w:p>
                    <w:p w:rsidR="006C2745" w:rsidRPr="00BE7685" w:rsidRDefault="006C2745" w:rsidP="00B224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07CB1" wp14:editId="381C7056">
                <wp:simplePos x="0" y="0"/>
                <wp:positionH relativeFrom="column">
                  <wp:posOffset>626110</wp:posOffset>
                </wp:positionH>
                <wp:positionV relativeFrom="paragraph">
                  <wp:posOffset>692785</wp:posOffset>
                </wp:positionV>
                <wp:extent cx="2181225" cy="1247775"/>
                <wp:effectExtent l="19050" t="19050" r="47625" b="6667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543B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Nedovoljno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efikasan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inspekcijski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carinski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nadzor</w:t>
                            </w:r>
                          </w:p>
                          <w:p w:rsidR="006C2745" w:rsidRPr="00BE7685" w:rsidRDefault="006C2745" w:rsidP="00B2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07CB1" id="AutoShape 29" o:spid="_x0000_s1033" style="position:absolute;left:0;text-align:left;margin-left:49.3pt;margin-top:54.55pt;width:171.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" fillcolor="#d3543b" strokecolor="#f2f2f2 [3041]" strokeweight="3pt">
                <v:shadow on="t" color="#622423 [1605]" opacity=".5" offset="1pt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Nedovoljno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efikasan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inspekcijski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carinski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nadzor</w:t>
                      </w:r>
                    </w:p>
                    <w:p w:rsidR="006C2745" w:rsidRPr="00BE7685" w:rsidRDefault="006C2745" w:rsidP="00B224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E6B82" wp14:editId="623F3304">
                <wp:simplePos x="0" y="0"/>
                <wp:positionH relativeFrom="column">
                  <wp:posOffset>-12065</wp:posOffset>
                </wp:positionH>
                <wp:positionV relativeFrom="paragraph">
                  <wp:posOffset>2092960</wp:posOffset>
                </wp:positionV>
                <wp:extent cx="2181225" cy="1247775"/>
                <wp:effectExtent l="19050" t="19050" r="47625" b="666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543B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Neefikasnost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državnih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organa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korupcija</w:t>
                            </w:r>
                          </w:p>
                          <w:p w:rsidR="006C2745" w:rsidRPr="00BE7685" w:rsidRDefault="006C2745" w:rsidP="00B2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E6B82" id="AutoShape 28" o:spid="_x0000_s1034" style="position:absolute;left:0;text-align:left;margin-left:-.95pt;margin-top:164.8pt;width:171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" fillcolor="#d3543b" strokecolor="#f2f2f2 [3041]" strokeweight="3pt">
                <v:shadow on="t" color="#622423 [1605]" opacity=".5" offset="1pt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Neefikasnost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državnih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organa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korupcija</w:t>
                      </w:r>
                    </w:p>
                    <w:p w:rsidR="006C2745" w:rsidRPr="00BE7685" w:rsidRDefault="006C2745" w:rsidP="00B224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03A9" wp14:editId="48BA30C1">
                <wp:simplePos x="0" y="0"/>
                <wp:positionH relativeFrom="column">
                  <wp:posOffset>856615</wp:posOffset>
                </wp:positionH>
                <wp:positionV relativeFrom="paragraph">
                  <wp:posOffset>3521075</wp:posOffset>
                </wp:positionV>
                <wp:extent cx="2028825" cy="962025"/>
                <wp:effectExtent l="19050" t="19050" r="47625" b="6667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543B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ind w:right="-3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Visoka</w:t>
                            </w:r>
                          </w:p>
                          <w:p w:rsidR="006C2745" w:rsidRPr="00BE7685" w:rsidRDefault="00BE7685" w:rsidP="00B2243A">
                            <w:pPr>
                              <w:ind w:right="-3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nezaposlenost</w:t>
                            </w:r>
                          </w:p>
                          <w:p w:rsidR="006C2745" w:rsidRPr="00BE7685" w:rsidRDefault="00BE7685" w:rsidP="00B2243A">
                            <w:pPr>
                              <w:ind w:right="-33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siromaštvo</w:t>
                            </w:r>
                          </w:p>
                          <w:p w:rsidR="006C2745" w:rsidRPr="00BE7685" w:rsidRDefault="006C2745" w:rsidP="00B224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503A9" id="AutoShape 27" o:spid="_x0000_s1035" style="position:absolute;left:0;text-align:left;margin-left:67.45pt;margin-top:277.25pt;width:159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" fillcolor="#d3543b" strokecolor="#f2f2f2 [3041]" strokeweight="3pt">
                <v:shadow on="t" color="#622423 [1605]" opacity=".5" offset="1pt"/>
                <v:textbox>
                  <w:txbxContent>
                    <w:p w:rsidR="006C2745" w:rsidRPr="00BE7685" w:rsidRDefault="00BE7685" w:rsidP="00B2243A">
                      <w:pPr>
                        <w:ind w:right="-33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Visoka</w:t>
                      </w:r>
                    </w:p>
                    <w:p w:rsidR="006C2745" w:rsidRPr="00BE7685" w:rsidRDefault="00BE7685" w:rsidP="00B2243A">
                      <w:pPr>
                        <w:ind w:right="-33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nezaposlenost</w:t>
                      </w:r>
                    </w:p>
                    <w:p w:rsidR="006C2745" w:rsidRPr="00BE7685" w:rsidRDefault="00BE7685" w:rsidP="00B2243A">
                      <w:pPr>
                        <w:ind w:right="-33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t>siromaštvo</w:t>
                      </w:r>
                    </w:p>
                    <w:p w:rsidR="006C2745" w:rsidRPr="00BE7685" w:rsidRDefault="006C2745" w:rsidP="00B224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D2518" wp14:editId="09B4E06A">
                <wp:simplePos x="0" y="0"/>
                <wp:positionH relativeFrom="column">
                  <wp:posOffset>1418590</wp:posOffset>
                </wp:positionH>
                <wp:positionV relativeFrom="paragraph">
                  <wp:posOffset>4617085</wp:posOffset>
                </wp:positionV>
                <wp:extent cx="2286000" cy="1333500"/>
                <wp:effectExtent l="19050" t="19050" r="38100" b="571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543B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Destimulativna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poreska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politika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i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veliko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administrativno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opterećenje</w:t>
                            </w:r>
                          </w:p>
                          <w:p w:rsidR="006C2745" w:rsidRPr="00BE7685" w:rsidRDefault="006C2745" w:rsidP="00B2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D2518" id="AutoShape 19" o:spid="_x0000_s1036" style="position:absolute;left:0;text-align:left;margin-left:111.7pt;margin-top:363.55pt;width:180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" fillcolor="#d3543b" strokecolor="#f2f2f2 [3041]" strokeweight="3pt">
                <v:shadow on="t" color="#622423 [1605]" opacity=".5" offset="1pt"/>
                <v:textbox>
                  <w:txbxContent>
                    <w:p w:rsidR="006C2745" w:rsidRPr="00BE7685" w:rsidRDefault="00BE7685" w:rsidP="00B2243A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Destimulativna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poreska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politika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i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veliko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administrativno</w:t>
                      </w:r>
                      <w:r w:rsidR="006C2745" w:rsidRPr="00BE7685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opterećenje</w:t>
                      </w:r>
                    </w:p>
                    <w:p w:rsidR="006C2745" w:rsidRPr="00BE7685" w:rsidRDefault="006C2745" w:rsidP="00B224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1FC0D" wp14:editId="7BFF6BBD">
                <wp:simplePos x="0" y="0"/>
                <wp:positionH relativeFrom="column">
                  <wp:posOffset>3847465</wp:posOffset>
                </wp:positionH>
                <wp:positionV relativeFrom="paragraph">
                  <wp:posOffset>-50165</wp:posOffset>
                </wp:positionV>
                <wp:extent cx="561975" cy="457200"/>
                <wp:effectExtent l="19050" t="76200" r="47625" b="9525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stripedRightArrow">
                          <a:avLst>
                            <a:gd name="adj1" fmla="val 50000"/>
                            <a:gd name="adj2" fmla="val 3708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7685" w:rsidRDefault="00BE7685" w:rsidP="00BE76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1FC0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4" o:spid="_x0000_s1037" type="#_x0000_t93" style="position:absolute;left:0;text-align:left;margin-left:302.95pt;margin-top:-3.95pt;width:44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" adj="15083" fillcolor="#f79646 [3209]" strokecolor="#f2f2f2 [3041]" strokeweight="3pt">
                <v:shadow on="t" color="#974706 [1609]" opacity=".5" offset="1pt"/>
                <v:textbox>
                  <w:txbxContent>
                    <w:p w:rsidR="00BE7685" w:rsidRDefault="00BE7685" w:rsidP="00BE76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E7685">
        <w:rPr>
          <w:rFonts w:ascii="Times New Roman" w:hAnsi="Times New Roman" w:cs="Times New Roman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3CF4" wp14:editId="5F9029E4">
                <wp:simplePos x="0" y="0"/>
                <wp:positionH relativeFrom="column">
                  <wp:posOffset>3799205</wp:posOffset>
                </wp:positionH>
                <wp:positionV relativeFrom="paragraph">
                  <wp:posOffset>4978400</wp:posOffset>
                </wp:positionV>
                <wp:extent cx="904875" cy="562610"/>
                <wp:effectExtent l="38100" t="57150" r="47625" b="10414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04875" cy="562610"/>
                        </a:xfrm>
                        <a:prstGeom prst="stripedRightArrow">
                          <a:avLst>
                            <a:gd name="adj1" fmla="val 50000"/>
                            <a:gd name="adj2" fmla="val 40209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7685" w:rsidRDefault="00BE7685" w:rsidP="00BE76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3CF4" id="AutoShape 45" o:spid="_x0000_s1038" type="#_x0000_t93" style="position:absolute;left:0;text-align:left;margin-left:299.15pt;margin-top:392pt;width:71.25pt;height:44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" fillcolor="#f79646 [3209]" strokecolor="#f2f2f2 [3041]" strokeweight="3pt">
                <v:shadow on="t" color="#974706 [1609]" opacity=".5" offset="1pt"/>
                <v:textbox>
                  <w:txbxContent>
                    <w:p w:rsidR="00BE7685" w:rsidRDefault="00BE7685" w:rsidP="00BE76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5F11" w:rsidRPr="00BE7685">
        <w:rPr>
          <w:rFonts w:ascii="Times New Roman" w:hAnsi="Times New Roman" w:cs="Times New Roman"/>
          <w:noProof/>
          <w:lang w:val="sr-Latn-CS"/>
        </w:rPr>
        <w:tab/>
      </w:r>
    </w:p>
    <w:p w:rsidR="00255E17" w:rsidRPr="00BE7685" w:rsidRDefault="00255E17" w:rsidP="00105F11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A460B6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5E17" w:rsidRPr="00BE7685" w:rsidRDefault="00255E17" w:rsidP="004D6FB9">
      <w:pPr>
        <w:spacing w:line="276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731B00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68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A3F415" wp14:editId="04D7A4D2">
                <wp:simplePos x="0" y="0"/>
                <wp:positionH relativeFrom="column">
                  <wp:posOffset>2590165</wp:posOffset>
                </wp:positionH>
                <wp:positionV relativeFrom="paragraph">
                  <wp:posOffset>58420</wp:posOffset>
                </wp:positionV>
                <wp:extent cx="3248025" cy="2343785"/>
                <wp:effectExtent l="19050" t="19050" r="47625" b="56515"/>
                <wp:wrapNone/>
                <wp:docPr id="8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3437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SIVA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52"/>
                                <w:szCs w:val="52"/>
                              </w:rPr>
                              <w:t>EKONOMIJA</w:t>
                            </w:r>
                          </w:p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Rad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crno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izbegavanje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plaćanja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poreza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nelegalno</w:t>
                            </w:r>
                            <w:r w:rsidR="006C2745" w:rsidRPr="00BE768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poslovanje</w:t>
                            </w:r>
                          </w:p>
                          <w:p w:rsidR="006C2745" w:rsidRPr="00BE7685" w:rsidRDefault="006C2745" w:rsidP="00B224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3F415" id="Oval 46" o:spid="_x0000_s1039" style="position:absolute;left:0;text-align:left;margin-left:203.95pt;margin-top:4.6pt;width:255.75pt;height:18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SIVA</w:t>
                      </w:r>
                      <w:r w:rsidR="006C2745" w:rsidRPr="00BE7685"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52"/>
                          <w:szCs w:val="52"/>
                        </w:rPr>
                        <w:t>EKONOMIJA</w:t>
                      </w:r>
                    </w:p>
                    <w:p w:rsidR="006C2745" w:rsidRPr="00BE7685" w:rsidRDefault="00BE7685" w:rsidP="00B2243A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Rad</w:t>
                      </w:r>
                      <w:r w:rsidR="006C2745" w:rsidRPr="00BE768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na</w:t>
                      </w:r>
                      <w:r w:rsidR="006C2745" w:rsidRPr="00BE768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crno</w:t>
                      </w:r>
                      <w:r w:rsidR="006C2745" w:rsidRPr="00BE768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izbegavanje</w:t>
                      </w:r>
                      <w:r w:rsidR="006C2745" w:rsidRPr="00BE768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plaćanja</w:t>
                      </w:r>
                      <w:r w:rsidR="006C2745" w:rsidRPr="00BE768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poreza</w:t>
                      </w:r>
                      <w:r w:rsidR="006C2745" w:rsidRPr="00BE768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nelegalno</w:t>
                      </w:r>
                      <w:r w:rsidR="006C2745" w:rsidRPr="00BE768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poslovanje</w:t>
                      </w:r>
                    </w:p>
                    <w:p w:rsidR="006C2745" w:rsidRPr="00BE7685" w:rsidRDefault="006C2745" w:rsidP="00B224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C60D58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7685">
        <w:rPr>
          <w:rFonts w:ascii="Times New Roman" w:hAnsi="Times New Roman" w:cs="Times New Roman"/>
          <w:noProof/>
          <w:sz w:val="24"/>
          <w:szCs w:val="24"/>
        </w:rPr>
        <w:t>+</w:t>
      </w: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55E17" w:rsidRPr="00BE7685" w:rsidRDefault="00255E17" w:rsidP="00334F3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47086" w:rsidRPr="00BE7685" w:rsidRDefault="00731B00" w:rsidP="00547086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  <w:sectPr w:rsidR="00547086" w:rsidRPr="00BE7685" w:rsidSect="004D6FB9">
          <w:headerReference w:type="default" r:id="rId13"/>
          <w:footerReference w:type="default" r:id="rId14"/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BE768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AC1F0" wp14:editId="664EF01F">
                <wp:simplePos x="0" y="0"/>
                <wp:positionH relativeFrom="column">
                  <wp:posOffset>-314960</wp:posOffset>
                </wp:positionH>
                <wp:positionV relativeFrom="paragraph">
                  <wp:posOffset>-5005705</wp:posOffset>
                </wp:positionV>
                <wp:extent cx="2085975" cy="561975"/>
                <wp:effectExtent l="0" t="0" r="28575" b="2857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745" w:rsidRPr="00BE7685" w:rsidRDefault="00BE7685" w:rsidP="00B2243A">
                            <w:pPr>
                              <w:jc w:val="center"/>
                              <w:rPr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40"/>
                                <w:sz w:val="28"/>
                                <w:szCs w:val="28"/>
                              </w:rPr>
                              <w:t>UZROCI</w:t>
                            </w:r>
                            <w:r w:rsidR="006C2745" w:rsidRPr="00BE7685">
                              <w:rPr>
                                <w:b/>
                                <w:noProof/>
                                <w:spacing w:val="4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AC1F0" id="AutoShape 47" o:spid="_x0000_s1040" style="position:absolute;left:0;text-align:left;margin-left:-24.8pt;margin-top:-394.15pt;width:164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" fillcolor="white [3212]" strokecolor="white [3212]" strokeweight="1pt">
                <v:stroke dashstyle="dash"/>
                <v:shadow color="#868686"/>
                <v:textbox>
                  <w:txbxContent>
                    <w:p w:rsidR="006C2745" w:rsidRPr="00BE7685" w:rsidRDefault="00BE7685" w:rsidP="00B2243A">
                      <w:pPr>
                        <w:jc w:val="center"/>
                        <w:rPr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40"/>
                          <w:sz w:val="28"/>
                          <w:szCs w:val="28"/>
                        </w:rPr>
                        <w:t>UZROCI</w:t>
                      </w:r>
                      <w:r w:rsidR="006C2745" w:rsidRPr="00BE7685">
                        <w:rPr>
                          <w:b/>
                          <w:noProof/>
                          <w:spacing w:val="4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47AE" w:rsidRPr="00BE7685" w:rsidRDefault="00BE7685" w:rsidP="00B747AE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Na</w:t>
      </w:r>
      <w:r w:rsidR="00B747A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B747A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sprovedenih</w:t>
      </w:r>
      <w:r w:rsidR="00B747A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analiza</w:t>
      </w:r>
      <w:r w:rsidR="00B747A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identifikovani</w:t>
      </w:r>
      <w:r w:rsidR="00B747A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B747A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sledeći</w:t>
      </w:r>
      <w:r w:rsidR="00B747A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osnovni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uzroci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B03B34" w:rsidRPr="00BE7685" w:rsidRDefault="00B747AE" w:rsidP="00FA3701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nizak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nivo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poreske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uglavnom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prouzrokovan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nepoverenjem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institucije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netransparentnim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trošenjem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nedovoljnom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informisanošću</w:t>
      </w:r>
      <w:r w:rsidR="0066359D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korupcijom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747AE" w:rsidRPr="00BE7685" w:rsidRDefault="00B747AE" w:rsidP="00FA3701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komplikovan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regulatorni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okvir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podložan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čestim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promenama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nedoslednom</w:t>
      </w:r>
      <w:r w:rsidR="002E4BA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nedovoljnim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poznavanjem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slabim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kapacitetima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747AE" w:rsidRPr="00BE7685" w:rsidRDefault="00B747AE" w:rsidP="00FA3701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relativno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visoka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poreska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neporeska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opterećenja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dodatnim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barijerama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visokim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administrativnim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troškovima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građane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747AE" w:rsidRPr="00BE7685" w:rsidRDefault="00B747AE" w:rsidP="00FA3701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relativno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visok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korupcije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tolerancije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sivoj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ekonomiji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inspekcija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sudstvo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policija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B03B34" w:rsidRPr="00BE7685" w:rsidRDefault="00B747AE" w:rsidP="00FA3701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visoka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nezaposlenosti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siromaštvo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747AE" w:rsidRPr="00BE7685" w:rsidRDefault="00BE7685" w:rsidP="00B747AE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Posledice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747AE" w:rsidRPr="00BE7685" w:rsidRDefault="00B747AE" w:rsidP="00FA3701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nelojalna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konkurencija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prouzrokuju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posluju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zoni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dovodi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zatvaranja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poštuju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njihovog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tokove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otpuštanja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radnika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smanjenja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investicija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747AE" w:rsidRPr="00BE7685" w:rsidRDefault="00B747AE" w:rsidP="00FA3701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manji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budžetski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prihodi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prouzrokuju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lošije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zdravstvo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policija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sudstvo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itd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24B09" w:rsidRPr="00BE7685" w:rsidRDefault="00B747AE" w:rsidP="00D80DDC">
      <w:pPr>
        <w:pStyle w:val="ListParagraph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narušavanje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izostanak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uplate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doprinosa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penzijsko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invalidsko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zdravstveno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nezaposlenosti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povrede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studente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angažovane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studentske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zadruge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ugrožen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zdravstvena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ispravnost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3B34" w:rsidRPr="00BE7685" w:rsidRDefault="00BE7685" w:rsidP="00B03B3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predstavlja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ključni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korak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uspostavljanju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predvidivog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stabilnog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okruženja</w:t>
      </w:r>
      <w:r w:rsidR="00602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602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ravnopravne</w:t>
      </w:r>
      <w:r w:rsidR="00602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tržišne</w:t>
      </w:r>
      <w:r w:rsidR="00602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utakmice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zahteva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koordinisane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napore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2B4F2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učesnika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tržištu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Represivne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daju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rezultate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kratak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rok</w:t>
      </w:r>
      <w:r w:rsidR="002B4F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nisu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dovoljne</w:t>
      </w:r>
      <w:r w:rsidR="0066359D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Jedino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rešenja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može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uticati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dugoročno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smanjenje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njenih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posledica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6359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66359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66359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navedenim</w:t>
      </w:r>
      <w:r w:rsidR="0066359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ostvariti</w:t>
      </w:r>
      <w:r w:rsidR="002B4F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interes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2B4F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cilju</w:t>
      </w:r>
      <w:r w:rsidR="002B4F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transparentnosti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interakcije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između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imalaca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ovlašćenja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obveznika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već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među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samim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poreskim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obveznicima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16DC1" w:rsidRPr="00BE7685" w:rsidRDefault="00616DC1" w:rsidP="00B03B3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3B34" w:rsidRPr="00BE7685" w:rsidRDefault="00BE7685" w:rsidP="00B03B3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Sprovedene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vezi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obimom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pojavnim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oblicima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institucionalnim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kapacitetima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njihovo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DE2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ukazale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ključne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sistemske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nedostatke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vezi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glavnih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uzroka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dale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smernice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formulisanje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osnovnih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načela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mera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sprovesti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Akcioni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</w:t>
      </w:r>
      <w:r w:rsidR="00B03B34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616DC1" w:rsidRPr="00BE7685" w:rsidRDefault="00616DC1" w:rsidP="004C181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03B34" w:rsidRPr="00BE7685" w:rsidRDefault="00BE7685" w:rsidP="00B03B3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Stoga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Vlada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usvaja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pristupa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njegovom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osnovnim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učešća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BDP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Republike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Srbije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30,1%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FD1F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26,7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%,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realizacijom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sledećih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posebnih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ciljeva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: </w:t>
      </w:r>
    </w:p>
    <w:p w:rsidR="00B03B34" w:rsidRPr="00BE7685" w:rsidRDefault="00BE7685" w:rsidP="00FA3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efikasniji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tokovima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;</w:t>
      </w:r>
    </w:p>
    <w:p w:rsidR="00B03B34" w:rsidRPr="00BE7685" w:rsidRDefault="00BE7685" w:rsidP="00FA3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fiskalnog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03B34" w:rsidRPr="00BE7685" w:rsidRDefault="00BE7685" w:rsidP="00FA3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smanjenje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administrativnog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A65A2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65A2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parafiskalnog</w:t>
      </w:r>
      <w:r w:rsidR="00A65A2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;</w:t>
      </w:r>
    </w:p>
    <w:p w:rsidR="00B03B34" w:rsidRPr="00BE7685" w:rsidRDefault="00BE7685" w:rsidP="00FA37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podizanje</w:t>
      </w:r>
      <w:r w:rsidR="00364F8A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suzbijanja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motivacija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3B34" w:rsidRPr="00BE7685" w:rsidRDefault="00B03B34" w:rsidP="00FC1D45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BE7685" w:rsidP="00FC1D45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uspešno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vodila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borba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C1D4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njeno</w:t>
      </w:r>
      <w:r w:rsidR="00FC1D4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moraju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uključiti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9A43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organizacije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jer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smanjenjem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neformalne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ostvaruju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koristi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celokupno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društvo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207D55" w:rsidRPr="00BE7685" w:rsidRDefault="00207D55" w:rsidP="00E9675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E17BB3" w:rsidRPr="00BE7685" w:rsidRDefault="00E17BB3" w:rsidP="00E17BB3">
      <w:pPr>
        <w:autoSpaceDE w:val="0"/>
        <w:autoSpaceDN w:val="0"/>
        <w:adjustRightInd w:val="0"/>
        <w:spacing w:line="276" w:lineRule="auto"/>
        <w:ind w:left="180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II.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STRATEŠKI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INSTITUCIONALNI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PRAVNI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OKVIR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IZRADU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</w:p>
    <w:p w:rsidR="00E96758" w:rsidRPr="00BE7685" w:rsidRDefault="00E96758" w:rsidP="00E17B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03B34" w:rsidRPr="00BE7685" w:rsidRDefault="00BE7685" w:rsidP="00FA370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Strateški</w:t>
      </w:r>
      <w:r w:rsidR="00156C15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okvir</w:t>
      </w:r>
      <w:r w:rsidR="00D274C6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     </w:t>
      </w:r>
    </w:p>
    <w:p w:rsidR="00B03B34" w:rsidRPr="00BE7685" w:rsidRDefault="00B03B34" w:rsidP="00B03B34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BE7685" w:rsidP="00C22597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strateški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komplementaran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ranije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usvojenim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dokumentima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obuhvataju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segmente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bitne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9/14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42/14 </w:t>
      </w:r>
      <w:r w:rsidR="00351851" w:rsidRPr="00BE7685">
        <w:rPr>
          <w:noProof/>
          <w:color w:val="000000"/>
          <w:spacing w:val="-3"/>
          <w:lang w:val="sr-Latn-CS"/>
        </w:rPr>
        <w:t>−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ispravka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A65DE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Akcionim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2015-2017.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31/15),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borbu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korupcije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C036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57/13)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Akcionim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borbu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korupcije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79/13),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pravosuđa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2013-2018.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57/13)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podršku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srednjih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preduzetništva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konkurentnosti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kcionim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planom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sprovođenje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podršku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malih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srednjih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preduzetništva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konkurentnosti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projekcijom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godinu</w:t>
      </w:r>
      <w:r w:rsidR="00C225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35/15)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istrage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finansijskog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kriminala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2016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43/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15)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B03B34" w:rsidRPr="00BE7685" w:rsidRDefault="00B03B34" w:rsidP="00C22597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BE7685" w:rsidP="00C22597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Predmet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određivanje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sistemskog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pristupa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B03B34" w:rsidRPr="00BE7685" w:rsidRDefault="00B03B34" w:rsidP="00C22597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F439DB" w:rsidRPr="00BE7685" w:rsidRDefault="00BE7685" w:rsidP="004C181C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obzirom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jedinstvena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politika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elemente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horizontalne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politike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manjoj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meri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obuhvaćene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strateškim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dokumentima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slučaj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obuhvaćena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Akcionim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2015-2017.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Komplementarnost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Nacionalnog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pratećim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akcionim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ogleda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opštem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skladu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principima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Evropskog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administrativnog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prostora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obezbeđenja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visokog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kvaliteta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građanima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subjektima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stvaranje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takve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značajno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doprineti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ekonomskoj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stabilnosti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povećanju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životnog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standarda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teži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ostvarenju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istog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aspekta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manje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opštosti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aspekta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inspekcijskih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bolje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saradnje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pravosudnim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organima</w:t>
      </w:r>
      <w:r w:rsidR="00AC3E5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suzbila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poslovnog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okruženja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opšteg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životnog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standarda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smanjenjem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administrativnih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barijera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udela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BDP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Republike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DA39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dva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dokumenta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postoji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delu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odnosi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DA39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unapređenje</w:t>
      </w:r>
      <w:r w:rsidR="00DA39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pravnog</w:t>
      </w:r>
      <w:r w:rsidR="00DA39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okvira</w:t>
      </w:r>
      <w:r w:rsidR="00DA39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DA39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zakonodavnog</w:t>
      </w:r>
      <w:r w:rsidR="00DA39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procesa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upravnih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procedura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tim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Nacionalni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osnovni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postizanje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svega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navedenog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34E5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funkciji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suzbijanja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svim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navedenim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jasno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može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uočiti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ciljeva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Nacionalnog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posebnim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ciljevima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posebno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unapređenjem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upravljanja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finansijama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nabavkama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povećanjem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pravne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sigurnosti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unapređenjem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poslovnog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okruženja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kvaliteta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pružanja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javnih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jačanjem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transparentnosti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etičnosti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odgovornosti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obavljanju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25029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DA39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Nadalje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nadovezuje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mere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posebno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uspostavljanje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kvalitetnije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vođenje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evidencija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pouzdanost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ažurnost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podataka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međusobna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povezanost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razmena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podataka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ogledati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strateško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planiranje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praćenje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planova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jednostavnijem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utvrđivanju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činjeničnog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stanja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praćenje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toka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predmeta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evidencije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donetih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rešenja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postupku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Značaj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prepoznat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drugih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brojnih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građanima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olakšale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brojne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administrativne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procedure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trenutno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opterećeni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Pored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navedenog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pripreman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skladu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postavljenim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ciljevima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učešće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zainteresovane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javnosti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uključivanjem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svih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zainteresovanih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celokupan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proces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potpuno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podrazumeva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princip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učešća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kreiranju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politike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ovoj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F439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9342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A46CC4" w:rsidRPr="00BE7685" w:rsidRDefault="00A46CC4" w:rsidP="004C181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64FC" w:rsidRPr="00BE7685" w:rsidRDefault="00BE7685" w:rsidP="004C181C">
      <w:pPr>
        <w:spacing w:line="276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Nacionalnom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strategijom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borbu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korupcije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2013</w:t>
      </w:r>
      <w:r w:rsidR="00B55363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2018</w:t>
      </w:r>
      <w:r w:rsidR="00963509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8B135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pratećim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Akcionim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</w:t>
      </w:r>
      <w:r w:rsidR="007C102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strategije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razrađuju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različitim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oblastima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utvrđen</w:t>
      </w:r>
      <w:r w:rsidR="0096350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značajan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stepen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korupcije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borbe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korupcije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pravosuđa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prevencije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korupcije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značajne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budući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korupcija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značajan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uzrok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mnogih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pojavnih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oblika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Nacionalni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nadovezuje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postavljene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ciljeve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strategije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borbu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korupcije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2013</w:t>
      </w:r>
      <w:r w:rsidR="00364F8A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2018</w:t>
      </w:r>
      <w:r w:rsidR="00364F8A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prateći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akcioni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strategije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posebno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6350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utvrđivanje</w:t>
      </w:r>
      <w:r w:rsidR="0096350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otklanjanje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nedostatka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pravnom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carinskog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pogoduju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korupciji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posebno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unaprediti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IT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carina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efikasne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primene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carinskih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predviđanje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uključivanju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185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Koordinacionog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tela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Operativne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grupe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koordinaciju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integrisanog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upravljanja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granicom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uspostavljanju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kontinuirane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saradnje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Koordinacionog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tela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integrisano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upravljanje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granicom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Koordinacione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sprovođenju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pilota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integrisane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graničnih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prelaza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unapređenjem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koordinacije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carine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inspekcija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policije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primenom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analize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kaznenih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sektorskim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propisima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izrečenih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kazni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usklađivanju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sektorskih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izvršenom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analizom</w:t>
      </w:r>
      <w:r w:rsidR="00A46CC4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6CC4" w:rsidRPr="00BE7685" w:rsidRDefault="00A46CC4" w:rsidP="00A460B6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3E64FC" w:rsidRPr="00BE7685" w:rsidRDefault="00BE7685" w:rsidP="00A460B6">
      <w:pPr>
        <w:spacing w:line="276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Jedan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prioriteta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strategije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reforme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pravosuđa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2013-2018.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predstavlja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poboljšanje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pravne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sigurnosti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vraćanje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poverenja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pravosudni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što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većoj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direktnoj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vezi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postavljenim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ciljem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Nacionalnog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uspostavljanje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bolje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saradnje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između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pravosudnih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inspekcijskih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svrhu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uspešnije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borbe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Strateško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upravljanje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pravosuđa</w:t>
      </w:r>
      <w:r w:rsidR="00963509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razrađeno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Akcioni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strategije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reforme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pravosuđa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2013-2018.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predstavlja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jednu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polaznih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uspostavljanje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kvalitetnog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borbu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imajući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vidu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dosadašnji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pristup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zasnovan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privremenim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rešenjima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nije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dao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odgovarajuće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rezultate</w:t>
      </w:r>
      <w:r w:rsidR="00153A95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Nadalje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Akcionim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planom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donosi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uz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predviđene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procesuiranja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krivičnih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prekršaja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stručnog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usavršavanja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uspešnijeg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carinu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tužioce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policiju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policiju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uspostavljanje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razmene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informacija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između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svih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učesnika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utvrđivanja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krivične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prekršajne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odgovornosti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uspostavljanje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posebnih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organizacionih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jedinica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tužilaštva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procesuiranje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krivičnih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stručnog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usavršavanja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tužilaca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policije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krivično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gonjenje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izvršilaca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krivičnih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stručnog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usavršavanja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sudija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krivično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gonjenje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izvršilaca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krivičnih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B1784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347B24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53A95" w:rsidRPr="00BE7685" w:rsidRDefault="00153A95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B1E73" w:rsidRPr="00BE7685" w:rsidRDefault="00BE7685" w:rsidP="00CB1E7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Direktna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Nacionalnog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podršku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malih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srednjih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preduzetništva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konkurentnosti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ogleda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prepoznavanju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jednog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glavnih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uzročnika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usporen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malih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srednjih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preduzetništva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zbog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velike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nelojalne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konkurencije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tim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Akcionim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planom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podršku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malih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srednjih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preduzetništva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konkurentnosti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projekcijom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godinu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okviru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Stuba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poslovnog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okruženja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predviđeno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donošenje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Nacionalnog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programa</w:t>
      </w:r>
      <w:r w:rsidR="00A46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CB1E73" w:rsidRPr="00BE7685" w:rsidRDefault="00CB1E73" w:rsidP="00CB1E73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A46CC4" w:rsidRPr="00BE7685" w:rsidRDefault="00BE7685" w:rsidP="00207D55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istrage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finansijskog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kriminala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</w:t>
      </w:r>
      <w:r w:rsidR="004352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2016</w:t>
      </w:r>
      <w:r w:rsidR="004352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predviđeni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ostalih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sledeći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ciljevi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uspostavljena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efikasna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organizacija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javnog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tužilaštva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suda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ojačani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kapaciteti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nosilaca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pravosudnih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funkcija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finansijskih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istraga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obuka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nosilaca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pravosudnih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funkcija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finansijskih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istraga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obuka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policijskih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službenika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većoj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direktnoj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postavljenim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uspostavljanje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pravosudnih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uspešnije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borbe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suzbijanju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sive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ekonomije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81BC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Navedenom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strategijom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određena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krivična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krivična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dužnosti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smatrati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krivičnim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delima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finansijskog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kriminala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korupcije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unapredio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kvalitet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pravosudnih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podigao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kapacitet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javnog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tužilaštva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predviđeno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višim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tužilaštvima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Beogradu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Novom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Sadu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Kragujevcu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Nišu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obrazuju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odeljenja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isključivo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bavila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krivičnim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gonjenjem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onih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krivičnih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kod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javljaju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oblici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finansijskog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kriminala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Pored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toga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predviđeno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formiranje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udarnih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grupa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složene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predmete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određivanje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službenika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pravosudnih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drugim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organima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naročito</w:t>
      </w:r>
      <w:r w:rsidR="00CB1E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spadaju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sprečavanje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pranja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novca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Narodna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banka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Agencija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registre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Centralni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registar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hartija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vrednosti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Agencija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privatizaciju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revizorska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institucija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katastar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nepokretnosti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Agencija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borbu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korupcije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Republički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fond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penzijsko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invalidsko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osiguranje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Republička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direkcija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imovinu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Republike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odgovarajuće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baze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podataka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itd</w:t>
      </w:r>
      <w:r w:rsidR="00207D5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</w:p>
    <w:p w:rsidR="00207D55" w:rsidRPr="00BE7685" w:rsidRDefault="00207D55" w:rsidP="00207D55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DA39FC" w:rsidRPr="00BE7685" w:rsidRDefault="00BE7685" w:rsidP="00A46CC4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navedenim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polazeći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utvrđenih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strateških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odrednica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datih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ranije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usvojenim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strateškim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dokumentima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donosi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dodatne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sadržaje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usklađeni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kontinuitet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prioritete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tim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strateškim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dokumentima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93420E" w:rsidRPr="00BE7685" w:rsidRDefault="0093420E" w:rsidP="00C225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03B34" w:rsidRPr="00BE7685" w:rsidRDefault="00BE7685" w:rsidP="00C225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posmatran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strateškom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okviru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zamenjuje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dosadašnji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ad hoc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pristup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uvodi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sistemsku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borbu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građana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rešio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ovaj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problem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vezi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navedenim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dosadašnje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dele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zajedničko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polazište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ciljeve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principe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predstavljaju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logičan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nastavak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nadogradnju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dosadašnje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politike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način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obezbeđen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kontinuitet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usklađenost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strateškog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dokumenta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dosadašnjim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preduzimane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E96758" w:rsidRPr="00BE7685" w:rsidRDefault="00E96758" w:rsidP="00C225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E17BB3" w:rsidRPr="00BE7685" w:rsidRDefault="00B55363" w:rsidP="00FA370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Institucionalni</w:t>
      </w:r>
      <w:r w:rsidR="00E17BB3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pravni</w:t>
      </w:r>
      <w:r w:rsidR="00E17BB3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okvir</w:t>
      </w:r>
      <w:r w:rsidR="00E17BB3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za</w:t>
      </w:r>
      <w:r w:rsidR="00E17BB3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izradu</w:t>
      </w:r>
      <w:r w:rsidR="00E17BB3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Nacionalnog</w:t>
      </w:r>
      <w:r w:rsidR="00E17BB3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programa</w:t>
      </w:r>
    </w:p>
    <w:p w:rsidR="00E17BB3" w:rsidRPr="00BE7685" w:rsidRDefault="00BE7685" w:rsidP="00E17BB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Odlukom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obrazovanju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Koordinacionog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usmeravanje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Službeni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glasnik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RS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br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140/14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24/15)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Vlada</w:t>
      </w:r>
      <w:r w:rsidR="0035185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35185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formirala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usmeravanje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daljem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tekstu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zadatkom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koordinira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usmerava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pripremi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E17BB3" w:rsidRPr="00BE7685" w:rsidRDefault="00E17BB3" w:rsidP="00E17BB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E17BB3" w:rsidRPr="00BE7685" w:rsidRDefault="00BE7685" w:rsidP="00E17BB3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Istom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odlukom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obrazovana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Stručna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grupa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Koordinacionog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tekstu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Stručna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grupa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zadatkom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pripremi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podnese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Koordinacionom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Nacrt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nacionalnog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Nacrtom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akcionog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E17BB3" w:rsidRPr="00BE7685" w:rsidRDefault="00E17BB3" w:rsidP="00E17BB3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E17BB3" w:rsidRPr="00BE7685" w:rsidRDefault="00BE7685" w:rsidP="00E17BB3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Stručne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grupe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učestvuju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Kabinet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predsednika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Vlade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lokalne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samouprave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turizma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telekomunikacija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zapošljavanje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boračka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socijalna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pitanja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pravde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unutrašnjih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Republički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sekretarijat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politike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alijansa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lokalni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ekonomski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Savez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fer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konkurenciju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komora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E17BB3" w:rsidRPr="00BE7685" w:rsidRDefault="00E17BB3" w:rsidP="00E17BB3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553BAC" w:rsidRPr="00BE7685" w:rsidRDefault="00BE7685" w:rsidP="00E17BB3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ovaj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obezbeđeno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ključni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čijoj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nadležnosti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različitih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pojavnih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oblika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učestvuju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definisanju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osnovnih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ciljeva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načela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mera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predstavnicima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civilnog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društva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borba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zajednički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svih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njenih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Ujedno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ovim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omogućeno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ujedno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predlagači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svih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relevantnih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može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uticati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smanjenje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koordinisano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deluju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351851" w:rsidRPr="00BE7685" w:rsidRDefault="00351851" w:rsidP="00156C15">
      <w:pPr>
        <w:pStyle w:val="ListParagraph"/>
        <w:autoSpaceDE w:val="0"/>
        <w:autoSpaceDN w:val="0"/>
        <w:adjustRightInd w:val="0"/>
        <w:spacing w:line="276" w:lineRule="auto"/>
        <w:ind w:left="901" w:firstLine="2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 w:eastAsia="sr-Latn-CS"/>
        </w:rPr>
      </w:pPr>
    </w:p>
    <w:p w:rsidR="00B03B34" w:rsidRPr="00BE7685" w:rsidRDefault="00156C15" w:rsidP="00B82570">
      <w:pPr>
        <w:pStyle w:val="ListParagraph"/>
        <w:autoSpaceDE w:val="0"/>
        <w:autoSpaceDN w:val="0"/>
        <w:adjustRightInd w:val="0"/>
        <w:spacing w:line="276" w:lineRule="auto"/>
        <w:ind w:left="0" w:firstLine="2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 w:eastAsia="sr-Latn-CS"/>
        </w:rPr>
        <w:t>II</w:t>
      </w:r>
      <w:r w:rsidR="00E17B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 w:eastAsia="sr-Latn-CS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 w:eastAsia="sr-Latn-C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ANALIZA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STANJA</w:t>
      </w:r>
    </w:p>
    <w:p w:rsidR="00E96758" w:rsidRPr="00BE7685" w:rsidRDefault="00E96758" w:rsidP="00B03B34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3B34" w:rsidRPr="00BE7685" w:rsidRDefault="00BE7685" w:rsidP="00B03B34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obuhvata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stvorene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zaobilaze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izbegavaju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oporezivanje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praćenje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 </w:t>
      </w:r>
    </w:p>
    <w:p w:rsidR="000E2009" w:rsidRPr="00BE7685" w:rsidRDefault="00BE7685" w:rsidP="00A460B6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statističkog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stanovišta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razvrstava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registrovanu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neregistrovanu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aspekta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zakonitosti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legalnu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nelegalnu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fiskalnog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ugla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oporezovanu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oporezivu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prikriva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ceo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prihod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njegov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ostalu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postoje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jasni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poreski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obavlja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skladu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prazninama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414E7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pravnoj</w:t>
      </w:r>
      <w:r w:rsidR="00414E7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regulativi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Posebno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veliki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problem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predstavlja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crna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ekonomija</w:t>
      </w:r>
      <w:r w:rsidR="00A01D1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čije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obavljanje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povezano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kriminalnim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poslovima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koja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takođe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obuhvaćena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ovim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strateškim</w:t>
      </w:r>
      <w:r w:rsidR="00B8257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dokumentom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EA4975" w:rsidRPr="00BE7685" w:rsidRDefault="00EA4975" w:rsidP="00A460B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03B34" w:rsidRPr="00BE7685" w:rsidRDefault="00BE7685" w:rsidP="00207D55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MIMIC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metodu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iznosi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BDP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nas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zemljom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izuzetno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visokim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stepenom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izbegavanja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prosek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državama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regiona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iznosi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22-33%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BDP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razvijene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zemlje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Zapadne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Evrope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dostižu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cifru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15%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BDP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zoni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). </w:t>
      </w:r>
    </w:p>
    <w:p w:rsidR="00207D55" w:rsidRPr="00BE7685" w:rsidRDefault="00207D55" w:rsidP="00207D55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B03B34" w:rsidP="00B03B34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drawing>
          <wp:inline distT="0" distB="0" distL="0" distR="0" wp14:anchorId="4F50490F" wp14:editId="560FA388">
            <wp:extent cx="5715778" cy="28263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62" cy="283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B34" w:rsidRPr="00BE7685" w:rsidRDefault="00BE7685" w:rsidP="00B03B34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Grafikon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1.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Procenjen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obim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evropskim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zemljama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–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izvor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Evropska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komisija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FREN</w:t>
      </w:r>
      <w:r w:rsidR="00B03B34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(2013)</w:t>
      </w:r>
    </w:p>
    <w:p w:rsidR="00B03B34" w:rsidRPr="00BE7685" w:rsidRDefault="00B03B34" w:rsidP="00B03B34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BE7685" w:rsidP="004C6B00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doprinosi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socijalno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osiguranje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prenaglašenija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regulacija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stope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nezaposlenosti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niži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stepen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ekonomskog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slabiji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kvalitet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institucija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tolerantniji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stavovi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korupciji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</w:p>
    <w:p w:rsidR="004C6B00" w:rsidRPr="00BE7685" w:rsidRDefault="004C6B00" w:rsidP="004C6B00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A43CED" w:rsidP="00A43CED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1.1.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Sankcionisanje</w:t>
      </w: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sive</w:t>
      </w: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ekonomije</w:t>
      </w:r>
    </w:p>
    <w:p w:rsidR="00B03B34" w:rsidRPr="00BE7685" w:rsidRDefault="00B03B34" w:rsidP="00B03B34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BE7685" w:rsidP="00B03B34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Trenutno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postupak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primenjuje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državnoj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upravi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79/05, 101/07, 95/10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9</w:t>
      </w:r>
      <w:r w:rsidR="000E20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9/14)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brojni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podzakonski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Pored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toga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brojne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instrukcije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uputstava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mišljenja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tumačenja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koriste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svom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radu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aprilu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usvojen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(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36/15),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uređuje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sadržina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vrste</w:t>
      </w:r>
      <w:r w:rsidR="007A59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postupak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ovlašćenja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učesnika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pitanja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značaja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Ovim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zakonom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predviđena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odložena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pojedinih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odredaba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ali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posebno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značajno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odredbe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</w:t>
      </w:r>
      <w:r w:rsidR="002F2DD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</w:t>
      </w:r>
      <w:r w:rsidR="002F2DD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</w:t>
      </w:r>
      <w:r w:rsidR="002F2DD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neregistrovanim</w:t>
      </w:r>
      <w:r w:rsidR="002F2DD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subjektima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počele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primenjuju</w:t>
      </w:r>
      <w:r w:rsidR="008B3C9F" w:rsidRPr="00BE7685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8B3C9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jula</w:t>
      </w:r>
      <w:r w:rsidR="008B3C9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time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popunjena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dosadašnja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praznina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Puna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predviđena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30.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aprila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fazna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primena</w:t>
      </w:r>
      <w:r w:rsidR="00EA49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EA4975" w:rsidRPr="00BE7685" w:rsidRDefault="00EA4975" w:rsidP="00B03B34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351851" w:rsidRPr="00BE7685" w:rsidRDefault="00351851" w:rsidP="00B03B34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E4537E" w:rsidRPr="00BE7685" w:rsidRDefault="00BE7685" w:rsidP="00B03B34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Punom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primenom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inspekcijskom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nadzoru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važeći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regulatorni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vršenje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biće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lišen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ograničenja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inspektora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2F2DD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predvideo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rešenja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trenutne</w:t>
      </w:r>
      <w:r w:rsidR="00EF4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probleme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preklapanja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nejasnoće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pogledu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konkretnom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slučaju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937A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negativan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uticaj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slučaju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nepostojanja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slučaju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preklapanja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trpe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različitih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neretko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različita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stanovišta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pitanju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2C194B" w:rsidRPr="00BE7685" w:rsidRDefault="00B03B34" w:rsidP="00B03B34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B03B34" w:rsidRPr="00BE7685" w:rsidRDefault="00BE7685" w:rsidP="00E96758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određenim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definisan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regulatorni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razrađen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kroz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podzakonske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kraja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sproveden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čime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njegova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puna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onemogućena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primer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skladu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čl</w:t>
      </w:r>
      <w:r w:rsidR="00E4537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23.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24.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bezbednosti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hrane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41/09)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predviđeno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osnivanje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Stručnog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saveta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rizika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bezbednosti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čiji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zadatak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873CB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ostalog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metoda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rizika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bezbednosti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još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uvek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počeo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bezbednosti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sprovodi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prethodno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sprovedenih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analiza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rizika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E96758" w:rsidRPr="00BE7685" w:rsidRDefault="00E96758" w:rsidP="00E96758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BE7685" w:rsidP="00E96758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Nadalje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postoje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nedostaci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saradnji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između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jedne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policije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tužilaštva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sudova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druge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posledicu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neznatan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stepen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sankcionisanja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počinilaca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kaznenih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kontrolom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inspektora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Inspektori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nisu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dovoljno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obučeni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podnošenje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prijava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kazneno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delo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odnosno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zahteva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pokretanje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prijava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prestup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krivičnih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prijava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vođenja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postupaka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sudovima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budući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dolaze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različitih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struka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često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poznaju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dovoljno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dobro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nedostaci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prijavama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inspektori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podnose</w:t>
      </w:r>
      <w:r w:rsidR="00E4537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protiv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subjekta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nadzora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otvaraju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veću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mogućnost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odbranu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čak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dovode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odbacivanja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prijava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stoga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velikom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broju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slučajeva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subjekti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povrede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ostaju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nekažnjeni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CC0FD2" w:rsidRPr="00BE7685">
        <w:rPr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Takođe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podnetim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zahtevima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pokretanje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prekršajnog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postupka</w:t>
      </w:r>
      <w:r w:rsidR="000803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dalje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veliki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broj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zastarelih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postupaka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obustava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postupka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izrečenih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opomena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prekida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postupka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prilikom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rešavanja</w:t>
      </w:r>
      <w:r w:rsidR="00570FD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CC0F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prvostepenom</w:t>
      </w:r>
      <w:r w:rsidR="00CC0F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organu</w:t>
      </w:r>
      <w:r w:rsidR="00CC0F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CC0F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vođenje</w:t>
      </w:r>
      <w:r w:rsidR="00CC0F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prekršajnog</w:t>
      </w:r>
      <w:r w:rsidR="00CC0F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postupka</w:t>
      </w:r>
      <w:r w:rsidR="00CC0F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godini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okončano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samo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46%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pokrenutih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postupaka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prosečnim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trajanjem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168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Takođe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ukupnog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iznosa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izrečenih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novčanih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kazni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naplaćeno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samo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40,51% 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izvor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: </w:t>
      </w:r>
      <w:r w:rsidR="005918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NALED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Analiza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kapacitetima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osnovu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podataka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dobijenih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29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sudova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).</w:t>
      </w:r>
    </w:p>
    <w:p w:rsidR="00E4537E" w:rsidRPr="00BE7685" w:rsidRDefault="00E4537E" w:rsidP="002C194B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03B34" w:rsidRPr="00BE7685" w:rsidRDefault="00BE7685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Pogodni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uslovi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pojavu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prilikom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uvoza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distribucije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kroz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tokove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neposredne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štete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nanosi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budžetu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Republike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zbog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neplaćanja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bezbednost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podleže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veliki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rizik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bezbednost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zdravlje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potrošača</w:t>
      </w:r>
      <w:r w:rsidR="00E641E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E641E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pritom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11E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stvara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641E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nelojalna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privrednicima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legalno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posluju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preciziranje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granične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obezbeđenja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granične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Granična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fitosanitarna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Granična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veterinarska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postavljen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donošenjem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Zakona</w:t>
      </w:r>
      <w:r w:rsidR="00E641E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E641E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zaštiti</w:t>
      </w:r>
      <w:r w:rsidR="00E641E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državne</w:t>
      </w:r>
      <w:r w:rsidR="00E641E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granice</w:t>
      </w:r>
      <w:r w:rsidR="006C48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6C48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6C48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6C48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</w:t>
      </w:r>
      <w:r w:rsidR="006C48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97/08</w:t>
      </w:r>
      <w:r w:rsidR="006C48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6C48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20/18-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</w:t>
      </w:r>
      <w:r w:rsidR="006C48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usvajanjem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Sporazuma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saradnji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integrisanog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upravljanja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zaključenog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2009.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unutrašnjih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poljoprivrede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šumarstva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vodoprivrede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infrastrukturu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usvajanjem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integrisanog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upravljanja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E641E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111/12).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omogućilo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nesmetano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funkcionisanje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pouzdanog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odlukom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Vlade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2009.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formirano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Koordinaciono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sprovođenje</w:t>
      </w:r>
      <w:r w:rsidR="0073454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integrisanog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upravljanja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zadatkom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ostalog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nadgleda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integrisanog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upravljanja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tekstu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IUG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međunarodnom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koordinira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unutrašnjih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Operativna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grupa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integrisanog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upravljanja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centralnom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zadatkom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kontinuirano</w:t>
      </w:r>
      <w:r w:rsidR="00B6796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ažurira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Strategiju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IUG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Akcioni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koordinira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realizaciju</w:t>
      </w:r>
      <w:r w:rsidR="00B6796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38764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koordinisanog</w:t>
      </w:r>
      <w:r w:rsidR="0038764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38764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efikasnog</w:t>
      </w:r>
      <w:r w:rsidR="0038764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sprovođenja</w:t>
      </w:r>
      <w:r w:rsidR="0038764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granice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davanja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inicijativa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unapređenje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utvrđenih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pravila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procedura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38764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zauzimanja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spornim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pitanjima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utvrđivanja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mehanizama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dinamike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razmenu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informacija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još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polovini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2005.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rešenjem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direktora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formirana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Komisija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inspekcijskih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daljem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tekstu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Komisija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radu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Komisije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predstavnicima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Odeljenja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integrisanu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tarifu</w:t>
      </w:r>
      <w:r w:rsidR="0055634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7150B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TARIS</w:t>
      </w:r>
      <w:r w:rsidR="007150B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instrumente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spoljnotrgovinske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zaštite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akcize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učestvuju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predstavnici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zdravlja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Granične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sanitarne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poljoprivrede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zaštite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životne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Granične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veterinarske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inspekcije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Granične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fitosanitarne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predstavnici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zaštitom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životne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zaštićene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biljne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životinjske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vrste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opasne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hemikalije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otpad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slično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Ipak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pokazala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sastav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komisije</w:t>
      </w:r>
      <w:r w:rsidR="0073454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dovoljan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adekvatnu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rizičnih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akcizni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ključno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obezbedi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prisustvo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trenutku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sprovodi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moguće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kroz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institut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obustave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carinjenja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Naime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ukoliko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uzme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uzorak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uvezene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količine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analizu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čeka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nekoliko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pošiljka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pusti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moguće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sprečiti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prodaju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tržištu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kroz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nelegalne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kanale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rezultati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uzoraka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dobijeni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MUP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mogu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reagovati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Stoga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neophodno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Komisije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uključiti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svega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predstavnike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policije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model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carina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351851" w:rsidRPr="00BE7685" w:rsidRDefault="00351851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9F526C" w:rsidRPr="00BE7685" w:rsidRDefault="009F526C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03B34" w:rsidRPr="00BE7685" w:rsidRDefault="00BE7685" w:rsidP="002F2DDA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Sankcionisanje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pojavnih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regulisano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sektorskim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neretko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međusobno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neusklađeni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često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menjaju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njihovog</w:t>
      </w:r>
      <w:r w:rsidR="00D84B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sankcionisanja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nedosledna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Potrebno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izmeniti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sankcije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normativno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prilagode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ozbiljnosti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prestupa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ekonomskoj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snazi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predmet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podstakao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stepen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poštovanja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subjekata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istovremeno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ostvari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svrha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kažnjavanja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opšta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prevencija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pokazuju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nemaju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poverenje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sankcionisanja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privrednih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subjekata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posluju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skladu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naime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deset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privrednika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veruje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posluju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zoni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otkrivena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svaki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kažnjeno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svaki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osmi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kazna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naplaćena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Ovaj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utisak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potkrepljuju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primeri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nedostataka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inspekcijskom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nadzoru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mogu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vide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kroz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primer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maloprodajnih</w:t>
      </w:r>
      <w:r w:rsidR="0085074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časa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dnevno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prijavljenog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zaposlenog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postupku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utvrđene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nepravilnosti</w:t>
      </w:r>
      <w:r w:rsidR="007150B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jer</w:t>
      </w:r>
      <w:r w:rsidR="007150B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</w:t>
      </w:r>
      <w:r w:rsidR="007150B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poštuje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propise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uređuju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radni</w:t>
      </w:r>
      <w:r w:rsidR="00DD6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imajući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vidu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visinu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dažbina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opterećenja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trgovini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naftom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naftnim</w:t>
      </w:r>
      <w:r w:rsidR="002C65C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derivatima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kontinuiran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interes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lica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izbegavanjem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dažbina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navedenim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crnoj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zoni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postojeći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dovoljno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čvrst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pravni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institucionalni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potpunosti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kontrolisao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pojavu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ostalog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poslovima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veleprodaje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maloprodaje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skladištenja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nafte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naftnih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derivata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društva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licence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odgovarajuće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energetske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delatnosti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važećih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licenci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neuporedivo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licenci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zemljama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okruženju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Licence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izdaju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deset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energetici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145/14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tom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provere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ispunjenosti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posedovanje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licence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potrebno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unaprediti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omogućila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kontinuirana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sveobuhvatna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koordinisana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ispunjenosti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imaoca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licence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regulatornih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–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Tržišne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Agencije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energetiku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nadležnog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energetike</w:t>
      </w:r>
      <w:r w:rsidR="00B03B3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</w:p>
    <w:p w:rsidR="00887BA1" w:rsidRPr="00BE7685" w:rsidRDefault="00887BA1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761BD" w:rsidRPr="00BE7685" w:rsidRDefault="00A43CED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1.2.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Poreska</w:t>
      </w:r>
      <w:r w:rsidR="00850741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politika</w:t>
      </w:r>
      <w:r w:rsidR="00850741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fiskalno</w:t>
      </w:r>
      <w:r w:rsidR="004352C3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parafiskalno</w:t>
      </w: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</w:t>
      </w: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administrativno</w:t>
      </w: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opterećenje</w:t>
      </w: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privrede</w:t>
      </w:r>
    </w:p>
    <w:p w:rsidR="000761BD" w:rsidRPr="00BE7685" w:rsidRDefault="000761BD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565A82" w:rsidRPr="00BE7685" w:rsidRDefault="00BE7685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utiču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visina</w:t>
      </w:r>
      <w:r w:rsidR="00373AA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predvidivost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struktura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efikasnost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administracije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naplati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kaznena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politika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složenost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pravičnost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565A82" w:rsidRPr="00BE7685" w:rsidRDefault="00565A82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41502" w:rsidRPr="00BE7685" w:rsidRDefault="00BE7685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Naime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povećanje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nekonzistentna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politika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čine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neformalnom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primamljivijim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Ukupno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opterećenje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mereno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odnosom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BDP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umereno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približno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nivou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proseka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drugih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zemalja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Centralne</w:t>
      </w:r>
      <w:r w:rsidR="0073454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Istočne</w:t>
      </w:r>
      <w:r w:rsidR="0073454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Evrope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fiskalno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opterećenje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mereno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učešćem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zarade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doprinosa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socijalno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osiguranje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ukupnim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troškovima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relativno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visoko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apsolutnom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iznosu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razvijenosti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zemlje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visina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poreskog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dohodaka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naročito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doprinosima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socijalno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osiguranje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značajan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uzrok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Kada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subjekti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posluju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sivoj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zoni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svoje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poslovanje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uvode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legalne</w:t>
      </w:r>
      <w:r w:rsidR="00A321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tokove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uključujući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neformalno</w:t>
      </w:r>
      <w:r w:rsidR="00F71CC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samozaposlene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obično</w:t>
      </w:r>
      <w:r w:rsidR="00CA3B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čini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prijavljivanjem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zaposlenih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utvrđene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minimalne</w:t>
      </w:r>
      <w:r w:rsidR="00967B4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zarade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visoko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jasnu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prepreku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formalizaciji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tražnje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Dodatno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minimalnih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doprinosa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socijalno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osiguranje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ograničava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formalan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nepunim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vremenom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9C47D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59546E" w:rsidRPr="00BE7685" w:rsidRDefault="0059546E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41502" w:rsidRPr="00BE7685" w:rsidRDefault="00BE7685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Poseban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problem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predstavljaju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iznenadne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izmene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poreskog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onemogućavaju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predvidljivost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poslovanja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otežavaju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ispunjavanje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usvojenih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poslovnih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planova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održivost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poslovanja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uopšte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naročito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kada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pitanju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srednja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Dodatno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takve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promene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izazivaju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nagle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neplanirane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izmene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maloprodajnih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samim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tim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poremećaje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tržištu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narušavanja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konkurentnosti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subjekata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legalno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posluju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poslovanjem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subjekata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zone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naročito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akcizne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primer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naftni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derivati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duvanski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usled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činjenice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najveći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deo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maloprodajne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cene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kod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ovih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proizvoda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čine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davanja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Uvažavajući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neophodnost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izmene</w:t>
      </w:r>
      <w:r w:rsidR="00FA697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fiskalnog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pojedinim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oblastima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najčešće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usled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usklađivanja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preporukama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fiskalne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politike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najadekvatnije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rešenje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nesumnjivo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usvajanje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strateških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dokumenata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dugoročnim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planovima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kalendarima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poreskog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opterećenja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ovim</w:t>
      </w:r>
      <w:r w:rsidR="00A63F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oblastima</w:t>
      </w:r>
      <w:r w:rsidR="00910D7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E17BB3" w:rsidRPr="00BE7685" w:rsidRDefault="00E17BB3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41502" w:rsidRPr="00BE7685" w:rsidRDefault="00BE7685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kazni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izbegavanje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967B4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relativno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dobro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normativno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definisan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pogledu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vrsta</w:t>
      </w:r>
      <w:r w:rsidR="009C47D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iznosa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kazni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pogledu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određivanja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Ipak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neodgovarajuća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nedosledna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raspoloživih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kaznenih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mehanizama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faktor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podsticanja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rasta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967B4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ustaljena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država</w:t>
      </w:r>
      <w:r w:rsidR="00B415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</w:t>
      </w:r>
      <w:r w:rsidR="00B415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vremena</w:t>
      </w:r>
      <w:r w:rsidR="00B415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B415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vreme</w:t>
      </w:r>
      <w:r w:rsidR="00B415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izvrši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otpis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potraživanja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kamata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neblagovremeno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budućnosti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nastave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redovno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obveznici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redovno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izmiruju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stavljaju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neravnopravan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položaj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podstiče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ponašanje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principu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moralnog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hazarda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negativno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utiče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buduću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spremnost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pravovremeno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izmirenje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neophodno</w:t>
      </w:r>
      <w:r w:rsidR="00B415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izmeniti</w:t>
      </w:r>
      <w:r w:rsidR="00967B4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paralelno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doslednim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sankcionisanjem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nepoštovanja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uspostaviti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institucionalnog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prepoznavanja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olakšica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redovno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izmiruju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7A3838" w:rsidRPr="00BE7685" w:rsidRDefault="007A3838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B41502" w:rsidRPr="00BE7685" w:rsidRDefault="00BE7685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Složenost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ogleda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postojanju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velikog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složenosti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pravila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obračun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taksi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utiče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slučaju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velikog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različitih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vrsta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javnih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složenosti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pravila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obračun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mogućnost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dobre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specijalizacije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inspektora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B415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smanjuje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verovatnoću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otkrivanja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utaje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ovakvim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slučajevima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može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doći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nenameravanog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izbegavanja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zbog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neinformisanosti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postojanju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neposedovanja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dovoljno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znanja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ispravan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obračun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B41502" w:rsidRPr="00BE7685" w:rsidRDefault="00B41502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2C194B" w:rsidRPr="00BE7685" w:rsidRDefault="00BE7685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Analiza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regulišu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neporeski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parafiskalni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7330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8269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2014.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58269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sprovela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alijansa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lokalni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ekonomski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</w:t>
      </w:r>
      <w:r w:rsidR="005918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5918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daljem</w:t>
      </w:r>
      <w:r w:rsidR="005918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tekstu</w:t>
      </w:r>
      <w:r w:rsidR="005918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: NALED)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pokazala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privrednici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A05C5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najmanje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384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neporeska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čega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najveći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(277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72%)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namete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republičkom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Analiza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pokazala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postojeći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parafiskalih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967B4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karakteriše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:</w:t>
      </w:r>
    </w:p>
    <w:p w:rsidR="002C194B" w:rsidRPr="00BE7685" w:rsidRDefault="002C194B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-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odsustvo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jasnih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ciljeva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žele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postići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postojanjem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uvođenjem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novih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neporeskih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davanja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odsustvo</w:t>
      </w:r>
      <w:r w:rsidR="007500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obrazloženja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želi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finansirati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želi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investirati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namensko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trošenje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);</w:t>
      </w:r>
    </w:p>
    <w:p w:rsidR="00155A5C" w:rsidRPr="00BE7685" w:rsidRDefault="002C194B" w:rsidP="00591897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 xml:space="preserve">-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zakonski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uredio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celosti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konzistentan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pravičan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primenjuje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dosledno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slučaj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budžetskom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sistemu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–</w:t>
      </w:r>
      <w:r w:rsidR="0073454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„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155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54/09, 73/10, 101/10, 101/11, 93/12, 62/13, 63/13</w:t>
      </w:r>
      <w:r w:rsidR="0035185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351851" w:rsidRPr="00BE7685">
        <w:rPr>
          <w:noProof/>
          <w:color w:val="000000"/>
          <w:spacing w:val="-3"/>
          <w:lang w:val="sr-Latn-CS"/>
        </w:rPr>
        <w:t xml:space="preserve">−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ispravka</w:t>
      </w:r>
      <w:r w:rsidR="0073454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 108/13,</w:t>
      </w:r>
      <w:r w:rsidR="00155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142/14</w:t>
      </w:r>
      <w:r w:rsidR="0073454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73454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103/15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pokazuje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još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uvek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prostor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imaoci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ovlašćenja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odlukama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odluke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upravljanja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agencijama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prilično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„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slobodno</w:t>
      </w:r>
      <w:r w:rsidR="00013F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uvode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različite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;</w:t>
      </w:r>
    </w:p>
    <w:p w:rsidR="002C194B" w:rsidRPr="00BE7685" w:rsidRDefault="002C194B" w:rsidP="00CB06A0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-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upitna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funkcionalnost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institucionalnog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umanjena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uloga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finansija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pozicija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zahteva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potpunu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sliku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vrši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celovito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praćenje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institucionalni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parafiskalnih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Zbog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toga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dalje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događa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određena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resorna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ministarstva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sastavu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agencije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utvrđuju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elemente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iznose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parafiskalnih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mimo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utvrđenih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elemenata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procedura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smislu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indikativno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zaobilaženje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pravila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uređuje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izračunavanje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pružanje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budžetskom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prateći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Pravilnik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metodologiji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utvrđivanja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troškova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pružanja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usluge</w:t>
      </w:r>
      <w:r w:rsidR="002144B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- „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2144B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2144B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2144B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</w:t>
      </w:r>
      <w:r w:rsidR="002144B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17/13, 25/13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144B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99/13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);</w:t>
      </w:r>
    </w:p>
    <w:p w:rsidR="000C6A2D" w:rsidRPr="00BE7685" w:rsidRDefault="000C6A2D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2C194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-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nedovoljna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transparentnost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karakteriše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proces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uvođenja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prateće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definisanje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njihovih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osnovnih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elemenata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utiče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stvaranje</w:t>
      </w:r>
      <w:r w:rsidR="0059546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ambijenta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kome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obvezniku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vrlo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teško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administrativno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snađe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lavirintu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ovih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7A3838" w:rsidRPr="00BE7685" w:rsidRDefault="007A3838" w:rsidP="002C194B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C6A2D" w:rsidRPr="00BE7685" w:rsidRDefault="000C6A2D" w:rsidP="00CB06A0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Odsustvo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različitih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vlasti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različitih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9337F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9337F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često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dovodi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toga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dobro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taksi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dupliranje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čak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multipliciranje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taksi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).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npr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rudarstvu</w:t>
      </w:r>
      <w:r w:rsidR="002B015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B015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geološkim</w:t>
      </w:r>
      <w:r w:rsidR="002B015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istraživanjima</w:t>
      </w:r>
      <w:r w:rsidR="002B015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„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”,</w:t>
      </w:r>
      <w:r w:rsidR="002B015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2B015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E90C3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101</w:t>
      </w:r>
      <w:r w:rsidR="002B015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/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1</w:t>
      </w:r>
      <w:r w:rsidR="00E90C3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5</w:t>
      </w:r>
      <w:r w:rsidR="004103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),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propisuje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korišćenje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mineralnih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sirovina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podzemne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kojih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dobijaju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korisne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mineralne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sirovine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geotermalne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energije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vodama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2B015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(</w:t>
      </w:r>
      <w:r w:rsidR="00FD3D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„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FD3D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FD3D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FD3D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</w:t>
      </w:r>
      <w:r w:rsidR="00FD3D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113E4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30/10</w:t>
      </w:r>
      <w:r w:rsidR="0035185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113E4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93/12)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predviđa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korišćenje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termalne</w:t>
      </w:r>
      <w:r w:rsidR="00FD3D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Iako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</w:t>
      </w:r>
      <w:r w:rsidR="0089704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89704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vodama</w:t>
      </w:r>
      <w:r w:rsidR="0089704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propisuje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njegove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odredbe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podzemne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kojih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dobijaju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korisne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mineralne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sirovine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geotermalna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energija</w:t>
      </w:r>
      <w:r w:rsidR="00FD3D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nije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napravljena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distinkcija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ovih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vrsta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podzemnih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termalne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vode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praksi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dolazi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naknade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suprotnosti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stanovištem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zauzeo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Upravni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sud</w:t>
      </w:r>
      <w:r w:rsidR="00FC46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3E64F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upućuje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mogu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plaćati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naknade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istovremeno</w:t>
      </w:r>
      <w:r w:rsidR="00551A5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FD3D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  </w:t>
      </w:r>
    </w:p>
    <w:p w:rsidR="007A3838" w:rsidRPr="00BE7685" w:rsidRDefault="007A3838" w:rsidP="00CB06A0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9E7826" w:rsidRPr="00BE7685" w:rsidRDefault="00BE7685" w:rsidP="00547086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Reforma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parafiskalnih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obezbedila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predvidivost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transparentnost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neporeskih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nameta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redukovala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uticaje</w:t>
      </w:r>
      <w:r w:rsidR="00F87F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096A7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faktora</w:t>
      </w:r>
      <w:r w:rsidR="00096A7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96A7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sivu</w:t>
      </w:r>
      <w:r w:rsidR="00096A7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ekonomiju</w:t>
      </w:r>
      <w:r w:rsidR="00096A7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96A7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096A7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</w:p>
    <w:p w:rsidR="007A3838" w:rsidRPr="00BE7685" w:rsidRDefault="007A3838" w:rsidP="00547086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7A3838" w:rsidRPr="00BE7685" w:rsidRDefault="00BE7685" w:rsidP="00556925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pokazala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PDV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paušalno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vrlo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često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prijavljuju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mnogo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pazare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nego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zaista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E4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E4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lako</w:t>
      </w:r>
      <w:r w:rsidR="000E4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može</w:t>
      </w:r>
      <w:r w:rsidR="000E4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proveriti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izdatih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računa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Nadalje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ukrštanjem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podataka</w:t>
      </w:r>
      <w:r w:rsidR="009C47D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osnovnih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troškova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zarade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prijavili</w:t>
      </w:r>
      <w:r w:rsidR="009C47D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jasno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vidi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mogu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održavaju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kratkom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roku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9E782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AB022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duži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vremenski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</w:p>
    <w:p w:rsidR="00556925" w:rsidRPr="00BE7685" w:rsidRDefault="00556925" w:rsidP="00556925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662FB8" w:rsidRPr="00BE7685" w:rsidRDefault="00BE7685" w:rsidP="00591897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obzirom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fiskalnih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487AD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oko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191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4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00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obveznika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preduzetnika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pravnih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333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.000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inspektora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terenske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kojih</w:t>
      </w:r>
      <w:r w:rsidR="0055692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oko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F87F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500</w:t>
      </w:r>
      <w:r w:rsidR="00487AD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može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zaključiti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fizička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terenu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kako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sprovođena</w:t>
      </w:r>
      <w:r w:rsidR="00AE45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željene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rezultate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Imajući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vidu</w:t>
      </w:r>
      <w:r w:rsidR="00AE781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ograničene</w:t>
      </w:r>
      <w:r w:rsidR="00AE781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kapacitete</w:t>
      </w:r>
      <w:r w:rsidR="00AE781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AE781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činjenicu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informaciona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tehnologija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naprednija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trebalo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sagledati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iskoristiti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prednosti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ona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pruža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efikasnije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borbe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</w:p>
    <w:p w:rsidR="009748BA" w:rsidRPr="00BE7685" w:rsidRDefault="009748BA" w:rsidP="00CB06A0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761BD" w:rsidRPr="00BE7685" w:rsidRDefault="00BE7685" w:rsidP="00547086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Ujedno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jedan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značajnih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vidova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evazije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stimulisanja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obveznika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redovno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izmiruju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propisano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pojedinim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postupcima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sprovode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podrazumevaju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kontrolu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ispunjenosti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poreskih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obaveza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učesnika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tim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postupcima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nije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dovoljno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iskorišćen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tim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vezi</w:t>
      </w:r>
      <w:r w:rsidR="00966D6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propisima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javnih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nabavki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izričito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ponuđač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postupku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nabavke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mora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dokazati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između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ostalog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izmirio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dospele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doprinose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obaveze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Međutim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praksa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pokazala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institucije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nabavke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slede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uputstva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nabavke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vezi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dokazivanjem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ispunjenosti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naročito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postupcima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nabavki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vrednosti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Ujedno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praksi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postavilo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pitanje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ažurnosti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podataka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registru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ponuđača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upisana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registar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moraju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dokazivati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ispunjenost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ovih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dešava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izvršavaju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budu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ponuđači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postupcima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nabavki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Ovaj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mehanizam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potrebno</w:t>
      </w:r>
      <w:r w:rsidR="00A65DE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unaprediti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omogućiti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dostavljanje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informacija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neredovnim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platišama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Poreskoj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upravi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0761BD" w:rsidRPr="00BE7685" w:rsidRDefault="000761BD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61BD" w:rsidRPr="00BE7685" w:rsidRDefault="00A31896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1.3.</w:t>
      </w:r>
      <w:r w:rsidR="00662FB8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Poreska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kultura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,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informisanost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građana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privrede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o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negativnim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posledicama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sive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ekonomije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njihovim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uključivanjem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u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njeno</w:t>
      </w:r>
      <w:r w:rsidR="00A05C59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suzbijanje</w:t>
      </w:r>
    </w:p>
    <w:p w:rsidR="000761BD" w:rsidRPr="00BE7685" w:rsidRDefault="000761BD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87BA1" w:rsidRPr="00BE7685" w:rsidRDefault="00BE7685" w:rsidP="00E17BB3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stavova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godišnjem</w:t>
      </w:r>
      <w:r w:rsidR="008F1D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sprovodi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662FB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Ipsos Strategic Marketing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potrebe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NALED</w:t>
      </w:r>
      <w:r w:rsidR="00FC46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 w:eastAsia="sr-Latn-CS"/>
        </w:rPr>
        <w:t>decembra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pokazuju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konzistentne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rezultate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upućuju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većina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Republike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8F1D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86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%)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lično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podržava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borbu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Nadalje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polovine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Republike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 w:rsidR="008F1D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53</w:t>
      </w:r>
      <w:r w:rsidR="00843D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%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opravdava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gotovo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jednoglasni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oceni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nelegalno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ugrožava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smanjuje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ugrožava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zdravlje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bezbednost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potrošača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Ipak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pokazalo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veliki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procenat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prepoznaje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jasno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pojavne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dovoljna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njihovoj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neposrednoj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ulozi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Naime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svaki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šesti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građanin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Republike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kaže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prvom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mestu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smatraju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reč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neprijavljenom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(34%),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19%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razume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reč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prodaji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crno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računa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Ujedno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8F1D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82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doživljava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preživljavanja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siromašne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čak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46%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smatra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preživljavanja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firme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iako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izneli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zbog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nelojalne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konkurencije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posluje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sivoj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zoni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trpi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štetne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posledice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obaranje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smanjenje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nemogućnost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ulaganja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tehnološki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razvoj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zbog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smanjenja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nemogućnost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zapošljavanja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86%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ispitanika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podržava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nezakonitog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istovremeno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većina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prijavila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nelegalno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poslovanje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čak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8F1D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63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anketiranih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poslodavca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njihovog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kolegu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angažuje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crno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svega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straha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gubitka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(12%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dobija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platu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ruke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uplate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doprinosa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Nadalje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uprkos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tome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ispitanici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saglasili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stavom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smanjuje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(83%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ispitanika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čak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8F1D8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81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ispitanika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prijavilo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prodavnicu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kafić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izdaje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račun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Istraživanja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pokazala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42%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građana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Republike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poverenja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način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raspolaže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prihodima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prikupljenim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35%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može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ocenu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zbog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nedostatka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transparentnosti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jedan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razloga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nedovoljnu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motivisanost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građana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podstiču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ponašaju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odgovorno</w:t>
      </w:r>
      <w:r w:rsidR="000761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207D55" w:rsidRPr="00BE7685" w:rsidRDefault="00207D55" w:rsidP="00E17BB3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058B7" w:rsidRPr="00BE7685" w:rsidRDefault="00E17BB3" w:rsidP="00A31896">
      <w:pPr>
        <w:pStyle w:val="ListParagraph"/>
        <w:autoSpaceDE w:val="0"/>
        <w:autoSpaceDN w:val="0"/>
        <w:adjustRightInd w:val="0"/>
        <w:spacing w:line="276" w:lineRule="auto"/>
        <w:ind w:left="900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IV</w:t>
      </w:r>
      <w:r w:rsidR="00A318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PREGLED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SPROVEDENIH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PRETHODI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DONOŠENJU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NACIONALNOG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PROGRAMA</w:t>
      </w:r>
    </w:p>
    <w:p w:rsidR="00207D55" w:rsidRPr="00BE7685" w:rsidRDefault="00207D55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058B7" w:rsidRPr="00BE7685" w:rsidRDefault="00BE7685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poslednjih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nekoliko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suzbijanju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uglavnom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ad hoc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principu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organizacije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lokalnom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nivou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sprovodili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pojedinačno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ograničavajući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koordinisane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dva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vrlo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retko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591897" w:rsidRPr="00BE7685" w:rsidRDefault="00591897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058B7" w:rsidRPr="00BE7685" w:rsidRDefault="00BE7685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najčešće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sprovođene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evidentiranja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preko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fiskalnih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kasa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obavljaju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neregistrovanu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delatnost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radnika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crno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delatnosti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ugostiteljstva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građevinarstva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najzastupljeniji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crno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fizičko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tehničkog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obezbeđenja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nelegalne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van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prodajnih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objekata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D80D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-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nelegalnog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prometa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rezanog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duvana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prometa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pojedinim</w:t>
      </w:r>
      <w:r w:rsidR="00A973F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obuća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mobilni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telefoni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prateća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oprema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sekundarne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sirovine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kafa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konditorski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široke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potrošnje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prodaje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pijacama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tepisi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obloge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ogrevno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drvo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udžbenici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prodaju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van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prodajnog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svojstva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trgovca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delatnost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posredovanja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zakupu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nepokretnosti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subjekata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bave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posredovanjem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zapošljavanju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dozvole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provere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zakonitosti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obavljanju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samostalne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delatnosti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ugostiteljskih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objekata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objekata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nalaze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poker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aparati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igara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sreću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oglašavanja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domaćih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subjekata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inostranim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televizijskim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kanalima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reemituju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program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televizija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Republici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Srbiji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primene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Uredbe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obeležavanju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markiranju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derivata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nafte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Službeni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glasnik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RS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FC46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51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/1</w:t>
      </w:r>
      <w:r w:rsidR="00FC46D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5</w:t>
      </w:r>
      <w:r w:rsidR="00B47D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)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prisustva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markera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derivatima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energetskim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objektima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veleprodaje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maloprodaje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ispunjenosti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minimalnih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tehničkih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obavljanje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derivatima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uslova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dobijanje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licence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poljoprivredne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prehrambene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delatnosti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zaštite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životne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sredine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prevoza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putnika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462FBD" w:rsidRPr="00BE7685" w:rsidRDefault="00462FBD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EB76AA" w:rsidRPr="00BE7685" w:rsidRDefault="00BE7685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Konkretno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periodu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januara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septembra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podneo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nadležnim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tužilaštvima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1130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krivičnih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predstavljaju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pojavne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oblike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ukupno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1130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podnetih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krivičnih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akciji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nelegalnog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rezanim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duvanom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koordinacijom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drugim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državnim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organima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podneto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620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krivičnih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prijava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protiv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654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Tokom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akcija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privremeno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oduzeto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28,2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tone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rezanog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duvana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93,8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tona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duvana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listu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491.747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paklica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cigareta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40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motornih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vozila</w:t>
      </w:r>
      <w:r w:rsidR="00EB7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Pored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navedenog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suzbijanja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usmerene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rano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otkrivanje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regularnim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privrednim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subjektima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pomažu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izbegavanju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javnih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među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glavnim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generatorima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tzv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peračka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lastRenderedPageBreak/>
        <w:t>ili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fantom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periodu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januara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septembra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Sektor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poreske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policije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identifikovao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573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tzv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fantom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ili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peračkih</w:t>
      </w:r>
      <w:r w:rsidR="00B5536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CB49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preduzeća</w:t>
      </w:r>
      <w:r w:rsidR="00462F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0058B7" w:rsidRPr="00BE7685" w:rsidRDefault="000058B7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058B7" w:rsidRPr="00BE7685" w:rsidRDefault="00BE7685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Pored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brojnih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pored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preventivnog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uglavnom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represivno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svojstvo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neke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inspekcijskih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službi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okviru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svojih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isključivo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usmerene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preventivno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delovanje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ostvarile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saradnju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privrednim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asocijacijama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287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učestvovale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informisanju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edukaciji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privrednika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organizovanim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okruglim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stolovima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forumima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radionicama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</w:p>
    <w:p w:rsidR="00B47DD2" w:rsidRPr="00BE7685" w:rsidRDefault="00B47DD2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058B7" w:rsidRPr="00BE7685" w:rsidRDefault="00BE7685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Takođe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poslednjih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godinu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dana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pojedine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formirala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posebnu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Grupu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sprečavanje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1C3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,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koordinacije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nadzora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nad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izvršenjem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zakona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drugih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propisa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imaju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cilj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sprečavanje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pojavnih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oblika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sive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ekonomije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elektronskoj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trgovini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uslugama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Ova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organizaciona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jedinica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izrađuje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naloge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procedure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pojašnjenja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liste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provera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planira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aktivnosti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podnosi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izveštaje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informacije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stanju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delokruga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svog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koordinira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međuresornu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saradnju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B47DD2" w:rsidRPr="00BE7685" w:rsidRDefault="00B47DD2" w:rsidP="00547086">
      <w:pPr>
        <w:pStyle w:val="ListParagraph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EE1D4A" w:rsidRPr="00BE7685" w:rsidRDefault="00BE7685" w:rsidP="00E96758">
      <w:pPr>
        <w:pStyle w:val="ListParagraph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Pored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navedenog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inspekcijske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službe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funkcionišu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principu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planiranja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naredni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period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predvidele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kontrole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oblastima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akciznih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proizvoda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duvan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alkohol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naftni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derivati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);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stavljanja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neevidentirane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stavljanja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dokazanog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porekla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neovlašćenog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obavljanja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usluga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odnosno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neregistrovane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delatnosti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izbegavanja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javnih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prihoda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putem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fiktivnih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faktura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tzv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fantom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peračkim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preduzećima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stavljanja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promet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robe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čija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je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evidentirana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nabavna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višestruko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od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proizvođačke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tržišne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cene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zapošljavanja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radnika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crno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”</w:t>
      </w:r>
      <w:r w:rsidR="00DC2E1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;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isplata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naknada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</w:t>
      </w:r>
      <w:r w:rsidR="00887BA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rad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evidentiranja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poslovnim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knjigama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uplate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doprinosa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postojanja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dvojnog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sistema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zarada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kao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što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minimalne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zarade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knjigama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isplata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neevidentiranog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dela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zarade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gotovini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zbog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izbegavanja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plaćanja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poreza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doprinosa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neosnovanog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prenosa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novčanih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sredstava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tekući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račun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lica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isplata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zarada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gotovini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koja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potiče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sa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računa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bez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uplata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pripadajućih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obaveza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na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zarade</w:t>
      </w:r>
      <w:r w:rsidR="000058B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>.</w:t>
      </w:r>
    </w:p>
    <w:p w:rsidR="00E96758" w:rsidRPr="00BE7685" w:rsidRDefault="00E96758" w:rsidP="00E96758">
      <w:pPr>
        <w:tabs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</w:p>
    <w:p w:rsidR="00EE1D4A" w:rsidRPr="00BE7685" w:rsidRDefault="00BE7685" w:rsidP="00E96758">
      <w:pPr>
        <w:tabs>
          <w:tab w:val="left" w:pos="14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Prema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podacima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Inspektorata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godine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izvršeno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30.226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oblasti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radnih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odnosa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Tom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prilikom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inspektori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zatekli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5</w:t>
      </w:r>
      <w:r w:rsidR="00A90888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.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831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faktičkom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nakon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postupanja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Inspektorata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posle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izrečenih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mera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otklanjanje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nezakonitosti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poslodavci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zasnovali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radni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odnos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4.250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prvih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meseci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godine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izvršila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50.416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oblasti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radnih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odnosa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bezbednosti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zdravlja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čega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32.183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oblasti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radnih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odnosa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Prilikom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inspekcijskog</w:t>
      </w:r>
      <w:r w:rsidR="00522414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522414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522414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periodu</w:t>
      </w:r>
      <w:r w:rsidR="00522414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1.</w:t>
      </w:r>
      <w:r w:rsidR="00522414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januar</w:t>
      </w:r>
      <w:r w:rsidR="00522414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- 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31.</w:t>
      </w:r>
      <w:r w:rsidR="00522414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oktobar</w:t>
      </w:r>
      <w:r w:rsidR="00522414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2015.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godine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inspektori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zatekli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11.953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faktičkom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351851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crno</w:t>
      </w:r>
      <w:r w:rsidR="00351851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”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nakon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preduzetih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mera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inspektora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tri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dana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nakon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poslodavci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zasnovali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radni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odnos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7.318.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Efekti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izvršenog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mnogo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veći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što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pokazuju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podaci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broju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prijavljenih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Centralnog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registra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obaveznog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socijalnog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osiguranja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podaci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Nacionalne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službe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zapošljavanje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Republičkog</w:t>
      </w:r>
      <w:r w:rsidR="005C09FB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fonda</w:t>
      </w:r>
      <w:r w:rsidR="005C09FB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5C09FB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penzijsko</w:t>
      </w:r>
      <w:r w:rsidR="005C09FB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5C09FB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invalidsko</w:t>
      </w:r>
      <w:r w:rsidR="005C09FB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osiguranje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Republičkog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zavoda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statistiku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.</w:t>
      </w:r>
      <w:r w:rsidR="004B0CD2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Naime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uvidom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bazu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podataka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Centralnog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registra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obaveznog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socijalnog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osiguranja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utvrđeno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poslodavci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najkraćem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periodu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posle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obavezno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socijalno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osiguranje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prijavljuju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druga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radno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angažovana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lastRenderedPageBreak/>
        <w:t>lica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što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posledica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izvršenih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inspekcijskih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koji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pored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ostalog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uticali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podizanje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svesti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poslodavaca</w:t>
      </w:r>
      <w:r w:rsidR="00D162EE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</w:t>
      </w:r>
      <w:r w:rsidR="00D162EE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neophodnosti</w:t>
      </w:r>
      <w:r w:rsidR="00D162EE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poštovanja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propisa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time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postignut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veći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dugoročniji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efekat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zapošljavanja</w:t>
      </w:r>
      <w:r w:rsidR="00EE1D4A" w:rsidRPr="00BE768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.</w:t>
      </w:r>
    </w:p>
    <w:p w:rsidR="00207D55" w:rsidRPr="00BE7685" w:rsidRDefault="00207D55" w:rsidP="00E17B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6B7738" w:rsidRPr="00BE7685" w:rsidRDefault="00A31896" w:rsidP="00A31896">
      <w:pPr>
        <w:ind w:left="180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V.</w:t>
      </w:r>
      <w:r w:rsidR="0059774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CILJEVI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</w:p>
    <w:p w:rsidR="006B7738" w:rsidRPr="00BE7685" w:rsidRDefault="006B7738" w:rsidP="00F06CE3">
      <w:pPr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6B7738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Opšti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periodu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godine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sprovođenjem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obim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30,1%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104F9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26,7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učešća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BDP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Republike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Srbije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(MIMIC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metod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="004924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unaprede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uslovi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poslovanje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Republici</w:t>
      </w:r>
      <w:r w:rsidR="0059774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Srbiji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6B7738" w:rsidRPr="00BE7685" w:rsidRDefault="006B7738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6B7738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Opšti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ujedno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predstavlja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B645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stratešku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viziju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6B7738" w:rsidRPr="00BE7685" w:rsidRDefault="006B7738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6B7738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Opšti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ostvariti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kroz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sledeće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posebne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ciljeve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:</w:t>
      </w:r>
    </w:p>
    <w:p w:rsidR="00914282" w:rsidRPr="00BE7685" w:rsidRDefault="00914282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6B7738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</w:t>
      </w:r>
      <w:r w:rsidR="001C3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1: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Efikasniji</w:t>
      </w:r>
      <w:r w:rsidR="001C3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nadzor</w:t>
      </w:r>
      <w:r w:rsidR="001C3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</w:t>
      </w:r>
      <w:r w:rsidR="001C3E0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tokovima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;</w:t>
      </w:r>
    </w:p>
    <w:p w:rsidR="00372BC0" w:rsidRPr="00BE7685" w:rsidRDefault="00372BC0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827C1E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</w:t>
      </w:r>
      <w:r w:rsidR="00827C1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Unapređenje</w:t>
      </w:r>
      <w:r w:rsidR="00827C1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funkcionisanja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fiskalnog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sistema</w:t>
      </w:r>
      <w:r w:rsidR="00827C1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;</w:t>
      </w:r>
    </w:p>
    <w:p w:rsidR="00372BC0" w:rsidRPr="00BE7685" w:rsidRDefault="00372BC0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6B7738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</w:t>
      </w:r>
      <w:r w:rsidR="00963FE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3: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Smanjenje</w:t>
      </w:r>
      <w:r w:rsidR="00963FE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administrativnog</w:t>
      </w:r>
      <w:r w:rsidR="00963FE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AF624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parafiskalnog</w:t>
      </w:r>
      <w:r w:rsidR="00A65A2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opterećenja</w:t>
      </w:r>
      <w:r w:rsidR="00963FE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963FE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privredu</w:t>
      </w:r>
      <w:r w:rsidR="00963FE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963FE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građane</w:t>
      </w:r>
      <w:r w:rsidR="00963FE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;</w:t>
      </w:r>
    </w:p>
    <w:p w:rsidR="00372BC0" w:rsidRPr="00BE7685" w:rsidRDefault="00372BC0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6B7738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</w:t>
      </w:r>
      <w:r w:rsidR="001273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4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Podizanje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svesti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građana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1273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privrede</w:t>
      </w:r>
      <w:r w:rsidR="001273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6B773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značaju</w:t>
      </w:r>
      <w:r w:rsidR="001273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suzbijanja</w:t>
      </w:r>
      <w:r w:rsidR="001273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1273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1273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1273D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motivacija</w:t>
      </w:r>
      <w:r w:rsidR="008F4F5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8F4F5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poštovanje</w:t>
      </w:r>
      <w:r w:rsidR="008F4F5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propisa</w:t>
      </w:r>
      <w:r w:rsidR="0054708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BE26F5" w:rsidRPr="00BE7685" w:rsidRDefault="00BE26F5" w:rsidP="004C181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Predloženim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merama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uticaće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uzroke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što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dovesti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: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-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uspostavljanja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jasne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nadležnosti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unapređenje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suzbijanju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uz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uspostavljanje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uravnoteženog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sistema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sankcionisanja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;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-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povećanja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svesti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javnosti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nepoželjnim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posledicama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uključujući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način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ona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utiče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odgovorne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privredne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subjekte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radnika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potrošača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aktivnog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uključivanja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građana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borbu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protiv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; 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-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smanjenja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obima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primenom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seta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poreske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neporeske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politike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politike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javnih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nabavki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kroz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institucionalno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vrednovanje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odgovornog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poslovanja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207D55" w:rsidRPr="00BE7685" w:rsidRDefault="00207D55" w:rsidP="004C181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Realizacija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odnosno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ciljeva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postavljenih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Nacionalnom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programom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temelje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sledećim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načelima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: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9725F" w:rsidRPr="00BE7685" w:rsidRDefault="00BE7685" w:rsidP="004C18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Načelo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integralnosti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autonomne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pokrajine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jedinice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lokalne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samouprave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obezbeđuju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pitanje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borbe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protiv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uključi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sektorske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politike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E96758" w:rsidRPr="00BE7685" w:rsidRDefault="00E96758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9725F" w:rsidRPr="00BE7685" w:rsidRDefault="00BE7685" w:rsidP="004C18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Načelo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zajedničke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odgovornosti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t>Štetne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posledice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razvoj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Republike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Srbije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zahtevaju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učestvuju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strane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pogođene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pojavnim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oblicima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organizacije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građani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9725F" w:rsidRPr="00BE7685" w:rsidRDefault="00BE7685" w:rsidP="004C18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Načelo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stručnosti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organizacije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autonomne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pokrajine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jedinica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lokalne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samouprave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sprovode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sistematske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sveobuhvatne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obuke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kroz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inspektori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nosioci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pravosudnih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funkcija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zaposleni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Poreskoj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carina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stiču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usavršavaju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teorijska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praktična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znanja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veštine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svoj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posao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obavljaju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stručno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kompetentno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odgovorno</w:t>
      </w:r>
      <w:r w:rsidR="00B9725F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9725F" w:rsidRPr="00BE7685" w:rsidRDefault="00BE7685" w:rsidP="004C18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Načelo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primene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podsticajnih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mera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autonomne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pokrajine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jedinica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lokalne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samouprave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preduzimaju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usmerene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prevođenje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poslovanja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belu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zonu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izborom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seta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poreske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kaznene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politike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politike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javnih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nabavki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kao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kroz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institucionalnog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prepoznavanja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pogodnosti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legalno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poslovanje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</w:p>
    <w:p w:rsidR="00B9725F" w:rsidRPr="00BE7685" w:rsidRDefault="00BE7685" w:rsidP="004C18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Načelo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podizanja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nivoa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svesti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o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štetnim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posledicama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sive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ekonomije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može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efikasno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suzbiti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bez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aktivnog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učešća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celog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društva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posebne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organizacije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saradnji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predstavnicima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upoznaju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javnost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pojavnim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oblicima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štetnim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posledicama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sprovode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aktivnog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uključivanja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građana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borbu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smanjenje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9725F" w:rsidRPr="00BE7685" w:rsidRDefault="00BE7685" w:rsidP="004C18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Načelo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transparentnosti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državnih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autonomne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pokrajine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jedinica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lokalne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samouprave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transparentan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mogućnost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pojave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korupcije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minimalna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B9725F" w:rsidRPr="00BE7685" w:rsidRDefault="00B9725F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9725F" w:rsidRPr="00BE7685" w:rsidRDefault="00BE7685" w:rsidP="004C181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Načelo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unapređenja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uslova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za</w:t>
      </w:r>
      <w:r w:rsidR="00B9725F" w:rsidRPr="00BE7685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val="sr-Latn-CS"/>
        </w:rPr>
        <w:t>poslovanje</w:t>
      </w:r>
    </w:p>
    <w:p w:rsidR="00B9725F" w:rsidRPr="00BE7685" w:rsidRDefault="00BE7685" w:rsidP="004C181C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posebne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organizacije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preduzimaju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usmerene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unapređenje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pravnog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sistema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stvaranje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boljih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uslova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poslovanje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kroz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unapređenja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prakse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inspekcijskog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nadzora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pravosudne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kontrole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reformu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parafiskalnih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nameta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smanjenje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administrativnog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opterećenja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privrede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B9725F" w:rsidRPr="00BE7685" w:rsidRDefault="00B9725F" w:rsidP="004C181C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26F5" w:rsidRPr="00BE7685" w:rsidRDefault="00A31896" w:rsidP="00F06CE3">
      <w:pPr>
        <w:ind w:firstLine="1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</w:t>
      </w:r>
      <w:r w:rsidR="00B9725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1A54A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SPROVOĐENJE</w:t>
      </w:r>
      <w:r w:rsidR="001A54A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</w:p>
    <w:p w:rsidR="001640FF" w:rsidRPr="00BE7685" w:rsidRDefault="001640FF" w:rsidP="0054708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226217" w:rsidRPr="00BE7685" w:rsidRDefault="00BE7685" w:rsidP="00C519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Posebni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cilj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1: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Efikasniji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nadzor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nad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tokovima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sive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ekonomije</w:t>
      </w:r>
    </w:p>
    <w:p w:rsidR="00CB2DF7" w:rsidRPr="00BE7685" w:rsidRDefault="00CB2DF7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E26F5" w:rsidRPr="00BE7685" w:rsidRDefault="00BE7685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osnovu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Zakona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inspekcijskom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nadzoru</w:t>
      </w:r>
      <w:r w:rsidR="007D6A0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Odlukom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obrazovanju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Koordinacione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komisije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Službeni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glasnik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RS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broj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66/15)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pokrenut</w:t>
      </w:r>
      <w:r w:rsidR="007D6A0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proces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uspostavljanja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sistemske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koordinacije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inspekcijskog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nadzora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Republici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Srbiji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CB2DF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koja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obezbediti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stalnu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koordinaciju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t>inspekcijskih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službi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smanjenja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sukoba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nedostataka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nadležnosti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pojedinih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inspekcija</w:t>
      </w:r>
      <w:r w:rsidR="00DD496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kao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njihov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efikasniji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borbe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protiv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0635F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9527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skladu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Zakonom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inspekcijskom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nadzoru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osnovni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princip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rada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inspekcijskih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službi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biće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njihovo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preventivno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delovanje</w:t>
      </w:r>
      <w:r w:rsidR="000635F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0635F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savetodavna</w:t>
      </w:r>
      <w:r w:rsidR="00E32C8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uloga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prema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privredi</w:t>
      </w:r>
      <w:r w:rsidR="008368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postizanja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većeg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stepena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poštovanja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boljeg</w:t>
      </w:r>
      <w:r w:rsidR="00533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upravljanja</w:t>
      </w:r>
      <w:r w:rsidR="00533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javnim</w:t>
      </w:r>
      <w:r w:rsidR="00533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rizicima</w:t>
      </w:r>
      <w:r w:rsidR="00533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Inspekcijski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nadzor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biće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zasnovan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prethodnoj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analizi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rizika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kako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optimizovali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raspoloživi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resursi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istovremeno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postizala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efektnija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kontrola</w:t>
      </w:r>
      <w:r w:rsidR="0093349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533A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Pored</w:t>
      </w:r>
      <w:r w:rsidR="00944B1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navedenog</w:t>
      </w:r>
      <w:r w:rsidR="00944B1A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Koordinaciona</w:t>
      </w:r>
      <w:r w:rsidR="008368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komisija</w:t>
      </w:r>
      <w:r w:rsidR="00944B1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944B1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koordinirati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usklađivanje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sektorskih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regulišu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inspekcija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Zakonom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inspekcijskom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nadzoru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16262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poboljšanje</w:t>
      </w:r>
      <w:r w:rsidR="0016262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uslova</w:t>
      </w:r>
      <w:r w:rsidR="0016262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16262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</w:t>
      </w:r>
      <w:r w:rsidR="0016262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postupajućih</w:t>
      </w:r>
      <w:r w:rsidR="0016262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inspektora</w:t>
      </w:r>
      <w:r w:rsidR="0016262E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E32C8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urediti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postupanje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inspekcija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nosiocima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njihovom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delokrugu</w:t>
      </w:r>
      <w:r w:rsidR="0042417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2417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</w:t>
      </w:r>
      <w:r w:rsidR="00424177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FC627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185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Koordinaciona</w:t>
      </w:r>
      <w:r w:rsidR="0063777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komisija</w:t>
      </w:r>
      <w:r w:rsidR="007D6A0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7D6A0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izraditi</w:t>
      </w:r>
      <w:r w:rsidR="007D6A0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smernice</w:t>
      </w:r>
      <w:r w:rsidR="007D6A0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7D6A0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primenu</w:t>
      </w:r>
      <w:r w:rsidR="00D637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metoda</w:t>
      </w:r>
      <w:r w:rsidR="00D6377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FC62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procenu</w:t>
      </w:r>
      <w:r w:rsidR="00FC627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rizika</w:t>
      </w:r>
      <w:r w:rsidR="005D5A8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5D5A8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različitim</w:t>
      </w:r>
      <w:r w:rsidR="005D5A8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oblastima</w:t>
      </w:r>
      <w:r w:rsidR="005D5A8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što</w:t>
      </w:r>
      <w:r w:rsidR="00147C1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147C1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omogućiti</w:t>
      </w:r>
      <w:r w:rsidR="00AC13E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5D5A8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5D5A8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izrada</w:t>
      </w:r>
      <w:r w:rsidR="001A3B6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planova</w:t>
      </w:r>
      <w:r w:rsidR="001A3B6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inspekcijskog</w:t>
      </w:r>
      <w:r w:rsidR="001A3B6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nadzora</w:t>
      </w:r>
      <w:r w:rsidR="00AC13E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vrši</w:t>
      </w:r>
      <w:r w:rsidR="001A3B6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1A3B6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5D5A8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izvršene</w:t>
      </w:r>
      <w:r w:rsidR="001A3B6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procene</w:t>
      </w:r>
      <w:r w:rsidR="001A3B6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rizika</w:t>
      </w:r>
      <w:r w:rsidR="005D5A8C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Implementacija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jedinstvenog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informacionog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obezbedio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bržu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lakšu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razmenu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informacija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stanju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inspekcijskog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nadzora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sprečiće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dupliranje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kontrola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obezbediće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efikasniji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inspekcijski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nadzor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omogućiće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praćenje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stanja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inspekcijskog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nadzora</w:t>
      </w:r>
      <w:r w:rsidR="00B70D22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B70D22" w:rsidRPr="00BE7685">
        <w:rPr>
          <w:rFonts w:ascii="Times New Roman" w:hAnsi="Times New Roman" w:cs="Times New Roman"/>
          <w:noProof/>
        </w:rPr>
        <w:t xml:space="preserve"> </w:t>
      </w:r>
    </w:p>
    <w:p w:rsidR="00280BA9" w:rsidRPr="00BE7685" w:rsidRDefault="00280BA9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</w:p>
    <w:p w:rsidR="002A7DDF" w:rsidRPr="00BE7685" w:rsidRDefault="00000C10" w:rsidP="00104F9F">
      <w:pPr>
        <w:autoSpaceDE w:val="0"/>
        <w:autoSpaceDN w:val="0"/>
        <w:adjustRightInd w:val="0"/>
        <w:spacing w:line="276" w:lineRule="auto"/>
        <w:ind w:left="17" w:firstLine="1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         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jedinstvenom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interaktivnom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portalu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objavljivaće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propisi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kontrolne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liste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planovi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uputstva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postupanje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propisanim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procedurama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pravna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fizička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odgovori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postavljena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pitanja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drugi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dokumenti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podaci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vezi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inspekcijskim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nadzorom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kako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bi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privrednim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subjektima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olakšalo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usklađivanje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postupanja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važećim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propisima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ujednačila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praksa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Transparentno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objavljivanje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podataka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rezultatima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inspekcijskog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nadzora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omogućiće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mesečne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procene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uspešnosti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sprovođenja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planova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učinka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inspektora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potrebi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korekciju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Akcionog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plana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Jednostavnim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lako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dostupnim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sistemom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podnošenje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anonimnih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prijava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postojanja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sive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ekonomije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što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„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Poreski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alarm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prijavljivanje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poreskih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prekršaja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Kancelarija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brze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odgovore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prijavljivanje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902D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„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crno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)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davanjem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povratne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informacije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statusu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neanonimnih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prijava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roku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72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sata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olakšava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učešće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građana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privrede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suzbijanju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različitih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pojavnih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oblika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sive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ekonomije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istovremeno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omogućava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puna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transparentnost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inspekcijskih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organa</w:t>
      </w:r>
      <w:r w:rsidR="00A908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.</w:t>
      </w:r>
    </w:p>
    <w:p w:rsidR="00A90888" w:rsidRPr="00BE7685" w:rsidRDefault="00A90888" w:rsidP="00104F9F">
      <w:pPr>
        <w:autoSpaceDE w:val="0"/>
        <w:autoSpaceDN w:val="0"/>
        <w:adjustRightInd w:val="0"/>
        <w:spacing w:line="276" w:lineRule="auto"/>
        <w:ind w:left="17" w:firstLine="1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2A7DDF" w:rsidRPr="00BE7685" w:rsidRDefault="00BE7685" w:rsidP="002A7D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naročite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važnosti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uspostavljanje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unapred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sprovodi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proces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stručnog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usavršavanja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inspektora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izmenama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sektorskih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analize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kapaciteta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inspekcijskih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cilju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povećanja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njihove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efikasnosti</w:t>
      </w:r>
      <w:r w:rsidR="002A7DDF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Ujedno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postoji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utvrđivanjem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kriterijumi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vrednovanje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učinka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inspektora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što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utvrdilo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izmenom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kojim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utvrđuje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način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obračuna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zarade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ocenjivanja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inspektora</w:t>
      </w:r>
    </w:p>
    <w:p w:rsidR="00F905F4" w:rsidRPr="00BE7685" w:rsidRDefault="00F905F4" w:rsidP="00AC79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</w:p>
    <w:p w:rsidR="008B1DA9" w:rsidRPr="00BE7685" w:rsidRDefault="00000C10" w:rsidP="008B1D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            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ab/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Stalna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edukacija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unapređena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saradnja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razmena</w:t>
      </w:r>
      <w:r w:rsidR="0016262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informacija</w:t>
      </w:r>
      <w:r w:rsidR="0016262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između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inspekcijskih</w:t>
      </w:r>
      <w:r w:rsidR="00E7519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pravosudnih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E7519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poreske</w:t>
      </w:r>
      <w:r w:rsidR="00E7519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policije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E7519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carine</w:t>
      </w:r>
      <w:r w:rsidR="00E7519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neophodan</w:t>
      </w:r>
      <w:r w:rsidR="0016262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preduslov</w:t>
      </w:r>
      <w:r w:rsidR="0016262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uspešno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otkrivanje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procesuiranje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kažnjavanje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pojavnih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oblika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formiranje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najbolje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prakse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što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ostvariti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određivanjem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službenika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vezu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javnim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tužilaštvom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policijom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Ovim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omogućila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doslednost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konzistentnost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suzbijanju</w:t>
      </w:r>
      <w:r w:rsidR="00B7451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ključnih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pojavnih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oblika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minimiziranje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njenog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štetnog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uticaja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budžet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kvalitet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javnih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usluga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bezbednost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zdravlje</w:t>
      </w:r>
      <w:r w:rsidR="00E911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potrošača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Uspostavljanjem</w:t>
      </w:r>
      <w:r w:rsidR="00EF37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jasne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dosledne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politike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procesuiranja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sankcionisanja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pojava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znatno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doprinela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specijalizaciji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pravosudnih</w:t>
      </w:r>
      <w:r w:rsidR="00CA600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923A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procesuiranje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krivičnih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dela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protiv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t>privrede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što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ostvariti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formiranjem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posebnih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odeljenja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finansijske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istrage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višim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javnim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tužilaštvima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2A7DDF" w:rsidRPr="00BE7685" w:rsidRDefault="002A7DDF" w:rsidP="008B1DA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537F30" w:rsidRPr="00BE7685" w:rsidRDefault="00BE7685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efikasnije</w:t>
      </w:r>
      <w:r w:rsidR="00E92C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kontrole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nelegalne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trgovine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pored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pokretanja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prekršajnih</w:t>
      </w:r>
      <w:r w:rsidR="00C92D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C92D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krivičnih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postupaka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skladu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1058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pozitivnim</w:t>
      </w:r>
      <w:r w:rsidR="001058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propisima</w:t>
      </w:r>
      <w:r w:rsidR="001058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svim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inspekcijskim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organima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omogući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vođenje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prvostepenih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postupaka</w:t>
      </w:r>
      <w:r w:rsidR="001058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1058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izvršenje</w:t>
      </w:r>
      <w:r w:rsidR="001058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prekršaja</w:t>
      </w:r>
      <w:r w:rsidR="001058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manjeg</w:t>
      </w:r>
      <w:r w:rsidR="00C92D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stepena</w:t>
      </w:r>
      <w:r w:rsidR="001058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opasnosti</w:t>
      </w:r>
      <w:r w:rsidR="00C92D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C92D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izdavanje</w:t>
      </w:r>
      <w:r w:rsidR="00E910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prekršajnih</w:t>
      </w:r>
      <w:r w:rsidR="00E910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naloga</w:t>
      </w:r>
      <w:r w:rsidR="00E910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kojim</w:t>
      </w:r>
      <w:r w:rsidR="00E910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E910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E910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izricale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novčane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kazne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fiksnom</w:t>
      </w:r>
      <w:r w:rsidR="00A627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iznosu</w:t>
      </w:r>
      <w:r w:rsidR="00C92DF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D379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kao</w:t>
      </w:r>
      <w:r w:rsidR="00D379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što</w:t>
      </w:r>
      <w:r w:rsidR="00D379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D379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to</w:t>
      </w:r>
      <w:r w:rsidR="00D3798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predviđeno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Carinskim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zakonom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-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Službeni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glasnik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RS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br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18/10, 111/12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29/15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).</w:t>
      </w:r>
    </w:p>
    <w:p w:rsidR="008B1DA9" w:rsidRPr="00BE7685" w:rsidRDefault="008B1DA9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</w:p>
    <w:p w:rsidR="00D25667" w:rsidRPr="00BE7685" w:rsidRDefault="00BE7685" w:rsidP="002A7DD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osnovu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studija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analiza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kao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informacija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saznanja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inspekcijskih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drugih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privrednih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asocijacija</w:t>
      </w:r>
      <w:r w:rsidR="009979D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8974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konstatovano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potrebne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pojačane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8B1DA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organizovane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svih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nadležnih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otkrivanju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nelegalnog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poslovanja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određenim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kritičnim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oblastima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određenim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crnim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tačkama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Formiranjem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radnih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grupa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srodne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privredne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delatnosti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08773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omogućila</w:t>
      </w:r>
      <w:r w:rsidR="005E06A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5E06A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aktivna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saradnja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nadležnih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A17D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strukovnih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privrednih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udruženja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Takođe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planskim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dokumentima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urediti</w:t>
      </w:r>
      <w:r w:rsidR="0056051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zajedničko</w:t>
      </w:r>
      <w:r w:rsidR="0056051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delovanje</w:t>
      </w:r>
      <w:r w:rsidR="0056051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nadležnih</w:t>
      </w:r>
      <w:r w:rsidR="0056051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svim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fazama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suzbijanja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otkrivanja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procesuiranja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sankcionisanja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jasno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definisane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kritične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oblasti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odnosno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delatnosti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kojima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pojavni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oblici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nanose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najviše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štete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bezbednost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zdravlje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građana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kao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fiskalni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sistem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Republike</w:t>
      </w:r>
      <w:r w:rsidR="00F44B0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Srbije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Posebno</w:t>
      </w:r>
      <w:r w:rsidR="007978D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7978D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4907E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unaprediti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koordinaciju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integrisanog</w:t>
      </w:r>
      <w:r w:rsidR="00BE4C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upravljanja</w:t>
      </w:r>
      <w:r w:rsidR="009D45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granicom</w:t>
      </w:r>
      <w:r w:rsidR="009D45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definisanjem</w:t>
      </w:r>
      <w:r w:rsidR="009D45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mesečnom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nivou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uključivanjem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svih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nadležnih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9D45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9D45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ovih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tela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npr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Poreska</w:t>
      </w:r>
      <w:r w:rsidR="00B63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policija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Uprava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carina</w:t>
      </w:r>
      <w:r w:rsidR="005E06A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8B7A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tržišna</w:t>
      </w:r>
      <w:r w:rsidR="008B7A7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inspekcija</w:t>
      </w:r>
      <w:r w:rsidR="009D450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itd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),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plan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rada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Koordinacione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komisije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uključiti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stalnu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saradnju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Koordinacionim</w:t>
      </w:r>
      <w:r w:rsidR="0014070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telom</w:t>
      </w:r>
      <w:r w:rsidR="00BE4C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E4C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integrisano</w:t>
      </w:r>
      <w:r w:rsidR="00BE4C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upravljanje</w:t>
      </w:r>
      <w:r w:rsidR="00BE4CB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granicom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takođe</w:t>
      </w:r>
      <w:r w:rsidR="00004BA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uspostaviti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bolju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kontrolu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uvoza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naročito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akciznih</w:t>
      </w:r>
      <w:r w:rsidR="00104F9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proizvoda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C7C2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tekstila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poljoprivrednih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proizvoda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sirovo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voće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povrće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meso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="00B7451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nakon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uvoza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preuzimaju</w:t>
      </w:r>
      <w:r w:rsidR="009C35E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tzv</w:t>
      </w:r>
      <w:r w:rsidR="009C35E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fantomske</w:t>
      </w:r>
      <w:r w:rsidR="009C35E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firme</w:t>
      </w:r>
      <w:r w:rsidR="009C35E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generišu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nelegalnu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proizvodnju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dalji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promet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prijavljenim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neprijavljenim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subjektima</w:t>
      </w:r>
      <w:r w:rsidR="00CB13F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Neophodno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efikasnije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evidentirati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lica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koja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preuzimaju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robu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carinjenju</w:t>
      </w:r>
      <w:r w:rsidR="00AE34D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propisati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obavezno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prilaganje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ovlašćenja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određeno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fizičko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lice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ime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pravnog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lica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preuzme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robu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="0084148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kako</w:t>
      </w:r>
      <w:r w:rsidR="00D31CF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D31CF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D31CF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olakšalo</w:t>
      </w:r>
      <w:r w:rsidR="00D31CF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praćenje</w:t>
      </w:r>
      <w:r w:rsidR="00D31CF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kretanja</w:t>
      </w:r>
      <w:r w:rsidR="00D31CF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robe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nakon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carinjenja</w:t>
      </w:r>
      <w:r w:rsidR="00AB64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uspostaviti</w:t>
      </w:r>
      <w:r w:rsidR="009303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mehanizam</w:t>
      </w:r>
      <w:r w:rsidR="0093030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pokretanje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koordinisanih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akcija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periodima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kada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vrše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isporuke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crnim</w:t>
      </w:r>
      <w:r w:rsidR="00537F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tačkama</w:t>
      </w:r>
      <w:r w:rsidR="00D31CF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A97B35" w:rsidRPr="00BE768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Neophodno</w:t>
      </w:r>
      <w:r w:rsidR="00A64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A64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prilikom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carinjenja</w:t>
      </w:r>
      <w:r w:rsidR="00910D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unaprediti</w:t>
      </w:r>
      <w:r w:rsidR="00910D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postupak</w:t>
      </w:r>
      <w:r w:rsidR="00910D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910D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učestalost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upoređivanja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stvarne</w:t>
      </w:r>
      <w:r w:rsidR="00A64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deklarisane</w:t>
      </w:r>
      <w:r w:rsidR="00A646A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količine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vrednosti</w:t>
      </w:r>
      <w:r w:rsidR="00AB64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robe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provere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nabavne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cene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</w:t>
      </w:r>
      <w:r w:rsidR="003E764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neretko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višestruko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niže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stvarne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zatim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evidentiranje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adrese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skladišta</w:t>
      </w:r>
      <w:r w:rsidR="00910D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dobavljača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kontrolu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materijalnog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razduženja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robe</w:t>
      </w:r>
      <w:r w:rsidR="003E764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kako</w:t>
      </w:r>
      <w:r w:rsidR="003E764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3E764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3E764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eksternom</w:t>
      </w:r>
      <w:r w:rsidR="003E7649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kontrolom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postupka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carinjenja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postiglo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smanjenje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crnog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tržišta</w:t>
      </w:r>
      <w:r w:rsidR="00A97B3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cilju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unapređenja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carinskih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službi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definisati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preciznije</w:t>
      </w:r>
      <w:r w:rsidR="00910D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kriterijume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koriste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procesu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procene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rizika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carina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njihovu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kompatibilnost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sistemom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procene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rizika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kod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inspekcijskih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2A7DD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5E06AB" w:rsidRPr="00BE7685" w:rsidRDefault="005E06AB" w:rsidP="00F44B0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BD7AD4" w:rsidRPr="00BE7685" w:rsidRDefault="00BE7685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Posebna</w:t>
      </w:r>
      <w:r w:rsidR="004476B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mera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usmerena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protiv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nelegalne</w:t>
      </w:r>
      <w:r w:rsidR="00EE052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prodaje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bila</w:t>
      </w:r>
      <w:r w:rsidR="004476B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bi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onemogućavanje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prodaje</w:t>
      </w:r>
      <w:r w:rsidR="00391F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robe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otvorenim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pijacama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svim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ostalim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otvorenim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prodajnim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mestima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ukoliko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vlasnik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ne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poseduje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dokument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legalno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kupljenoj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robi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fakturu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ili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fiskalni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račun</w:t>
      </w:r>
      <w:r w:rsidR="00F112B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</w:p>
    <w:p w:rsidR="00202F5C" w:rsidRPr="00BE7685" w:rsidRDefault="00202F5C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</w:p>
    <w:p w:rsidR="00202F5C" w:rsidRPr="00BE7685" w:rsidRDefault="00BE7685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cilju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suzbijanja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sive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ekonomije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čiji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generatori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tzv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fantom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ili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peračka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preduzeća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potrebno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definisati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set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mera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aktivnosti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usmerenih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smanjenju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rizika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lastRenderedPageBreak/>
        <w:t>osnivanja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ovakvih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preduzeća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npr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evidencijom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osnivačima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povezanim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licima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privrednih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subjekata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kojima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privremeno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oduzet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PIB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kao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njihovo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efikasno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otkrivanje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sankcionisanje</w:t>
      </w:r>
      <w:r w:rsidR="00202F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</w:p>
    <w:p w:rsidR="005E06AB" w:rsidRPr="00BE7685" w:rsidRDefault="005E06AB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</w:p>
    <w:p w:rsidR="00BE26F5" w:rsidRPr="00BE7685" w:rsidRDefault="00BE7685" w:rsidP="001254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Komparativnom</w:t>
      </w:r>
      <w:r w:rsidR="003906A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analizom</w:t>
      </w:r>
      <w:r w:rsidR="00D93B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kaznenih</w:t>
      </w:r>
      <w:r w:rsidR="00D93B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mera</w:t>
      </w:r>
      <w:r w:rsidR="00D93B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D93B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sektorskim</w:t>
      </w:r>
      <w:r w:rsidR="00D93B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propisima</w:t>
      </w:r>
      <w:r w:rsidR="00D93B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D93B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izrečenih</w:t>
      </w:r>
      <w:r w:rsidR="00D93B0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sankcija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sagledati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ujednačenost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adekvatnost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kaznenih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mera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izvršiti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normativno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praktično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usaglašavanje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sankcija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prema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ozbiljnosti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prestupa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ekonomskoj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snazi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subjekta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predmet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kontrole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kako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podstakao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viši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stepen</w:t>
      </w:r>
      <w:r w:rsidR="00BE26F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generalne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specijalne</w:t>
      </w:r>
      <w:r w:rsidR="00D2566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prevencije</w:t>
      </w:r>
      <w:r w:rsidR="00EE5997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BD7AD4" w:rsidRPr="00BE7685" w:rsidRDefault="00BD7AD4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</w:p>
    <w:p w:rsidR="00D3295C" w:rsidRPr="00BE7685" w:rsidRDefault="00BE7685" w:rsidP="005E06A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Budući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dosadašnjem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radu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inspekcija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utvrđene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brojne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zloupotrebe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poštovanju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obaveza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poslodavaca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vezi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radnim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odnosima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propisati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sprovesti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napređenje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evidentiranja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zapošljavanja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kao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E7798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prijavu</w:t>
      </w:r>
      <w:r w:rsidR="004476B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obavezno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socijalno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osiguranje</w:t>
      </w:r>
      <w:r w:rsidR="00042E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</w:t>
      </w:r>
      <w:r w:rsidR="00042E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stupanja</w:t>
      </w:r>
      <w:r w:rsidR="00042E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042E6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</w:t>
      </w:r>
      <w:r w:rsidR="004566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,</w:t>
      </w:r>
      <w:r w:rsidR="00B401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osigurati</w:t>
      </w:r>
      <w:r w:rsidR="00B401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redovnu</w:t>
      </w:r>
      <w:r w:rsidR="0045663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isplatu</w:t>
      </w:r>
      <w:r w:rsidR="00B401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stvarnog</w:t>
      </w:r>
      <w:r w:rsidR="00B401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iznosa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zarade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pripadajućih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poreza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doprinosa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a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cilju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sprečavanja</w:t>
      </w:r>
      <w:r w:rsidR="00AB3554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zloupotreba</w:t>
      </w:r>
      <w:r w:rsidR="00B401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.</w:t>
      </w:r>
      <w:r w:rsidR="005E68E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Radi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korišćenja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podataka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primanjima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vršenje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kontrole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isplate</w:t>
      </w:r>
      <w:r w:rsidR="00DF3C3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poreza</w:t>
      </w:r>
      <w:r w:rsidR="003D71D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potrebno</w:t>
      </w:r>
      <w:r w:rsidR="00B401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B401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utvrditi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regulatorni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okvir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optimizirati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tehničko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rešenje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omogućavanje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razmene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podataka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isplaćenim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zaradama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porezima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zaradu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pripadajućim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doprinosima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između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poslovnih</w:t>
      </w:r>
      <w:r w:rsidR="003D71D3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banaka</w:t>
      </w:r>
      <w:r w:rsidR="005E68E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5E68E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Poreske</w:t>
      </w:r>
      <w:r w:rsidR="005E68EE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5D699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BD7AD4" w:rsidRPr="00BE7685" w:rsidRDefault="00BD7AD4" w:rsidP="00BD7AD4">
      <w:pPr>
        <w:pStyle w:val="ListParagraph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/>
        </w:rPr>
      </w:pPr>
    </w:p>
    <w:p w:rsidR="000B4C28" w:rsidRPr="00BE7685" w:rsidRDefault="00BE26F5" w:rsidP="008B1DA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određene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privredne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delatnosti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neophodno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posedovati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licencu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koja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važi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duži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vremenski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period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uz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prethodnu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obavezu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ispunjenja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određenih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pravnih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finansijskih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tehničkih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operativnih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uslova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Iako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predviđeno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oduzimanje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licenci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usled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prestanka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ispunjenosti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jednog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ili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više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uslova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posedovanje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licence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kao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slučaju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nepoštovanja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propisa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koji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regulišu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obavljanje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delatnosti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državni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organi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ili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regulatorna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tela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retko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ili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određenim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oblastima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uopšte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kontrolišu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ispunjenost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uslova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za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posedovanje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licenci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nakon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njihovog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izdavanja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sve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do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momenta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kada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licence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obnavljaju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Da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bi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se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unapredio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sistem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kontrole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ispunjenosti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uslova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na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osnovu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kojih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izdata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licenca</w:t>
      </w:r>
      <w:r w:rsidR="00AB56C8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potrebno</w:t>
      </w:r>
      <w:r w:rsidR="00873B9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>je</w:t>
      </w:r>
      <w:r w:rsidR="00873B9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uspostavljanje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javno</w:t>
      </w:r>
      <w:r w:rsidR="008937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dostupne</w:t>
      </w:r>
      <w:r w:rsidR="0089373A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baze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podataka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izdavaocima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nosiocima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licenci</w:t>
      </w:r>
      <w:r w:rsidR="00873B9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propisivanje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obaveze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redovnog</w:t>
      </w:r>
      <w:r w:rsidR="00873B9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dostavljanja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D45C1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elektronskim</w:t>
      </w:r>
      <w:r w:rsidR="00D45C1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putem</w:t>
      </w:r>
      <w:r w:rsidR="00B52ABD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)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potvrde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saobraznosti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uslovima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osnovu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kojih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D3295C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izdata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licenca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sve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vreme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trajanja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licence</w:t>
      </w:r>
      <w:r w:rsidR="007311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uz</w:t>
      </w:r>
      <w:r w:rsidR="007311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potrebne</w:t>
      </w:r>
      <w:r w:rsidR="0073111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dokaze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bez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obaveze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obnavljanja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licence</w:t>
      </w:r>
      <w:r w:rsidR="003E6E0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godišnjem</w:t>
      </w:r>
      <w:r w:rsidR="00CA3185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nivou</w:t>
      </w:r>
      <w:r w:rsidR="00517F96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čime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bi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smanjile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administrativne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procedure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podigla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odgovornost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izdavalaca</w:t>
      </w:r>
      <w:r w:rsidR="00654F6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licenci</w:t>
      </w:r>
      <w:r w:rsidR="00873B91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224E9A" w:rsidRPr="00BE7685" w:rsidRDefault="00224E9A" w:rsidP="00226217">
      <w:pPr>
        <w:autoSpaceDE w:val="0"/>
        <w:autoSpaceDN w:val="0"/>
        <w:adjustRightInd w:val="0"/>
        <w:spacing w:line="276" w:lineRule="auto"/>
        <w:ind w:left="2" w:firstLine="848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</w:pPr>
    </w:p>
    <w:p w:rsidR="00226217" w:rsidRPr="00BE7685" w:rsidRDefault="00BE7685" w:rsidP="00C272E4">
      <w:pPr>
        <w:autoSpaceDE w:val="0"/>
        <w:autoSpaceDN w:val="0"/>
        <w:adjustRightInd w:val="0"/>
        <w:spacing w:line="276" w:lineRule="auto"/>
        <w:ind w:left="4" w:firstLine="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Posebni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cilj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en-US"/>
        </w:rPr>
        <w:t xml:space="preserve">2: </w:t>
      </w:r>
      <w:r>
        <w:rPr>
          <w:rFonts w:ascii="Times New Roman" w:hAnsi="Times New Roman" w:cs="Times New Roman"/>
          <w:b/>
          <w:noProof/>
          <w:sz w:val="24"/>
          <w:szCs w:val="24"/>
        </w:rPr>
        <w:t>Unapređenje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funkcionisanja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fiskalnog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sistema</w:t>
      </w:r>
      <w:r w:rsidR="00226217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07134" w:rsidRPr="00BE7685" w:rsidRDefault="00607134" w:rsidP="0054708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183CFB" w:rsidRPr="00BE7685" w:rsidRDefault="00BE7685" w:rsidP="00A460B6">
      <w:pPr>
        <w:pStyle w:val="NoSpacing1"/>
        <w:spacing w:line="276" w:lineRule="auto"/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Velika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fiskalna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ali</w:t>
      </w:r>
      <w:r w:rsidR="0042622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opterećenja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često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uzrok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privrednicima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legalnih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tokova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svoje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poslovanje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premeste</w:t>
      </w:r>
      <w:r w:rsidR="00EE4DC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EE4DC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tokove</w:t>
      </w:r>
      <w:r w:rsidR="00EE4DC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sive</w:t>
      </w:r>
      <w:r w:rsidR="00EE4DC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ekonomije</w:t>
      </w:r>
      <w:r w:rsidR="00EE4DC7" w:rsidRPr="00BE7685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Ovako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uzrokovan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prelazak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uvek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potpun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koraku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privrednici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izaberu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takav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obavljanja</w:t>
      </w:r>
      <w:r w:rsidR="00FA4E2F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aktivnosti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često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prenose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svog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novčanih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tokova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sivu</w:t>
      </w:r>
      <w:r w:rsidR="00607134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zonu</w:t>
      </w:r>
      <w:r w:rsidR="00607134" w:rsidRPr="00BE7685">
        <w:rPr>
          <w:noProof/>
          <w:szCs w:val="24"/>
          <w:lang w:val="sr-Latn-CS"/>
        </w:rPr>
        <w:t>.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Ukoliko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država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unapređuje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poslovno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okruženje</w:t>
      </w:r>
      <w:r w:rsidR="004D44EC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stabilnu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fiskalnu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politiku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nepredviđenih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čestih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poreskih</w:t>
      </w:r>
      <w:r w:rsidR="004D44EC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stopa</w:t>
      </w:r>
      <w:r w:rsidR="004D44EC" w:rsidRPr="00BE7685">
        <w:rPr>
          <w:noProof/>
          <w:szCs w:val="24"/>
          <w:lang w:val="sr-Latn-CS"/>
        </w:rPr>
        <w:t>,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prilagođava</w:t>
      </w:r>
      <w:r w:rsidR="00FA4E2F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fiskalnu</w:t>
      </w:r>
      <w:r w:rsidR="00FA4E2F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politiku</w:t>
      </w:r>
      <w:r w:rsidR="00FA4E2F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ekonomsko</w:t>
      </w:r>
      <w:r w:rsidR="00487DE8" w:rsidRPr="00BE7685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socijalnom</w:t>
      </w:r>
      <w:r w:rsidR="00487DE8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stanju</w:t>
      </w:r>
      <w:r w:rsidR="00487DE8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487DE8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</w:t>
      </w:r>
      <w:r w:rsidR="00EA23E7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prenos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sivu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zonu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vremenom</w:t>
      </w:r>
      <w:r w:rsidR="00EA23E7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smanjuje</w:t>
      </w:r>
      <w:r w:rsidR="00C0248E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usklađenim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vođenjem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transparentne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poreske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politike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primenom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instrumenata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cilja</w:t>
      </w:r>
      <w:r w:rsidR="00C0248E" w:rsidRPr="00BE7685">
        <w:rPr>
          <w:noProof/>
          <w:szCs w:val="24"/>
          <w:lang w:val="sr-Latn-CS"/>
        </w:rPr>
        <w:t xml:space="preserve"> 1 (</w:t>
      </w:r>
      <w:r>
        <w:rPr>
          <w:noProof/>
          <w:szCs w:val="24"/>
          <w:lang w:val="sr-Latn-CS"/>
        </w:rPr>
        <w:t>kontrole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legalnosti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C0248E" w:rsidRPr="00BE7685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povećava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obim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prevođenja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ekonomije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sive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zone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legalne</w:t>
      </w:r>
      <w:r w:rsidR="00C0248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tokove</w:t>
      </w:r>
      <w:r w:rsidR="00EA23E7" w:rsidRPr="00BE7685">
        <w:rPr>
          <w:noProof/>
          <w:szCs w:val="24"/>
          <w:lang w:val="sr-Latn-CS"/>
        </w:rPr>
        <w:t>.</w:t>
      </w:r>
    </w:p>
    <w:p w:rsidR="00607134" w:rsidRPr="00BE7685" w:rsidRDefault="00607134" w:rsidP="00547086">
      <w:pPr>
        <w:pStyle w:val="NoSpacing1"/>
        <w:ind w:firstLine="720"/>
        <w:jc w:val="both"/>
        <w:rPr>
          <w:noProof/>
          <w:szCs w:val="24"/>
          <w:lang w:val="sr-Latn-CS"/>
        </w:rPr>
      </w:pPr>
      <w:r w:rsidRPr="00BE7685">
        <w:rPr>
          <w:noProof/>
          <w:szCs w:val="24"/>
          <w:lang w:val="sr-Latn-CS"/>
        </w:rPr>
        <w:t xml:space="preserve"> </w:t>
      </w:r>
    </w:p>
    <w:p w:rsidR="004A7BFE" w:rsidRPr="00BE7685" w:rsidRDefault="00BE7685" w:rsidP="0054708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Izmene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politike</w:t>
      </w:r>
      <w:r w:rsidR="005F77C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prakse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487DE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smislu</w:t>
      </w:r>
      <w:r w:rsidR="00487DE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uvođenja</w:t>
      </w:r>
      <w:r w:rsidR="00487DE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olakšica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blagovremeno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plaćanje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poreza</w:t>
      </w:r>
      <w:r w:rsidR="00487DE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487DE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kazni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neredovno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ispunjavanje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obaveza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navešće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subjekte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posluju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sivoj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lastRenderedPageBreak/>
        <w:t>svoje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prevedu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legalne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tokove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dok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će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dosledna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kaznena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politika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učiniti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sivoj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neisplativim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Pored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toga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dugoročnim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planiranjem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poreske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politike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posebno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propisivanjem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odloženog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stupanja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snagu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svakog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neplaniranog</w:t>
      </w:r>
      <w:r w:rsidR="007971B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povećanja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fiskalnih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nameta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period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najmanje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šest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meseci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dana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stupanja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snagu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propisa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ili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uvođenjem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pravila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dva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datuma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tačno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utvrđena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dva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datuma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npr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1.7.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31.12.)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kada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stupaju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snagu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izmene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ili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novi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propisi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oblasti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fiskalne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politike</w:t>
      </w:r>
      <w:r w:rsidR="00C0248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omogućiće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dugoročnije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poslovno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planiranje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veće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investicije</w:t>
      </w:r>
      <w:r w:rsidR="00D27A0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kao</w:t>
      </w:r>
      <w:r w:rsidR="00D27A0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D27A0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predvidivost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ovaj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način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uspostavlja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stimulativni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poreski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sistem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prevođenje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subjekata</w:t>
      </w:r>
      <w:r w:rsidR="00D27A0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</w:t>
      </w:r>
      <w:r w:rsidR="00D27A0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sive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zone</w:t>
      </w:r>
      <w:r w:rsidR="00D27A0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legalne</w:t>
      </w:r>
      <w:r w:rsidR="001E6BBD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tokove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isto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tako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umanjuje</w:t>
      </w:r>
      <w:r w:rsidR="00CA3269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rizik</w:t>
      </w:r>
      <w:r w:rsidR="00CA3269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CA3269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potrebu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prelaska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legalnog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poslovanja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sivu</w:t>
      </w:r>
      <w:r w:rsidR="009B16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zonu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Svakako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će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veliki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efekat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predstavljati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uspostavljanje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prakse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savetodavnih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poseta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svega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mikro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malim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srednjim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preduzećima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radi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upoznavanja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poreskim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obavezama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skladu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Korporativnom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strategijom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period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2013-2018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kao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Programom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transformacije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Poreske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uprave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period</w:t>
      </w:r>
      <w:r w:rsidR="00091E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2015-2020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</w:p>
    <w:p w:rsidR="00183CFB" w:rsidRPr="00BE7685" w:rsidRDefault="00183CFB" w:rsidP="0054708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547EEB" w:rsidRPr="00BE7685" w:rsidRDefault="00BE7685" w:rsidP="00550AC4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Omogućavanjem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privredn</w:t>
      </w:r>
      <w:r>
        <w:rPr>
          <w:rFonts w:ascii="Times New Roman" w:hAnsi="Times New Roman" w:cs="Times New Roman"/>
          <w:noProof/>
          <w:sz w:val="24"/>
          <w:szCs w:val="24"/>
        </w:rPr>
        <w:t>im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subjektima</w:t>
      </w:r>
      <w:r w:rsidR="00A65DE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prvoj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godini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budu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oslobođeni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plaćanja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dobit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odnosno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prihod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samostalne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delatnosti</w:t>
      </w:r>
      <w:r w:rsidR="00D27A0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ili</w:t>
      </w:r>
      <w:r w:rsidR="00D27A0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im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obezbede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niže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stope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poreza</w:t>
      </w:r>
      <w:r w:rsidR="005409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stimulisalo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bi</w:t>
      </w:r>
      <w:r w:rsidR="0054094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osnivanje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novih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privrednih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subjekata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ali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prevođenje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subjekata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legalne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tokove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917E17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Ova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mera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bi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posebno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uticala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smanjenje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ekonomije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imajući</w:t>
      </w:r>
      <w:r w:rsidR="005F77C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vidu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činjenicu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prve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godine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uvek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ključne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opstanak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privrednih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042C5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tržištu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ujedno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bi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1745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uspostavio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stimulativni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sistem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osnivanje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novih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privrednih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subjekata</w:t>
      </w:r>
      <w:r w:rsidR="00B8728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5F77C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Takođe</w:t>
      </w:r>
      <w:r w:rsidR="005F77C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stimulativno</w:t>
      </w:r>
      <w:r w:rsidR="00147C10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bi</w:t>
      </w:r>
      <w:r w:rsidR="00147C10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delovalo</w:t>
      </w:r>
      <w:r w:rsidR="005F77C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>spostavljanje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olakšice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određivanju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neporeskih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nameta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tokom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prve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poslovanja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plaćanje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nižih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iznosa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taksi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naknada</w:t>
      </w:r>
      <w:r w:rsidR="007F4C59" w:rsidRPr="00BE7685">
        <w:rPr>
          <w:rFonts w:ascii="Times New Roman" w:hAnsi="Times New Roman" w:cs="Times New Roman"/>
          <w:noProof/>
          <w:sz w:val="24"/>
          <w:szCs w:val="24"/>
        </w:rPr>
        <w:t>)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bazirale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prethodno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urađenoj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analizi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opravdanosti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dugoročne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ekonomske</w:t>
      </w:r>
      <w:r w:rsidR="00147C1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isplativosti</w:t>
      </w:r>
      <w:r w:rsidR="005F77CF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47EEB" w:rsidRPr="00BE7685" w:rsidRDefault="00547EEB" w:rsidP="00550AC4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77CF" w:rsidRPr="00BE7685" w:rsidRDefault="00BE7685" w:rsidP="00550AC4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Kada</w:t>
      </w:r>
      <w:r w:rsidR="00EE4DC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EE4DC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pitanju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preduzetnici</w:t>
      </w:r>
      <w:r w:rsidR="00EE4DC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statusa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nezaposlenih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lica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otpočinju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obavljanjem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sopstvene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delatnosti</w:t>
      </w:r>
      <w:r w:rsidR="00B87284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korisno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183C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bilo</w:t>
      </w:r>
      <w:r w:rsidR="00183C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kreirati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podsticaje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vidu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oslobađanja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plaćanja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poreza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doprinosa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određenom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vremenskom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npr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šest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meseci</w:t>
      </w:r>
      <w:r w:rsidR="00A65DE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kojem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ostvarivali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prava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550AC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radnog</w:t>
      </w:r>
      <w:r w:rsidR="00183C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odnosa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imali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priliku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ojačaju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sopstveno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poslovanje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ostvare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dobit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doglednom</w:t>
      </w:r>
      <w:r w:rsidR="009B16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183CFB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83CFB" w:rsidRPr="00BE7685" w:rsidRDefault="00183CFB" w:rsidP="00550AC4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24D7" w:rsidRPr="00BE7685" w:rsidRDefault="00BE24D7" w:rsidP="00692E64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BE7685">
        <w:rPr>
          <w:rFonts w:ascii="Times New Roman" w:hAnsi="Times New Roman" w:cs="Times New Roman"/>
          <w:noProof/>
          <w:sz w:val="24"/>
          <w:szCs w:val="24"/>
        </w:rPr>
        <w:t>T</w:t>
      </w:r>
      <w:r w:rsidR="00BE7685">
        <w:rPr>
          <w:rFonts w:ascii="Times New Roman" w:hAnsi="Times New Roman" w:cs="Times New Roman"/>
          <w:noProof/>
          <w:sz w:val="24"/>
          <w:szCs w:val="24"/>
        </w:rPr>
        <w:t>akođe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poljoprivredna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gazdinstva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poslodavci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često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angažuju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radnike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koji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obavljaju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sezonske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poslove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bez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ugovora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radu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ili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ugovora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radnom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angažovanju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van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radnog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odnosa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međutim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ova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pojava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nije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strana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ni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kod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angažovanja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radnika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redovnim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poslovima</w:t>
      </w:r>
      <w:r w:rsidR="000D209A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</w:t>
      </w:r>
      <w:r w:rsidR="005358FD" w:rsidRPr="00BE7685">
        <w:rPr>
          <w:rFonts w:ascii="Times New Roman" w:hAnsi="Times New Roman" w:cs="Times New Roman"/>
          <w:noProof/>
          <w:sz w:val="24"/>
          <w:szCs w:val="24"/>
        </w:rPr>
        <w:t>o</w:t>
      </w:r>
      <w:r w:rsidR="00BE7685">
        <w:rPr>
          <w:rFonts w:ascii="Times New Roman" w:hAnsi="Times New Roman" w:cs="Times New Roman"/>
          <w:noProof/>
          <w:sz w:val="24"/>
          <w:szCs w:val="24"/>
        </w:rPr>
        <w:t>daci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pokazuju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da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je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neformalna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zaposlenost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najviše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prisutna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sektoru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primarne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poljoprivredne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proizvodnje</w:t>
      </w:r>
      <w:r w:rsidR="005358FD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posebno</w:t>
      </w:r>
      <w:r w:rsidR="0062614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manja</w:t>
      </w:r>
      <w:r w:rsidR="0062614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poljoprivredna</w:t>
      </w:r>
      <w:r w:rsidR="005358F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gazdinstva</w:t>
      </w:r>
      <w:r w:rsidR="005358FD" w:rsidRPr="00BE768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="005358FD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sektoru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građevinarstva</w:t>
      </w:r>
      <w:r w:rsidR="005358FD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65066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Potrebno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je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definisati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pravni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okvir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koji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bi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omogućio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da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poljoprivrednik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koji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nema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status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pravnog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lica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odnosno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preduzetnika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može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zasnovati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radni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odnos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sa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licem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svojstvu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poslodavca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DB7C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Sistemom</w:t>
      </w:r>
      <w:r w:rsidR="005A079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vaučera</w:t>
      </w:r>
      <w:r w:rsidR="005A079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svakako</w:t>
      </w:r>
      <w:r w:rsidR="005A079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bi</w:t>
      </w:r>
      <w:r w:rsidR="005A079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se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olakšalo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="008B031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podsticalo</w:t>
      </w:r>
      <w:r w:rsidR="00314A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zapošljavanje</w:t>
      </w:r>
      <w:r w:rsidR="00692E6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sezonskih</w:t>
      </w:r>
      <w:r w:rsidR="005A079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radnika</w:t>
      </w:r>
      <w:r w:rsidR="00791C8B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7BFE" w:rsidRPr="00BE7685" w:rsidRDefault="004A7BFE" w:rsidP="0054708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547EEB" w:rsidRPr="00BE7685" w:rsidRDefault="00BE7685" w:rsidP="0054708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E9675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cilju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stimulisanja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zapošljavanja</w:t>
      </w:r>
      <w:r w:rsidR="00183C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odnosno</w:t>
      </w:r>
      <w:r w:rsidR="006A31D5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prijave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radnika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potrebno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osnovu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sveobuhvatne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analize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uraditi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plan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fiskalnih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mera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kojima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će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uticati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povećanje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zaposlenosti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prevođenja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radnika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regularne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tokove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kao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eliminisanje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isplata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dela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zarada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ruke</w:t>
      </w:r>
      <w:r w:rsidR="00BB19BF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BB19B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BB19BF" w:rsidRPr="00BE7685" w:rsidRDefault="00BB19BF" w:rsidP="00547086">
      <w:pPr>
        <w:spacing w:line="276" w:lineRule="auto"/>
        <w:ind w:firstLine="720"/>
        <w:jc w:val="both"/>
        <w:rPr>
          <w:rFonts w:ascii="Times New Roman" w:hAnsi="Times New Roman" w:cs="Times New Roman"/>
          <w:i/>
          <w:iCs/>
          <w:noProof/>
          <w:sz w:val="19"/>
          <w:szCs w:val="19"/>
          <w:shd w:val="clear" w:color="auto" w:fill="000000"/>
        </w:rPr>
      </w:pPr>
    </w:p>
    <w:p w:rsidR="00A305CF" w:rsidRPr="00BE7685" w:rsidRDefault="00BE7685" w:rsidP="00A305C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lastRenderedPageBreak/>
        <w:t>Zakonom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poreskom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postupku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poreskoj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administraciji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183C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(</w:t>
      </w:r>
      <w:r w:rsidR="00183CF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Službeni</w:t>
      </w:r>
      <w:r w:rsidR="00183CF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glasnik</w:t>
      </w:r>
      <w:r w:rsidR="00183CF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RS</w:t>
      </w:r>
      <w:r w:rsidR="00183CF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br</w:t>
      </w:r>
      <w:r w:rsidR="00183CFB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  <w:r w:rsidR="00183C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547EE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80</w:t>
      </w:r>
      <w:r w:rsidR="00183C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/</w:t>
      </w:r>
      <w:r w:rsidR="00547EE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02, 84/02</w:t>
      </w:r>
      <w:r w:rsidR="0035185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51851" w:rsidRPr="00BE7685">
        <w:rPr>
          <w:noProof/>
          <w:color w:val="000000"/>
          <w:spacing w:val="-3"/>
        </w:rPr>
        <w:t xml:space="preserve">−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ispravka</w:t>
      </w:r>
      <w:r w:rsidR="00547EE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 23/03</w:t>
      </w:r>
      <w:r w:rsidR="0035185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51851" w:rsidRPr="00BE7685">
        <w:rPr>
          <w:noProof/>
          <w:color w:val="000000"/>
          <w:spacing w:val="-3"/>
        </w:rPr>
        <w:t xml:space="preserve">−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ispravka</w:t>
      </w:r>
      <w:r w:rsidR="00547EE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 70/03, 55/04, 61/05, 85/05</w:t>
      </w:r>
      <w:r w:rsidR="0035185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51851" w:rsidRPr="00BE7685">
        <w:rPr>
          <w:noProof/>
          <w:color w:val="000000"/>
          <w:spacing w:val="-3"/>
        </w:rPr>
        <w:t xml:space="preserve">−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dr</w:t>
      </w:r>
      <w:r w:rsidR="00A65DE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zakon</w:t>
      </w:r>
      <w:r w:rsidR="00547EE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 62/06</w:t>
      </w:r>
      <w:r w:rsidR="0035185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51851" w:rsidRPr="00BE7685">
        <w:rPr>
          <w:noProof/>
          <w:color w:val="000000"/>
          <w:spacing w:val="-3"/>
        </w:rPr>
        <w:t xml:space="preserve">−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dr</w:t>
      </w:r>
      <w:r w:rsidR="00A65DE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zakon</w:t>
      </w:r>
      <w:r w:rsidR="00A65DE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 63/06</w:t>
      </w:r>
      <w:r w:rsidR="0035185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51851" w:rsidRPr="00BE7685">
        <w:rPr>
          <w:noProof/>
          <w:color w:val="000000"/>
          <w:spacing w:val="-3"/>
        </w:rPr>
        <w:t xml:space="preserve">−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ispravka</w:t>
      </w:r>
      <w:r w:rsidR="00547EE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 61/07, 20/09, 72/09</w:t>
      </w:r>
      <w:r w:rsidR="0035185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51851" w:rsidRPr="00BE7685">
        <w:rPr>
          <w:noProof/>
          <w:color w:val="000000"/>
          <w:spacing w:val="-3"/>
        </w:rPr>
        <w:t>−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dr</w:t>
      </w:r>
      <w:r w:rsidR="00A65DE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zakon</w:t>
      </w:r>
      <w:r w:rsidR="0035185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53/10, 101/11, 2/12 </w:t>
      </w:r>
      <w:r w:rsidR="00351851" w:rsidRPr="00BE7685">
        <w:rPr>
          <w:noProof/>
          <w:color w:val="000000"/>
          <w:spacing w:val="-3"/>
        </w:rPr>
        <w:t xml:space="preserve">−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ispravka</w:t>
      </w:r>
      <w:r w:rsidR="00EE137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93/12, 47/13, 108/13, 68/14, </w:t>
      </w:r>
      <w:r w:rsidR="00547EE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105/14</w:t>
      </w:r>
      <w:r w:rsidR="00EE137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EE1374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91/15</w:t>
      </w:r>
      <w:r w:rsidR="00183CF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)</w:t>
      </w:r>
      <w:r w:rsidR="00547EE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posredan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način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registrovani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privredni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pogrešno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obračunaju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stavljeni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neravnopravan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položaj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odnosu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neregistrovane</w:t>
      </w:r>
      <w:r w:rsidR="00A06F6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subjekte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jer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registrovani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obavezi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roku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dana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isprave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grešku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uplate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tačan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iznos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dok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neregistrovani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subjekti</w:t>
      </w:r>
      <w:r w:rsidR="004B0CD2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imaju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rok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45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dana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registraciju</w:t>
      </w:r>
      <w:r w:rsidR="00C40B9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C40B9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plaćanje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poreskih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obaveza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vezi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navedenim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potrebno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težiti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ujednačavanju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položaja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svih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prekršilaca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propisa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jer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jedni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drugi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sivoj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zoni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delu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svog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prekršaja</w:t>
      </w:r>
      <w:r w:rsidR="00E05A8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AB6496" w:rsidRPr="00BE7685" w:rsidRDefault="00AB6496" w:rsidP="00A305C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AB6496" w:rsidRPr="00BE7685" w:rsidRDefault="00BE7685" w:rsidP="00AB649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Proces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započet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tokom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2003.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potpunosti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završen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2004. </w:t>
      </w:r>
      <w:r>
        <w:rPr>
          <w:rFonts w:ascii="Times New Roman" w:hAnsi="Times New Roman" w:cs="Times New Roman"/>
          <w:noProof/>
          <w:sz w:val="24"/>
          <w:szCs w:val="24"/>
        </w:rPr>
        <w:t>godine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obzirom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uvođenja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proteklo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više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deset</w:t>
      </w:r>
      <w:r w:rsidR="00DE57F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godina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obuhvat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više</w:t>
      </w:r>
      <w:r w:rsidR="00DE57F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puta</w:t>
      </w:r>
      <w:r w:rsidR="00DE57F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menjan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DE57F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došlo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značajnog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napretka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tehnologije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nužno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izvršiti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analizu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postojećeg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ustanovilo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li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postoji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potreba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unapređenjem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utvrdio</w:t>
      </w:r>
      <w:r w:rsidR="00A305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A305C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unapređenja</w:t>
      </w:r>
      <w:r w:rsidR="00C447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ovo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upućuje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podatak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kontrola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postojećih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fiskalnih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kasa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korišćenje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generisanih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podataka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prometu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niskom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nivou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što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takođe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analitičkog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pristupa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moglo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unapredi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fiskalne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discipline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boljeg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planiranja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inspekcijskog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nadzora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preporuke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F20C5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unaprediti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tehnologiju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proširiti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obuhvat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B6496" w:rsidRPr="00BE7685" w:rsidRDefault="00AB6496" w:rsidP="00AB649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6496" w:rsidRPr="00BE7685" w:rsidRDefault="00BE7685" w:rsidP="00AB649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preliminarnoj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troškova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koristi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reforme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identifikovana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dva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alternativna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rešenja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uvođenje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online </w:t>
      </w:r>
      <w:r>
        <w:rPr>
          <w:rFonts w:ascii="Times New Roman" w:hAnsi="Times New Roman" w:cs="Times New Roman"/>
          <w:noProof/>
          <w:sz w:val="24"/>
          <w:szCs w:val="24"/>
        </w:rPr>
        <w:t>fiskalnih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kasa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postojećeg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Rezultati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pokazuju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uvođenje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online </w:t>
      </w:r>
      <w:r>
        <w:rPr>
          <w:rFonts w:ascii="Times New Roman" w:hAnsi="Times New Roman" w:cs="Times New Roman"/>
          <w:noProof/>
          <w:sz w:val="24"/>
          <w:szCs w:val="24"/>
        </w:rPr>
        <w:t>fiskalnih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kasa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finansijski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isplativije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rešenje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postojećeg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zadržavanje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trenutnog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stanja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obzirom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neto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efekti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viši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trogodišnjem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pozitivni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kumulativni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neto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efekti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online </w:t>
      </w:r>
      <w:r>
        <w:rPr>
          <w:rFonts w:ascii="Times New Roman" w:hAnsi="Times New Roman" w:cs="Times New Roman"/>
          <w:noProof/>
          <w:sz w:val="24"/>
          <w:szCs w:val="24"/>
        </w:rPr>
        <w:t>fiskalnih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kasa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5,93 </w:t>
      </w:r>
      <w:r>
        <w:rPr>
          <w:rFonts w:ascii="Times New Roman" w:hAnsi="Times New Roman" w:cs="Times New Roman"/>
          <w:noProof/>
          <w:sz w:val="24"/>
          <w:szCs w:val="24"/>
        </w:rPr>
        <w:t>mlrd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RSD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dok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kumulativni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neto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efekti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postojećeg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1,39 </w:t>
      </w:r>
      <w:r>
        <w:rPr>
          <w:rFonts w:ascii="Times New Roman" w:hAnsi="Times New Roman" w:cs="Times New Roman"/>
          <w:noProof/>
          <w:sz w:val="24"/>
          <w:szCs w:val="24"/>
        </w:rPr>
        <w:t>mlrd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RSD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Međutim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pošto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preliminarna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nije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obuhvatila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bezbednosne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aspekte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funkcionisanja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online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istu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dopuniti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mogao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sagledati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celini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njegove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prednosti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mane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Osim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finansijskom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preliminarna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pokazuje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online </w:t>
      </w:r>
      <w:r>
        <w:rPr>
          <w:rFonts w:ascii="Times New Roman" w:hAnsi="Times New Roman" w:cs="Times New Roman"/>
          <w:noProof/>
          <w:sz w:val="24"/>
          <w:szCs w:val="24"/>
        </w:rPr>
        <w:t>fiskalnih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kasa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pruža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širu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informacionu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analitičku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nadzor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procene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rizika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obzirom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integriše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veliki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broj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vrste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podataka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realnom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vremenu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obezbeđuje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veću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mogućnost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kontinuirano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mogućnost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integracije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drugim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oblastima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inspekcijskog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nadzora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poput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radnih</w:t>
      </w:r>
      <w:r w:rsidR="00AB649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inspekcija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Pored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ovoga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analizirati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mogućnosti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trenutnog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C424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utvrditi</w:t>
      </w:r>
      <w:r w:rsidR="00E2058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prednosti</w:t>
      </w:r>
      <w:r w:rsidR="00E2058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2058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mane</w:t>
      </w:r>
      <w:r w:rsidR="00E2058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jednog</w:t>
      </w:r>
      <w:r w:rsidR="00E20588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E2058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drugog</w:t>
      </w:r>
      <w:r w:rsidR="00E2058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E20588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243FB" w:rsidRPr="00BE7685" w:rsidRDefault="00E243FB" w:rsidP="00AB6496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A7BFE" w:rsidRPr="00BE7685" w:rsidRDefault="00BE7685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Veoma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širok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krug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delatnosti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E243F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nisu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obuhvaćene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fiskalizacijom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zemlje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regionu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što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posebno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otežava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nedostatak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odgovarajućih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mehanizama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Tako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npr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F93A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Hrvatskoj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izuzeto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nekoliko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delatnosti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prodaja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karata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ili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žetona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putničkom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prometu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naplata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putarine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F93A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veleprodaja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vlastitih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poljoprivrednih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proizvoda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tržnicama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otvorenim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prostorima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prodaja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robe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ili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usluga</w:t>
      </w:r>
      <w:r w:rsidR="00F93A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putem</w:t>
      </w:r>
      <w:r w:rsidR="00F93A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prodajnih</w:t>
      </w:r>
      <w:r w:rsidR="00F93A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automata</w:t>
      </w:r>
      <w:r w:rsidR="00F93A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itd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</w:rPr>
        <w:t>dok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F93A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lista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znatno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duža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navedenim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izvršiti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analizu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trenutnog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obuhvata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Republici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Srbiji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preporukama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njegovo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proširenje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nakon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usvajanja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preporuka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uredio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pravni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proširenje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obuhvata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E6231E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F0B0C" w:rsidRPr="00BE7685" w:rsidRDefault="00DF0B0C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F2126" w:rsidRPr="00BE7685" w:rsidRDefault="000F2126" w:rsidP="00C272E4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F2126" w:rsidRPr="00BE7685" w:rsidRDefault="00BE7685" w:rsidP="00C272E4">
      <w:pPr>
        <w:spacing w:line="276" w:lineRule="auto"/>
        <w:ind w:left="3" w:firstLine="56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Nakon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proširenja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obuhvata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unapređenja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fiskalizacije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stimulisati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bezgotovinsko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plaćanje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pre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svega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podsticanjem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uvođenja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mogućnosti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elektronskog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plaćanja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sektorima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dominira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plaćanje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gotovinom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ugostiteljstvo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taksi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usluge</w:t>
      </w:r>
      <w:r w:rsidR="003720F7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0F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sl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</w:rPr>
        <w:t>subvencionisanjem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terminala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malim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mikro</w:t>
      </w:r>
      <w:r w:rsidR="000F21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preduzećima</w:t>
      </w:r>
      <w:r w:rsidR="004B0CD2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povlasticama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bezgotovinsko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plaćanje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odnosu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gotovinsko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plaćanje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propisivanjem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maksimalnih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naknada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bezgotovinsko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plaćanje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naplaćuju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kartični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operateri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po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ugledu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evropsku</w:t>
      </w:r>
      <w:r w:rsidR="005C45A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praksu</w:t>
      </w:r>
      <w:r w:rsidR="00533BA0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B6496" w:rsidRPr="00BE7685" w:rsidRDefault="00AB6496" w:rsidP="00C272E4">
      <w:pPr>
        <w:spacing w:line="276" w:lineRule="auto"/>
        <w:ind w:left="3" w:firstLine="56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B6496" w:rsidRPr="00BE7685" w:rsidRDefault="00BE7685" w:rsidP="00C272E4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Radi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praćenja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uspešnosti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naplate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posebno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PDV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akciza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radi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daljeg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planiranja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aktivnosti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okviru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fiskalne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politike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uputno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kvartalnom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nivou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ažurirati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trendove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naplate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podatke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objavljivati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sajtu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Ministarstva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finansija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).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Posebno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treba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ustanoviti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metod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implementirati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tehničko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rešenje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utvrđivanje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sledljivosti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lanca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PDV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prometu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počev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primarne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proizvodnje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ili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uvoza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preko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svih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faza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dorade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krajnjih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potrošača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definisati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način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kontrole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kritičnih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tačaka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odnosno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ustanoviti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faze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obračuna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plaćanja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kojima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dolazi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prekida</w:t>
      </w:r>
      <w:r w:rsidR="00AB6496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</w:p>
    <w:p w:rsidR="000D427F" w:rsidRPr="00BE7685" w:rsidRDefault="000D427F" w:rsidP="00C272E4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A7DDF" w:rsidRPr="00BE7685" w:rsidRDefault="00BE7685" w:rsidP="00C272E4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Potrebno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osmisliti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sprovesti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mere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će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dovesti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podizanja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kulture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odgovornosti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uspostavljanje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fer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konkurencije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Jedan</w:t>
      </w:r>
      <w:r w:rsidR="00E22CE9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E22CE9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načina</w:t>
      </w:r>
      <w:r w:rsidR="00E22CE9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E22CE9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uspostavljanje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Bele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liste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”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privrednih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subjekata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posluju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odgovorno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legalno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zarad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njihovog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institucionalnog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prepoznavanja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kroz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promovisanje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omogućavanje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olakšica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skladu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ustanovljenim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umanjenim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rizikom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kršenje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propisa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uz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jasno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definisane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kriterijume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A96EB2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postupak</w:t>
      </w:r>
      <w:r w:rsidR="00A96EB2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uključivanje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Belu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listu</w:t>
      </w:r>
      <w:r w:rsidR="004B0CD2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”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 </w:t>
      </w:r>
    </w:p>
    <w:p w:rsidR="002A7DDF" w:rsidRPr="00BE7685" w:rsidRDefault="002A7DDF" w:rsidP="002A7DD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2A7DDF" w:rsidRPr="00BE7685" w:rsidRDefault="00BE7685" w:rsidP="002A7DD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Neophodno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ispunjenost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uslova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uključivanje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720F7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Belu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listu</w:t>
      </w:r>
      <w:r w:rsidR="003720F7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”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kontroliše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nezavisna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institucija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omogući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redovna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efikasna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provera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ispunjenosti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uslova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nemogućnost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ponovnog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uključivanja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720F7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Belu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listu</w:t>
      </w:r>
      <w:r w:rsidR="003720F7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” 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određenom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periodu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ukoliko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ustanovi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privredni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prekršio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neki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uslova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3720F7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Belu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listu</w:t>
      </w:r>
      <w:r w:rsidR="003720F7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”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odnosno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ukoliko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sivoj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</w:p>
    <w:p w:rsidR="002A7DDF" w:rsidRPr="00BE7685" w:rsidRDefault="002A7DDF" w:rsidP="002A7DD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4A7BFE" w:rsidRPr="00BE7685" w:rsidRDefault="00BE7685" w:rsidP="0054708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okviru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predloženih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mera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saradnji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poslovnim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asocijacijama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poslovnim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liderima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lancu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snabdevanja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organima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centralnom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lokalnom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nivou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podsticaće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projekti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grupnog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uvođenja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integrisanih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sistema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upravljanja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unapređenja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kvaliteta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E22CE9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konkurentnosti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lancima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snabdevanja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ovaj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način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će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omogućiti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osnov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uključivanje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lanac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snabdevanja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logistiku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privatnih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javnih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kompanija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bude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legalno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potpunosti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van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Ovo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podrazumeva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</w:t>
      </w:r>
      <w:r w:rsidR="00F5777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uključen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lanac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snabdevanja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ili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logistiku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ima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prijavljene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radnike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uredno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isplaćuje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zaradu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poreze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doprinose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punom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iznosu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obavljeni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zdravstveni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pregledi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skladu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aktom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proceni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rizika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uvedeni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sistemi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upravljanja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kvalitetom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zaštitom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životne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sredine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zaštitom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zdravlja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bezbednosti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radu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slično</w:t>
      </w:r>
      <w:r w:rsidR="002A7DD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A96EB2" w:rsidRPr="00BE7685" w:rsidRDefault="00A96EB2" w:rsidP="006F63F1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A7BFE" w:rsidRPr="00BE7685" w:rsidRDefault="00BE7685" w:rsidP="006F63F1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Dodatni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stimulisanje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redovno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izmiruje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svoje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poreske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obaveze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već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ugrađen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nabavki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Međutim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praksi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dešava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ponuđači</w:t>
      </w:r>
      <w:r w:rsidR="0011024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postupku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nabavki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svojim</w:t>
      </w:r>
      <w:r w:rsidR="0056240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zaposlenima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uplaćuju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poreze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doprinose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ali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zaradu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zbog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čega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neophodno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redefinisati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politiku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javnih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nabavki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tako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subjekti</w:t>
      </w:r>
      <w:r w:rsidR="006F63F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neredovno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izmiruju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poreske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obaveze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obaveze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prema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zaposlenima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mogu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učestvovati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kao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ponuđači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javnim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nabavkama</w:t>
      </w:r>
      <w:r w:rsidR="009B605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uvesti</w:t>
      </w:r>
      <w:r w:rsidR="0084364A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određene</w:t>
      </w:r>
      <w:r w:rsidR="0084364A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kriterijume</w:t>
      </w:r>
      <w:r w:rsidR="0084364A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4A7BFE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nemaju</w:t>
      </w:r>
      <w:r w:rsidR="001F0B6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dospelih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dugovanja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ovim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osnovima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najmanje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šest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meseci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učestvovanja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postupku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nabavke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slično</w:t>
      </w:r>
      <w:r w:rsidR="007D34D9" w:rsidRPr="00BE7685">
        <w:rPr>
          <w:rFonts w:ascii="Times New Roman" w:hAnsi="Times New Roman" w:cs="Times New Roman"/>
          <w:noProof/>
          <w:sz w:val="24"/>
          <w:szCs w:val="24"/>
        </w:rPr>
        <w:t>)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Pored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toga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pojačati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odgovornost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Republičke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komisije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zaštitu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postupcima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nabavki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ocenu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dokaza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ispunjenosti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uslova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>. 75</w:t>
      </w:r>
      <w:r w:rsidR="006F63F1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76.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javnim</w:t>
      </w:r>
      <w:r w:rsidR="004A7BF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nabavkama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>„</w:t>
      </w:r>
      <w:r>
        <w:rPr>
          <w:rFonts w:ascii="Times New Roman" w:hAnsi="Times New Roman" w:cs="Times New Roman"/>
          <w:noProof/>
          <w:sz w:val="24"/>
          <w:szCs w:val="24"/>
        </w:rPr>
        <w:t>Službeni</w:t>
      </w:r>
      <w:r w:rsidR="009B605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glasnik</w:t>
      </w:r>
      <w:r w:rsidR="001C58B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RS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>”</w:t>
      </w:r>
      <w:r w:rsidR="001C58B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br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1C58B0" w:rsidRPr="00BE7685">
        <w:rPr>
          <w:rFonts w:ascii="Times New Roman" w:hAnsi="Times New Roman" w:cs="Times New Roman"/>
          <w:noProof/>
          <w:sz w:val="24"/>
          <w:szCs w:val="24"/>
        </w:rPr>
        <w:t xml:space="preserve"> 124/</w:t>
      </w:r>
      <w:r w:rsidR="0084364A" w:rsidRPr="00BE7685">
        <w:rPr>
          <w:rFonts w:ascii="Times New Roman" w:hAnsi="Times New Roman" w:cs="Times New Roman"/>
          <w:noProof/>
          <w:sz w:val="24"/>
          <w:szCs w:val="24"/>
        </w:rPr>
        <w:t>12</w:t>
      </w:r>
      <w:r w:rsidR="00351851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1C58B0" w:rsidRPr="00BE7685">
        <w:rPr>
          <w:rFonts w:ascii="Times New Roman" w:hAnsi="Times New Roman" w:cs="Times New Roman"/>
          <w:noProof/>
          <w:sz w:val="24"/>
          <w:szCs w:val="24"/>
        </w:rPr>
        <w:t xml:space="preserve"> 14/15</w:t>
      </w:r>
      <w:r w:rsidR="0035185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51851" w:rsidRPr="00BE7685">
        <w:rPr>
          <w:rFonts w:ascii="Times New Roman" w:hAnsi="Times New Roman" w:cs="Times New Roman"/>
          <w:noProof/>
          <w:sz w:val="24"/>
          <w:szCs w:val="24"/>
        </w:rPr>
        <w:t xml:space="preserve"> 68/15</w:t>
      </w:r>
      <w:r w:rsidR="001C58B0" w:rsidRPr="00BE7685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224E9A" w:rsidRPr="00BE7685" w:rsidRDefault="00224E9A" w:rsidP="006F63F1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A7BFE" w:rsidRPr="00BE7685" w:rsidRDefault="004A7BFE" w:rsidP="00E6231E">
      <w:pPr>
        <w:rPr>
          <w:rFonts w:ascii="Times New Roman" w:hAnsi="Times New Roman" w:cs="Times New Roman"/>
          <w:noProof/>
          <w:sz w:val="24"/>
          <w:szCs w:val="24"/>
        </w:rPr>
      </w:pPr>
    </w:p>
    <w:p w:rsidR="00BF124F" w:rsidRPr="00BE7685" w:rsidRDefault="00BE7685" w:rsidP="00C5191B">
      <w:pPr>
        <w:autoSpaceDE w:val="0"/>
        <w:autoSpaceDN w:val="0"/>
        <w:adjustRightInd w:val="0"/>
        <w:spacing w:line="276" w:lineRule="auto"/>
        <w:ind w:left="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Posebni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cilj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3: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Smanjenje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administrativnog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i</w:t>
      </w:r>
      <w:r w:rsidR="00A65D60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parafiskalnog</w:t>
      </w:r>
      <w:r w:rsidR="00A65D60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opterećenja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za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privredu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i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građane</w:t>
      </w:r>
    </w:p>
    <w:p w:rsidR="00BE26F5" w:rsidRPr="00BE7685" w:rsidRDefault="00BE26F5" w:rsidP="0054708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42622B" w:rsidRPr="00BE7685" w:rsidRDefault="00BE7685" w:rsidP="0054708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Pored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fiskalnog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opterećenja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privrede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administrativni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postupci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mogu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biti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uzrok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značajnog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opterećenja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poslovanje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te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njihovo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pojednostavljenje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prepoznato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kao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jedan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glavnih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ciljeva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Nacionalnog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programa</w:t>
      </w:r>
      <w:r w:rsidR="0042622B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</w:p>
    <w:p w:rsidR="00E6231E" w:rsidRPr="00BE7685" w:rsidRDefault="00E6231E" w:rsidP="0054708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1D23A3" w:rsidRPr="00BE7685" w:rsidRDefault="00BE7685" w:rsidP="00A460B6">
      <w:pPr>
        <w:pStyle w:val="NoSpacing1"/>
        <w:spacing w:line="276" w:lineRule="auto"/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predvidivosti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regulatornog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okruženja</w:t>
      </w:r>
      <w:r w:rsidR="002A7DCB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potrebno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kod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najučestalijih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administrativnih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moraju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predvideti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normativni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pružanja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2A7DCB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odrediti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vremenski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definisati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objektivne</w:t>
      </w:r>
      <w:r w:rsidR="002A7DCB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jasne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transparentne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pružanje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usluga</w:t>
      </w:r>
      <w:r w:rsidR="002A7DCB" w:rsidRPr="00BE7685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Prema</w:t>
      </w:r>
      <w:r w:rsidR="00F87701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istraživanju</w:t>
      </w:r>
      <w:r w:rsidR="00F87701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F87701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F87701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sproveo</w:t>
      </w:r>
      <w:r w:rsidR="00F87701" w:rsidRPr="00BE7685">
        <w:rPr>
          <w:noProof/>
          <w:szCs w:val="24"/>
          <w:lang w:val="sr-Latn-CS"/>
        </w:rPr>
        <w:t xml:space="preserve"> </w:t>
      </w:r>
      <w:r w:rsidR="004B0CD2" w:rsidRPr="00BE7685">
        <w:rPr>
          <w:noProof/>
          <w:szCs w:val="24"/>
          <w:lang w:val="sr-Latn-CS"/>
        </w:rPr>
        <w:t>USAID</w:t>
      </w:r>
      <w:r w:rsidR="00F87701" w:rsidRPr="00BE7685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Projekat</w:t>
      </w:r>
      <w:r w:rsidR="00F87701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F87701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bolje</w:t>
      </w:r>
      <w:r w:rsidR="00F87701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F87701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poslovanja</w:t>
      </w:r>
      <w:r w:rsidR="00F87701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administrativno</w:t>
      </w:r>
      <w:r w:rsidR="001B17D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opterećenje</w:t>
      </w:r>
      <w:r w:rsidR="001B17D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privrede</w:t>
      </w:r>
      <w:r w:rsidR="001B17D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B17DE" w:rsidRPr="00BE7685">
        <w:rPr>
          <w:noProof/>
          <w:szCs w:val="24"/>
          <w:lang w:val="sr-Latn-CS"/>
        </w:rPr>
        <w:t xml:space="preserve"> 2013. </w:t>
      </w:r>
      <w:r>
        <w:rPr>
          <w:noProof/>
          <w:szCs w:val="24"/>
          <w:lang w:val="sr-Latn-CS"/>
        </w:rPr>
        <w:t>godini</w:t>
      </w:r>
      <w:r w:rsidR="001B17DE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iznosilo</w:t>
      </w:r>
      <w:r w:rsidR="001B17D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B17DE" w:rsidRPr="00BE7685">
        <w:rPr>
          <w:noProof/>
          <w:szCs w:val="24"/>
          <w:lang w:val="sr-Latn-CS"/>
        </w:rPr>
        <w:t xml:space="preserve"> 3.67% </w:t>
      </w:r>
      <w:r>
        <w:rPr>
          <w:noProof/>
          <w:szCs w:val="24"/>
          <w:lang w:val="sr-Latn-CS"/>
        </w:rPr>
        <w:t>BDP</w:t>
      </w:r>
      <w:r w:rsidR="001B17DE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B17D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B17D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analiziranih</w:t>
      </w:r>
      <w:r w:rsidR="001B17DE" w:rsidRPr="00BE7685">
        <w:rPr>
          <w:noProof/>
          <w:szCs w:val="24"/>
          <w:lang w:val="sr-Latn-CS"/>
        </w:rPr>
        <w:t xml:space="preserve"> 188 </w:t>
      </w:r>
      <w:r>
        <w:rPr>
          <w:noProof/>
          <w:szCs w:val="24"/>
          <w:lang w:val="sr-Latn-CS"/>
        </w:rPr>
        <w:t>najznačajnijih</w:t>
      </w:r>
      <w:r w:rsidR="001B17D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administrativnih</w:t>
      </w:r>
      <w:r w:rsidR="001B17DE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postupaka</w:t>
      </w:r>
      <w:r w:rsidR="001B17DE" w:rsidRPr="00BE7685">
        <w:rPr>
          <w:noProof/>
          <w:szCs w:val="24"/>
          <w:lang w:val="sr-Latn-CS"/>
        </w:rPr>
        <w:t>.</w:t>
      </w:r>
    </w:p>
    <w:p w:rsidR="00B16E55" w:rsidRPr="00BE7685" w:rsidRDefault="00B16E55" w:rsidP="00A460B6">
      <w:pPr>
        <w:pStyle w:val="NoSpacing1"/>
        <w:spacing w:line="276" w:lineRule="auto"/>
        <w:ind w:firstLine="720"/>
        <w:jc w:val="both"/>
        <w:rPr>
          <w:noProof/>
          <w:szCs w:val="24"/>
          <w:lang w:val="sr-Latn-CS"/>
        </w:rPr>
      </w:pPr>
    </w:p>
    <w:p w:rsidR="00B16E55" w:rsidRPr="00BE7685" w:rsidRDefault="00B16E55" w:rsidP="00A460B6">
      <w:pPr>
        <w:pStyle w:val="NoSpacing1"/>
        <w:spacing w:line="276" w:lineRule="auto"/>
        <w:ind w:firstLine="720"/>
        <w:jc w:val="both"/>
        <w:rPr>
          <w:noProof/>
          <w:szCs w:val="24"/>
          <w:lang w:val="sr-Latn-CS"/>
        </w:rPr>
      </w:pPr>
      <w:r w:rsidRPr="00BE7685">
        <w:rPr>
          <w:noProof/>
          <w:szCs w:val="24"/>
          <w:lang w:val="sr-Latn-CS"/>
        </w:rPr>
        <w:drawing>
          <wp:inline distT="0" distB="0" distL="0" distR="0">
            <wp:extent cx="4915586" cy="30960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П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3A3" w:rsidRPr="00BE7685" w:rsidRDefault="001D23A3" w:rsidP="002A7DCB">
      <w:pPr>
        <w:pStyle w:val="NoSpacing1"/>
        <w:ind w:firstLine="720"/>
        <w:jc w:val="both"/>
        <w:rPr>
          <w:noProof/>
          <w:szCs w:val="24"/>
          <w:lang w:val="sr-Latn-CS"/>
        </w:rPr>
      </w:pPr>
    </w:p>
    <w:p w:rsidR="001D23A3" w:rsidRPr="00BE7685" w:rsidRDefault="001D23A3" w:rsidP="001D23A3">
      <w:pPr>
        <w:pStyle w:val="NoSpacing1"/>
        <w:jc w:val="both"/>
        <w:rPr>
          <w:i/>
          <w:noProof/>
          <w:szCs w:val="24"/>
          <w:lang w:val="sr-Latn-CS"/>
        </w:rPr>
      </w:pPr>
    </w:p>
    <w:p w:rsidR="001D23A3" w:rsidRPr="00BE7685" w:rsidRDefault="00BE7685" w:rsidP="001D23A3">
      <w:pPr>
        <w:pStyle w:val="NoSpacing1"/>
        <w:jc w:val="both"/>
        <w:rPr>
          <w:i/>
          <w:noProof/>
          <w:szCs w:val="24"/>
          <w:lang w:val="sr-Latn-CS"/>
        </w:rPr>
      </w:pPr>
      <w:r>
        <w:rPr>
          <w:i/>
          <w:noProof/>
          <w:szCs w:val="24"/>
          <w:lang w:val="sr-Latn-CS"/>
        </w:rPr>
        <w:t>Grafikon</w:t>
      </w:r>
      <w:r w:rsidR="001D23A3" w:rsidRPr="00BE7685">
        <w:rPr>
          <w:i/>
          <w:noProof/>
          <w:szCs w:val="24"/>
          <w:lang w:val="sr-Latn-CS"/>
        </w:rPr>
        <w:t xml:space="preserve"> 2. </w:t>
      </w:r>
      <w:r>
        <w:rPr>
          <w:i/>
          <w:noProof/>
          <w:szCs w:val="24"/>
          <w:lang w:val="sr-Latn-CS"/>
        </w:rPr>
        <w:t>Uporedni</w:t>
      </w:r>
      <w:r w:rsidR="001D23A3" w:rsidRPr="00BE7685">
        <w:rPr>
          <w:i/>
          <w:noProof/>
          <w:szCs w:val="24"/>
          <w:lang w:val="sr-Latn-CS"/>
        </w:rPr>
        <w:t xml:space="preserve"> </w:t>
      </w:r>
      <w:r>
        <w:rPr>
          <w:i/>
          <w:noProof/>
          <w:szCs w:val="24"/>
          <w:lang w:val="sr-Latn-CS"/>
        </w:rPr>
        <w:t>prikaz</w:t>
      </w:r>
      <w:r w:rsidR="001D23A3" w:rsidRPr="00BE7685">
        <w:rPr>
          <w:i/>
          <w:noProof/>
          <w:szCs w:val="24"/>
          <w:lang w:val="sr-Latn-CS"/>
        </w:rPr>
        <w:t xml:space="preserve"> </w:t>
      </w:r>
      <w:r>
        <w:rPr>
          <w:i/>
          <w:noProof/>
          <w:szCs w:val="24"/>
          <w:lang w:val="sr-Latn-CS"/>
        </w:rPr>
        <w:t>visine</w:t>
      </w:r>
      <w:r w:rsidR="001D23A3" w:rsidRPr="00BE7685">
        <w:rPr>
          <w:i/>
          <w:noProof/>
          <w:szCs w:val="24"/>
          <w:lang w:val="sr-Latn-CS"/>
        </w:rPr>
        <w:t xml:space="preserve"> </w:t>
      </w:r>
      <w:r>
        <w:rPr>
          <w:i/>
          <w:noProof/>
          <w:szCs w:val="24"/>
          <w:lang w:val="sr-Latn-CS"/>
        </w:rPr>
        <w:t>administrativnog</w:t>
      </w:r>
      <w:r w:rsidR="001D23A3" w:rsidRPr="00BE7685">
        <w:rPr>
          <w:i/>
          <w:noProof/>
          <w:szCs w:val="24"/>
          <w:lang w:val="sr-Latn-CS"/>
        </w:rPr>
        <w:t xml:space="preserve"> </w:t>
      </w:r>
      <w:r>
        <w:rPr>
          <w:i/>
          <w:noProof/>
          <w:szCs w:val="24"/>
          <w:lang w:val="sr-Latn-CS"/>
        </w:rPr>
        <w:t>opterećenja</w:t>
      </w:r>
      <w:r w:rsidR="001D23A3" w:rsidRPr="00BE7685">
        <w:rPr>
          <w:i/>
          <w:noProof/>
          <w:szCs w:val="24"/>
          <w:lang w:val="sr-Latn-CS"/>
        </w:rPr>
        <w:t xml:space="preserve">, </w:t>
      </w:r>
      <w:r>
        <w:rPr>
          <w:i/>
          <w:noProof/>
          <w:szCs w:val="24"/>
          <w:lang w:val="sr-Latn-CS"/>
        </w:rPr>
        <w:t>izvor</w:t>
      </w:r>
      <w:r w:rsidR="001D23A3" w:rsidRPr="00BE7685">
        <w:rPr>
          <w:i/>
          <w:noProof/>
          <w:szCs w:val="24"/>
          <w:lang w:val="sr-Latn-CS"/>
        </w:rPr>
        <w:t xml:space="preserve"> </w:t>
      </w:r>
      <w:r w:rsidR="004B0CD2" w:rsidRPr="00BE7685">
        <w:rPr>
          <w:i/>
          <w:noProof/>
          <w:szCs w:val="24"/>
          <w:lang w:val="sr-Latn-CS"/>
        </w:rPr>
        <w:t>USAID</w:t>
      </w:r>
      <w:r w:rsidR="001D23A3" w:rsidRPr="00BE7685">
        <w:rPr>
          <w:i/>
          <w:noProof/>
          <w:szCs w:val="24"/>
          <w:lang w:val="sr-Latn-CS"/>
        </w:rPr>
        <w:t>-</w:t>
      </w:r>
      <w:r w:rsidR="004B0CD2" w:rsidRPr="00BE7685">
        <w:rPr>
          <w:i/>
          <w:noProof/>
          <w:szCs w:val="24"/>
          <w:lang w:val="sr-Latn-CS"/>
        </w:rPr>
        <w:t>BEP</w:t>
      </w:r>
    </w:p>
    <w:p w:rsidR="001D23A3" w:rsidRPr="00BE7685" w:rsidRDefault="001D23A3" w:rsidP="002A7DCB">
      <w:pPr>
        <w:pStyle w:val="NoSpacing1"/>
        <w:ind w:firstLine="720"/>
        <w:jc w:val="both"/>
        <w:rPr>
          <w:noProof/>
          <w:szCs w:val="24"/>
          <w:lang w:val="sr-Latn-CS"/>
        </w:rPr>
      </w:pPr>
    </w:p>
    <w:p w:rsidR="002A7DCB" w:rsidRPr="00BE7685" w:rsidRDefault="00BE7685" w:rsidP="00A460B6">
      <w:pPr>
        <w:pStyle w:val="NoSpacing1"/>
        <w:spacing w:line="276" w:lineRule="auto"/>
        <w:ind w:firstLine="720"/>
        <w:jc w:val="both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Uvođenje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elektronskih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servisa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jednošalterskog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većem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značajno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pomoći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postupci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pojednostave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ubrzaju</w:t>
      </w:r>
      <w:r w:rsidR="002A7DCB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smanje</w:t>
      </w:r>
      <w:r w:rsidR="002A7DCB" w:rsidRPr="00BE7685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narednom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potrebno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nastaviti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unapređenjem</w:t>
      </w:r>
      <w:r w:rsidR="00F3148F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Portala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2A7DCB" w:rsidRPr="00BE7685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uprave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treba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mestu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2A7DCB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teritorijalne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autonomije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2A7DCB" w:rsidRPr="00BE7685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Prostor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unapređenje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domenu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</w:t>
      </w:r>
      <w:r w:rsidR="002A7DCB" w:rsidRPr="00BE7685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uprave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značajan</w:t>
      </w:r>
      <w:r w:rsidR="002A7DCB" w:rsidRPr="00BE7685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pogotovo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uzmu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obzir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uporedni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razvijenosti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ovoj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odnosu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2A7DCB" w:rsidRPr="00BE7685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</w:t>
      </w:r>
      <w:r w:rsidR="002A7DCB" w:rsidRPr="00BE7685">
        <w:rPr>
          <w:noProof/>
          <w:szCs w:val="24"/>
          <w:lang w:val="sr-Latn-CS"/>
        </w:rPr>
        <w:t>.</w:t>
      </w:r>
    </w:p>
    <w:p w:rsidR="007D34D9" w:rsidRPr="00BE7685" w:rsidRDefault="007D34D9" w:rsidP="002A7DCB">
      <w:pPr>
        <w:pStyle w:val="NoSpacing1"/>
        <w:ind w:firstLine="720"/>
        <w:jc w:val="both"/>
        <w:rPr>
          <w:noProof/>
          <w:szCs w:val="24"/>
          <w:lang w:val="sr-Latn-CS"/>
        </w:rPr>
      </w:pPr>
    </w:p>
    <w:p w:rsidR="00F2306F" w:rsidRPr="00BE7685" w:rsidRDefault="00BE7685" w:rsidP="00F2306F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Uspostavljanje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javnog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registra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neporeskih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nameta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vidu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taksi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naknada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drugih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administrativnih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opterećenja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funkciji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povećanja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transparentnosti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predvidivosti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parafiskalnog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opterećenja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ograničavanja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uvođenja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novih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nameta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često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neizdrživi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privredu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navode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subjekte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deo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ili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poslovanje</w:t>
      </w:r>
      <w:r w:rsidR="006A49C1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celosti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prevedu</w:t>
      </w:r>
      <w:r w:rsidR="00F3148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sivu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zonu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Javni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registar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bi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trebalo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da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sadrži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sveobuhvatan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preko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internet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stranice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dostupan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pregled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taksi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naknada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usluge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imaoci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javnih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ovlašćenja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naplaćuju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vršenju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tih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ovlašćenja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čime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eliminiše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nepredvidivost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arbitrarnost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uvođenja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novih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taksi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naknada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njihovih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iznosa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ovaj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način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obezbeđuje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D30138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pravna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sigurnost</w:t>
      </w:r>
      <w:r w:rsidR="00600058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60005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svrsishodnije</w:t>
      </w:r>
      <w:r w:rsidR="00D3013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planiranje</w:t>
      </w:r>
      <w:r w:rsidR="004F60E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troškova</w:t>
      </w:r>
      <w:r w:rsidR="00600058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4F60E4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F60E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4F60E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4F60E4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povećanjem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transparentnosti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pravne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sigurnosti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propisivanju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svih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naknada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korišćenje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dobara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poželjno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utvrditi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pravni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vidu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0E66F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</w:t>
      </w:r>
      <w:r w:rsidR="000E66F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0E66F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0E66F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uredile</w:t>
      </w:r>
      <w:r w:rsidR="000E66FA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naknade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korišćenje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javnih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dobara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propisao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F008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refundaciju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nezakonito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naplaćenih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naknada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Javni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registar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neporeskih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nameta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uspostavio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valjanim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osnovama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prethodno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izvršiti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klasifikaciju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neporeskih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nameta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utvrđenim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oblastima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pravno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urediti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nadležnosti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organa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ažuriranje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podataka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tom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registru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D34D9" w:rsidRPr="00BE7685" w:rsidRDefault="007D34D9" w:rsidP="00F2306F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306F" w:rsidRPr="00BE7685" w:rsidRDefault="00BE7685" w:rsidP="00390C2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bezbeđivanje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mehanizma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proveru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usklađenosti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obračuna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taksi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svoje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usluge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naplaćuju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pružaoci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javnih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usluga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ključno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kako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bi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obezbedila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ujednačenost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postupanja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organa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naplati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usluga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pružaju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građanima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privredi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Izmenama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odredbi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Zakona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republičkim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administrativnim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taksama</w:t>
      </w:r>
      <w:r w:rsidR="008E6CE0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kojima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bi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iznos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takse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izračunavao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osnovu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procenjene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vrednosti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usluge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vezi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kojima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taksa</w:t>
      </w:r>
      <w:r w:rsidR="00F2306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naplaćuje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obezbedila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204B2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dosledna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primena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Pravilnika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metodologiji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načinu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utvrđivanja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troškova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pružanja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usluge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Uspostavljanje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F2306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refundaciju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nezakonito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naplaćenih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taksi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dodatno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unapredilo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postupanje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građanima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Ujedno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potrebno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izvršiti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ujednačavanje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praksi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organa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uprave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smislu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obezbeđivanja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jednakosti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visine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taksi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koje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se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naplaćuju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korisnicima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javnih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usluga</w:t>
      </w:r>
      <w:r w:rsidR="00390C2F" w:rsidRPr="00BE768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</w:p>
    <w:p w:rsidR="00F2306F" w:rsidRPr="00BE7685" w:rsidRDefault="00F2306F" w:rsidP="00F2306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2306F" w:rsidRPr="00BE7685" w:rsidRDefault="00BE7685" w:rsidP="00F2306F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izuzetnog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značaja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bilo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uspostavljanje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javnog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registra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procedura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formalnosti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privredne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subjekte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Procedure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formalnosti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bile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sadržane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registru</w:t>
      </w:r>
      <w:r w:rsidR="008E6CE0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bile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8E6CE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predstavljene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bio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pristupačan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svima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cilju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boljeg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razumevanja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samih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procedura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organa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njihovo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troškovi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učesnike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postupku</w:t>
      </w:r>
      <w:r w:rsidR="00390C2F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60B6" w:rsidRPr="00BE7685" w:rsidRDefault="00A460B6" w:rsidP="00C519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</w:pPr>
    </w:p>
    <w:p w:rsidR="00BF124F" w:rsidRPr="00BE7685" w:rsidRDefault="00BE7685" w:rsidP="00C519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Posebni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cilj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4: </w:t>
      </w:r>
      <w:r>
        <w:rPr>
          <w:rFonts w:ascii="Times New Roman" w:hAnsi="Times New Roman" w:cs="Times New Roman"/>
          <w:b/>
          <w:noProof/>
          <w:sz w:val="24"/>
          <w:szCs w:val="24"/>
        </w:rPr>
        <w:t>Podizanje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svesti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građana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privrede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značaju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suzbijanja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sive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ekonomije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motivacije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za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poštovanje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propisa</w:t>
      </w:r>
      <w:r w:rsidR="00BF124F" w:rsidRPr="00BE768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F124F" w:rsidRPr="00BE7685" w:rsidRDefault="00BF124F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A114E" w:rsidRPr="00BE7685" w:rsidRDefault="00BE7685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Borba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podrazumeva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sinergiju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uključivanje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državnih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organizacija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jer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bez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potpunog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uključivanja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navedenih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aktera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moguće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postići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pšti</w:t>
      </w:r>
      <w:r w:rsidR="001469B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suzbijanja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2D640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114E" w:rsidRPr="00BE7685" w:rsidRDefault="009A114E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A114E" w:rsidRPr="00BE7685" w:rsidRDefault="00BE7685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Aktivno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učestvovanje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predstavlja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dodatnu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neformalnih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privrednih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tokova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tako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formalne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organizovana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nivou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Ovakav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vid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borbe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dodatni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efekat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pozitivnog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pritiska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organe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efikasnije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obavljaju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svoje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podrške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uspostavljanju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mehanizama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sprečavanje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postigao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navedeni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dodatni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efekat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uključili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borbu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protiv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46182C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8E6CE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prvenstveno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uložiti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napore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podigla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kultura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svest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negativnim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posledicama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114E" w:rsidRPr="00BE7685" w:rsidRDefault="009A114E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A114E" w:rsidRPr="00BE7685" w:rsidRDefault="00BE7685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</w:rPr>
        <w:t>godina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funkcionisala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6B77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6B77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potpuno</w:t>
      </w:r>
      <w:r w:rsidR="006B77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drugačijim</w:t>
      </w:r>
      <w:r w:rsidR="006B77F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društveno</w:t>
      </w:r>
      <w:r w:rsidR="006B77FB" w:rsidRPr="00BE7685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ekonomskim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uslovima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nisu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odgovarali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uslovima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konkurentne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tržišne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Reforme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započete</w:t>
      </w:r>
      <w:r w:rsidR="007175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već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poljuljanim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osnovama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urušene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društvene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pogođena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ratovima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regionu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prethodio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reformama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ekonomija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bila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pogođena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sankcijama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oslabile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kulturu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povećale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evaziju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neplaćanje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obaveza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neprijavljivanje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radnika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neregistrovanje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privrednih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subjekata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postalo</w:t>
      </w:r>
      <w:r w:rsidR="007175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potpuno</w:t>
      </w:r>
      <w:r w:rsidR="007175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prihvatljivo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usled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preživljavanjem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Istovremeno</w:t>
      </w:r>
      <w:r w:rsidR="007175C0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DC7E6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industrija</w:t>
      </w:r>
      <w:r w:rsidR="00DC7E6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DC7E6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privredna</w:t>
      </w:r>
      <w:r w:rsidR="00DC7E6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7175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proizvodna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zamirala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jačao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trgovinski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zasnivao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preprodaji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sivoj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zoni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Ujedno</w:t>
      </w:r>
      <w:r w:rsidR="003D01B8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država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postala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isuviše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tolerantna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takvom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privređivanja</w:t>
      </w:r>
      <w:r w:rsidR="003D01B8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uglavnom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održavanja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socijalnog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mira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114E" w:rsidRPr="00BE7685" w:rsidRDefault="009A114E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A114E" w:rsidRPr="00BE7685" w:rsidRDefault="00BE7685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Reforme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prethodnom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182C" w:rsidRPr="00BE7685">
        <w:rPr>
          <w:rFonts w:ascii="Times New Roman" w:hAnsi="Times New Roman" w:cs="Times New Roman"/>
          <w:noProof/>
          <w:sz w:val="24"/>
          <w:szCs w:val="24"/>
        </w:rPr>
        <w:t>ad hoc</w:t>
      </w:r>
      <w:r w:rsidR="00A65DE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uticale</w:t>
      </w:r>
      <w:r w:rsidR="00A65DE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A65DE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smanjenje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neformalne</w:t>
      </w:r>
      <w:r w:rsidR="007D34D9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7D34D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ukupnom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učešću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tržištu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ali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izostao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sistemski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pristup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toku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celog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održao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visok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procenat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učešća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BDP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dodatno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podržavan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46182C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bili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vođeni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idejom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takav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smanjuje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potrošnja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Plaćanje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poreza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760A6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njihove</w:t>
      </w:r>
      <w:r w:rsidR="00760A6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strane</w:t>
      </w:r>
      <w:r w:rsidR="00760A6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prvenstveno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posmatra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nepotrebna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pojava</w:t>
      </w:r>
      <w:r w:rsidR="002F73AB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jer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smatraju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46182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sredstva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poreza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usmeravaju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plate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ogromnog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broja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zaposlenih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sektoru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previđaju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760A6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plaćanjem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poreza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omogućava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šira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potrošnja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opšta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dobra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izgradnju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škola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obdaništa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drugih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institucija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opšte</w:t>
      </w:r>
      <w:r w:rsidR="00760A6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društvene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koristi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unapređenje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zdravstvenog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socijalnog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infrastrukture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životnog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standarda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svih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114E" w:rsidRPr="00BE7685" w:rsidRDefault="009A114E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A114E" w:rsidRPr="00BE7685" w:rsidRDefault="00BE7685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ovakav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pristup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promenio</w:t>
      </w:r>
      <w:r w:rsidR="00760A66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Vlada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obavezi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posveti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posebnu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pažnju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aktivnostima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usmerene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jačanje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kulture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svesti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štetnim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uticajima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BF124F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212DB" w:rsidRPr="00BE7685" w:rsidRDefault="00BF124F" w:rsidP="00A460B6">
      <w:pPr>
        <w:spacing w:before="100" w:beforeAutospacing="1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E7685">
        <w:rPr>
          <w:rFonts w:ascii="Times New Roman" w:hAnsi="Times New Roman" w:cs="Times New Roman"/>
          <w:noProof/>
          <w:sz w:val="24"/>
          <w:szCs w:val="24"/>
        </w:rPr>
        <w:tab/>
      </w:r>
      <w:r w:rsidRPr="00BE768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vezi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navedenim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sveukupna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borba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suzbijanju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će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podrazumevati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prvenstveno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kampanju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podizanju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svesti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građana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o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štetnim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posledicama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potrebi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njihovog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uključivanja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sveukupnu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borbu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njenom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suzbijanju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E7685">
        <w:rPr>
          <w:rFonts w:ascii="Times New Roman" w:hAnsi="Times New Roman" w:cs="Times New Roman"/>
          <w:noProof/>
          <w:sz w:val="24"/>
          <w:szCs w:val="24"/>
        </w:rPr>
        <w:t>Aktivnosti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će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započeti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proglašenjem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2016. </w:t>
      </w:r>
      <w:r w:rsidR="00BE7685">
        <w:rPr>
          <w:rFonts w:ascii="Times New Roman" w:hAnsi="Times New Roman" w:cs="Times New Roman"/>
          <w:noProof/>
          <w:sz w:val="24"/>
          <w:szCs w:val="24"/>
        </w:rPr>
        <w:t>godine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godinom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borbe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protiv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ekonomije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čime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će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kroz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kampanju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lastRenderedPageBreak/>
        <w:t>informisanje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uticati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veću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vidljivost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borbe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protiv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BE7685">
        <w:rPr>
          <w:rFonts w:ascii="Times New Roman" w:hAnsi="Times New Roman" w:cs="Times New Roman"/>
          <w:noProof/>
          <w:sz w:val="24"/>
          <w:szCs w:val="24"/>
        </w:rPr>
        <w:t>izradiće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identitet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nacionalne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kampanje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kratki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video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zapisi</w:t>
      </w:r>
      <w:r w:rsidR="00A271CC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promotivni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materijali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bilbordi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spotovi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reklame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brošure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</w:rPr>
        <w:t>posteri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>.)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124F" w:rsidRPr="00BE7685" w:rsidRDefault="00BF124F" w:rsidP="006212DB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A114E" w:rsidRPr="00BE7685" w:rsidRDefault="00BE7685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Posebna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pažnja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biti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usmerena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edukaciju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posebno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učenika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osnovnih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srednjih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škola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poreskih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obveznika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štetnim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posledicama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A460B6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B7304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okviru</w:t>
      </w:r>
      <w:r w:rsidR="00B7304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promotivno</w:t>
      </w:r>
      <w:r w:rsidR="00B7304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edukativne</w:t>
      </w:r>
      <w:r w:rsidR="00B73043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kampanje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što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ranija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iskustva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pokazala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radi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motivisanja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uzimaju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fiskalne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račune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taj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način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budu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prvi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kontrolor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legalnog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poslovanja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privrednih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subjekata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organizovaće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nagradne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igre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građane</w:t>
      </w:r>
      <w:r w:rsidR="007F0BE7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Pored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toga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cilju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povećavanja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efekata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nagradne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igre</w:t>
      </w:r>
      <w:r w:rsidR="00497F97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organizovaće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takmičenja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jedinica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lokalne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samouprave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prema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odnosu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broja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poslatih</w:t>
      </w:r>
      <w:r w:rsidR="00F656FC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prijava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koverata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nagradnu</w:t>
      </w:r>
      <w:r w:rsidR="006C4DC2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igru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broja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stanovnika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jedinici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lokalne</w:t>
      </w:r>
      <w:r w:rsidR="00AE0CC1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samouprave</w:t>
      </w:r>
      <w:r w:rsidR="00281975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28197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28197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28197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utvrđene</w:t>
      </w:r>
      <w:r w:rsidR="0028197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metodologije</w:t>
      </w:r>
      <w:r w:rsidR="00281975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6212D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B0AA1" w:rsidRPr="00BE7685" w:rsidRDefault="00CB0AA1" w:rsidP="0054708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A114E" w:rsidRPr="00BE7685" w:rsidRDefault="00BE7685" w:rsidP="00BF124F">
      <w:pPr>
        <w:spacing w:line="276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Ključni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ciljevi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kampanje</w:t>
      </w:r>
      <w:r w:rsidR="004F4F65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F124F" w:rsidRPr="00BE7685" w:rsidRDefault="00BF124F" w:rsidP="007D34D9">
      <w:pPr>
        <w:pStyle w:val="ListParagraph"/>
        <w:spacing w:line="276" w:lineRule="auto"/>
        <w:ind w:left="0" w:firstLine="81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1)</w:t>
      </w:r>
      <w:r w:rsidR="00497F9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Bolje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razumevanje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97F9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497F9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siva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ekonomija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njene</w:t>
      </w:r>
      <w:r w:rsidR="00497F9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posledice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životni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standard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zašto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važno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plaćati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poreze</w:t>
      </w:r>
      <w:r w:rsidR="00DC7E6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F124F" w:rsidRPr="00BE7685" w:rsidRDefault="00BF124F" w:rsidP="00BF124F">
      <w:pPr>
        <w:pStyle w:val="ListParagraph"/>
        <w:spacing w:line="276" w:lineRule="auto"/>
        <w:ind w:left="81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2)</w:t>
      </w:r>
      <w:r w:rsidR="00497F9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Edukovanje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prepoznaju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sivu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ekonomiju</w:t>
      </w:r>
      <w:r w:rsidR="00DC7E6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F124F" w:rsidRPr="00BE7685" w:rsidRDefault="00BF124F" w:rsidP="00BF124F">
      <w:pPr>
        <w:pStyle w:val="ListParagraph"/>
        <w:spacing w:line="276" w:lineRule="auto"/>
        <w:ind w:left="81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3)</w:t>
      </w:r>
      <w:r w:rsidR="00497F9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Edukacija</w:t>
      </w:r>
      <w:r w:rsidR="00DE520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="00DE520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usmerena</w:t>
      </w:r>
      <w:r w:rsidR="00DE520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ka</w:t>
      </w:r>
      <w:r w:rsidR="00221ED8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221ED8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="00221ED8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svesti</w:t>
      </w:r>
      <w:r w:rsidR="00221ED8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1ED8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značaju</w:t>
      </w:r>
      <w:r w:rsidR="00221ED8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221ED8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562189" w:rsidRPr="00BE7685" w:rsidRDefault="00BF124F" w:rsidP="007D34D9">
      <w:pPr>
        <w:pStyle w:val="ListParagraph"/>
        <w:spacing w:line="276" w:lineRule="auto"/>
        <w:ind w:left="81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4)</w:t>
      </w:r>
      <w:r w:rsidR="00497F97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Jačanje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poverenja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državu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raspolaganja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budžetskim</w:t>
      </w:r>
      <w:r w:rsidR="009A114E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lang w:val="sr-Latn-CS"/>
        </w:rPr>
        <w:t>sredstvima</w:t>
      </w:r>
      <w:r w:rsidR="00DE520B" w:rsidRPr="00BE768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91CA9" w:rsidRPr="00BE7685" w:rsidRDefault="00BE7685" w:rsidP="007D34D9">
      <w:pPr>
        <w:spacing w:line="276" w:lineRule="auto"/>
        <w:ind w:left="90" w:firstLine="61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Prethodno</w:t>
      </w:r>
      <w:r w:rsidR="00DE520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navedeni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ključni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ciljevi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reflektovati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jačanju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kulture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stvaranju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okruženja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DC7E6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podstiče</w:t>
      </w:r>
      <w:r w:rsidR="00DC7E6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poštovanje</w:t>
      </w:r>
      <w:r w:rsidR="00DC7E6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poreskih</w:t>
      </w:r>
      <w:r w:rsidR="00DC7E67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propisa</w:t>
      </w:r>
      <w:r w:rsidR="00DE520B" w:rsidRPr="00BE7685">
        <w:rPr>
          <w:rFonts w:ascii="Times New Roman" w:hAnsi="Times New Roman" w:cs="Times New Roman"/>
          <w:noProof/>
          <w:sz w:val="24"/>
          <w:szCs w:val="24"/>
        </w:rPr>
        <w:t>,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konačno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kroz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porast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priliva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poreza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pre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svega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PDV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>)</w:t>
      </w:r>
      <w:r w:rsidR="00562189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5045F" w:rsidRPr="00BE7685" w:rsidRDefault="00A5045F" w:rsidP="007D34D9">
      <w:pPr>
        <w:spacing w:line="276" w:lineRule="auto"/>
        <w:ind w:left="90" w:firstLine="6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5045F" w:rsidRPr="00BE7685" w:rsidRDefault="00BE7685" w:rsidP="007D34D9">
      <w:pPr>
        <w:spacing w:line="276" w:lineRule="auto"/>
        <w:ind w:left="90" w:firstLine="61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Kako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redovno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pratila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učinkovitost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mera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sprovode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cilju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podizanja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svesti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građana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privrede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značaju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suzbijanja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sive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ekonomije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njenoj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štetnosti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sprovodiće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ankete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istraživanja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javnog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mnjenja</w:t>
      </w:r>
      <w:r w:rsidR="00A5045F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A114E" w:rsidRPr="00BE7685" w:rsidRDefault="009A114E" w:rsidP="00C5191B">
      <w:pPr>
        <w:snapToGrid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BC0" w:rsidRPr="00BE7685" w:rsidRDefault="00372BC0" w:rsidP="00372BC0">
      <w:pPr>
        <w:ind w:left="180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VII.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PRAĆENJE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SPROVOĐENJA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</w:p>
    <w:p w:rsidR="00372BC0" w:rsidRPr="00BE7685" w:rsidRDefault="00372BC0" w:rsidP="00372BC0">
      <w:pPr>
        <w:pStyle w:val="CommentText"/>
        <w:jc w:val="both"/>
        <w:rPr>
          <w:rFonts w:ascii="Times New Roman" w:hAnsi="Times New Roman" w:cs="Times New Roman"/>
          <w:noProof/>
        </w:rPr>
      </w:pPr>
    </w:p>
    <w:p w:rsidR="00372BC0" w:rsidRPr="00BE7685" w:rsidRDefault="00372BC0" w:rsidP="00372BC0">
      <w:pPr>
        <w:pStyle w:val="CommentText"/>
        <w:jc w:val="both"/>
        <w:rPr>
          <w:rFonts w:ascii="Times New Roman" w:hAnsi="Times New Roman" w:cs="Times New Roman"/>
          <w:noProof/>
        </w:rPr>
      </w:pPr>
    </w:p>
    <w:p w:rsidR="00372BC0" w:rsidRPr="00BE7685" w:rsidRDefault="00BE7685" w:rsidP="00372BC0">
      <w:pPr>
        <w:pStyle w:val="CommentText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zasnivaće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godišnjim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akcionim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planovima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pripremati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saradnji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svim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resorno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kroz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dijalog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privatnim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sektorom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civilnim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društvom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</w:p>
    <w:p w:rsidR="00372BC0" w:rsidRPr="00BE7685" w:rsidRDefault="00372BC0" w:rsidP="00372BC0">
      <w:pPr>
        <w:pStyle w:val="CommentText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372BC0" w:rsidRPr="00BE7685" w:rsidRDefault="00BE7685" w:rsidP="00A460B6">
      <w:pPr>
        <w:pStyle w:val="CommentText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politike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organizovanog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odlikuje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složenost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višedimenzionalnost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uslovljava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poštovanje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principa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podele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između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resorno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odgovornih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njihovu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koordinaciju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Drugi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važan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princip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odnosi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neophodnost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dijaloga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uključivanja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saradnje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predstavnicima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privrede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civilnog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društva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stručne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šire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Resorna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ministarstva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odgovorni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mera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predviđenih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akcionim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planom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nalaze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njihovoj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372BC0" w:rsidRPr="00BE7685" w:rsidRDefault="00372BC0" w:rsidP="00372BC0">
      <w:pPr>
        <w:pStyle w:val="CommentText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372BC0" w:rsidRPr="00BE7685" w:rsidRDefault="00BE7685" w:rsidP="00372BC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Formirano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kao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Vlade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zadatkom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koordinira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rad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organa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usmerava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aktivnosti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pripremi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suzbijanje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sive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ekonomije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nadzire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koordinira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t>Administrativno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tehničke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potrebe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obavljaće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ministarstvo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državne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lokalne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samouprave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skladu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navedeno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ministarstvo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je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zaduženo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tehničku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koordinaciju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saradnji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Koordinacionim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telom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372BC0" w:rsidRPr="00BE7685" w:rsidRDefault="00372BC0" w:rsidP="00372BC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</w:p>
    <w:p w:rsidR="00372BC0" w:rsidRPr="00BE7685" w:rsidRDefault="00BE7685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Ministarstvo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nadležno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poslove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finansija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kvartalnom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nivou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izveštavati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napretku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sprovođenja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odnosno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realizaciji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Akcionog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plana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Takođe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Koordinaciono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telo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će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godišnjem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nivou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izveštavati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Vladu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o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realizaciji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.</w:t>
      </w:r>
    </w:p>
    <w:p w:rsidR="00E20588" w:rsidRPr="00BE7685" w:rsidRDefault="00E20588" w:rsidP="00372BC0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372BC0" w:rsidRPr="00BE7685" w:rsidRDefault="00372BC0" w:rsidP="00372BC0">
      <w:pPr>
        <w:ind w:firstLine="720"/>
        <w:jc w:val="both"/>
        <w:rPr>
          <w:rFonts w:ascii="Times New Roman" w:hAnsi="Times New Roman" w:cs="Times New Roman"/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2996"/>
        <w:gridCol w:w="3035"/>
      </w:tblGrid>
      <w:tr w:rsidR="00585757" w:rsidRPr="00BE7685" w:rsidTr="00B43889">
        <w:trPr>
          <w:trHeight w:val="851"/>
          <w:jc w:val="center"/>
        </w:trPr>
        <w:tc>
          <w:tcPr>
            <w:tcW w:w="3081" w:type="dxa"/>
            <w:shd w:val="clear" w:color="auto" w:fill="F2DBDB"/>
            <w:vAlign w:val="center"/>
          </w:tcPr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Vlada</w:t>
            </w:r>
            <w:r w:rsidR="00372BC0" w:rsidRPr="00BE7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5757" w:rsidRPr="00BE7685" w:rsidTr="00B43889">
        <w:trPr>
          <w:trHeight w:val="541"/>
          <w:jc w:val="center"/>
        </w:trPr>
        <w:tc>
          <w:tcPr>
            <w:tcW w:w="6162" w:type="dxa"/>
            <w:gridSpan w:val="2"/>
            <w:shd w:val="clear" w:color="auto" w:fill="auto"/>
            <w:vAlign w:val="center"/>
          </w:tcPr>
          <w:p w:rsidR="00372BC0" w:rsidRPr="00BE7685" w:rsidRDefault="00731B00" w:rsidP="00B438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01113E" wp14:editId="59FF32F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15240</wp:posOffset>
                      </wp:positionV>
                      <wp:extent cx="1905" cy="323215"/>
                      <wp:effectExtent l="95250" t="38100" r="74295" b="635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323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CC6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64.8pt;margin-top:1.2pt;width:.15pt;height:25.4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" strokecolor="#c0504d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Godišnje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izveštavanje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5757" w:rsidRPr="00BE7685" w:rsidTr="00B43889">
        <w:trPr>
          <w:trHeight w:val="851"/>
          <w:jc w:val="center"/>
        </w:trPr>
        <w:tc>
          <w:tcPr>
            <w:tcW w:w="3081" w:type="dxa"/>
            <w:shd w:val="clear" w:color="auto" w:fill="F2DBDB"/>
            <w:vAlign w:val="center"/>
          </w:tcPr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Koordinaciono</w:t>
            </w:r>
            <w:r w:rsidR="00372BC0" w:rsidRPr="00BE7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telo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5757" w:rsidRPr="00BE7685" w:rsidTr="00B43889">
        <w:trPr>
          <w:trHeight w:val="418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372BC0" w:rsidRPr="00BE7685" w:rsidRDefault="00731B0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5222F7" wp14:editId="2014284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33020</wp:posOffset>
                      </wp:positionV>
                      <wp:extent cx="2981325" cy="635635"/>
                      <wp:effectExtent l="57150" t="38100" r="9525" b="31115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981325" cy="635635"/>
                              </a:xfrm>
                              <a:prstGeom prst="bentConnector3">
                                <a:avLst>
                                  <a:gd name="adj1" fmla="val 99829"/>
                                </a:avLst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A2AE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8" o:spid="_x0000_s1026" type="#_x0000_t34" style="position:absolute;margin-left:65.25pt;margin-top:2.6pt;width:234.75pt;height:50.0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" adj="21563" strokecolor="#c0504d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5757" w:rsidRPr="00BE7685" w:rsidTr="00B43889">
        <w:trPr>
          <w:trHeight w:val="851"/>
          <w:jc w:val="center"/>
        </w:trPr>
        <w:tc>
          <w:tcPr>
            <w:tcW w:w="6162" w:type="dxa"/>
            <w:gridSpan w:val="2"/>
            <w:shd w:val="clear" w:color="auto" w:fill="auto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Izveštavanje</w:t>
            </w: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kvartalno</w:t>
            </w: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godišnje</w:t>
            </w:r>
          </w:p>
        </w:tc>
        <w:tc>
          <w:tcPr>
            <w:tcW w:w="3081" w:type="dxa"/>
            <w:shd w:val="clear" w:color="auto" w:fill="F2DBDB"/>
            <w:vAlign w:val="center"/>
          </w:tcPr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Ministarstvo</w:t>
            </w:r>
            <w:r w:rsidR="00372BC0" w:rsidRPr="00BE7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nadležno</w:t>
            </w:r>
            <w:r w:rsidR="00372BC0" w:rsidRPr="00BE7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poslove</w:t>
            </w:r>
            <w:r w:rsidR="00372BC0" w:rsidRPr="00BE7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finansija</w:t>
            </w:r>
          </w:p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Tehnička</w:t>
            </w:r>
            <w:r w:rsidR="00372BC0" w:rsidRPr="00BE7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koordinacija</w:t>
            </w:r>
          </w:p>
        </w:tc>
      </w:tr>
      <w:tr w:rsidR="00585757" w:rsidRPr="00BE7685" w:rsidTr="00B43889">
        <w:trPr>
          <w:trHeight w:val="411"/>
          <w:jc w:val="center"/>
        </w:trPr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731B00" w:rsidP="00B4388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5A4818" wp14:editId="628C96C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3810</wp:posOffset>
                      </wp:positionV>
                      <wp:extent cx="3040380" cy="626110"/>
                      <wp:effectExtent l="0" t="38100" r="64770" b="21590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0380" cy="626110"/>
                              </a:xfrm>
                              <a:prstGeom prst="bentConnector3">
                                <a:avLst>
                                  <a:gd name="adj1" fmla="val 100125"/>
                                </a:avLst>
                              </a:prstGeom>
                              <a:noFill/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5B84" id="AutoShape 17" o:spid="_x0000_s1026" type="#_x0000_t34" style="position:absolute;margin-left:-5.55pt;margin-top:.3pt;width:239.4pt;height:49.3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" adj="21627" strokecolor="#c0504d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85757" w:rsidRPr="00BE7685" w:rsidTr="00B43889">
        <w:trPr>
          <w:trHeight w:val="851"/>
          <w:jc w:val="center"/>
        </w:trPr>
        <w:tc>
          <w:tcPr>
            <w:tcW w:w="3081" w:type="dxa"/>
            <w:shd w:val="clear" w:color="auto" w:fill="F2DBDB"/>
            <w:vAlign w:val="center"/>
          </w:tcPr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Nosioci</w:t>
            </w:r>
            <w:r w:rsidR="00372BC0" w:rsidRPr="00BE7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aktivnosti</w:t>
            </w:r>
          </w:p>
        </w:tc>
        <w:tc>
          <w:tcPr>
            <w:tcW w:w="6162" w:type="dxa"/>
            <w:gridSpan w:val="2"/>
            <w:shd w:val="clear" w:color="auto" w:fill="auto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Kvartalno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izveštavanje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aktivnosti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372BC0" w:rsidRPr="00BE7685" w:rsidRDefault="00BE7685" w:rsidP="00372B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Grafikon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61B7" w:rsidRPr="00BE7685">
        <w:rPr>
          <w:rFonts w:ascii="Times New Roman" w:hAnsi="Times New Roman" w:cs="Times New Roman"/>
          <w:noProof/>
          <w:sz w:val="24"/>
          <w:szCs w:val="24"/>
        </w:rPr>
        <w:t>3</w:t>
      </w:r>
      <w:r w:rsidR="00A5502B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Koordinacija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strategije</w:t>
      </w:r>
    </w:p>
    <w:p w:rsidR="00372BC0" w:rsidRPr="00BE7685" w:rsidRDefault="00372BC0" w:rsidP="00372BC0">
      <w:pPr>
        <w:jc w:val="both"/>
        <w:rPr>
          <w:rFonts w:ascii="Times New Roman" w:hAnsi="Times New Roman" w:cs="Times New Roman"/>
          <w:noProof/>
        </w:rPr>
      </w:pPr>
    </w:p>
    <w:p w:rsidR="00BB19BF" w:rsidRPr="00BE7685" w:rsidRDefault="00BB19BF" w:rsidP="00372BC0">
      <w:pPr>
        <w:jc w:val="both"/>
        <w:rPr>
          <w:rFonts w:ascii="Times New Roman" w:hAnsi="Times New Roman" w:cs="Times New Roman"/>
          <w:noProof/>
        </w:rPr>
      </w:pPr>
    </w:p>
    <w:p w:rsidR="00BB19BF" w:rsidRPr="00BE7685" w:rsidRDefault="00BB19BF" w:rsidP="00372BC0">
      <w:pPr>
        <w:jc w:val="both"/>
        <w:rPr>
          <w:rFonts w:ascii="Times New Roman" w:hAnsi="Times New Roman" w:cs="Times New Roman"/>
          <w:noProof/>
        </w:rPr>
      </w:pPr>
    </w:p>
    <w:p w:rsidR="00372BC0" w:rsidRPr="00BE7685" w:rsidRDefault="00BE7685" w:rsidP="00372B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Tabela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A5502B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Ciklus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591"/>
        <w:gridCol w:w="4448"/>
      </w:tblGrid>
      <w:tr w:rsidR="00585757" w:rsidRPr="00BE7685" w:rsidTr="00BB19BF">
        <w:trPr>
          <w:trHeight w:val="350"/>
        </w:trPr>
        <w:tc>
          <w:tcPr>
            <w:tcW w:w="11448" w:type="dxa"/>
            <w:gridSpan w:val="3"/>
            <w:shd w:val="clear" w:color="auto" w:fill="auto"/>
            <w:vAlign w:val="center"/>
          </w:tcPr>
          <w:p w:rsidR="00372BC0" w:rsidRPr="00BE7685" w:rsidRDefault="00BE7685" w:rsidP="00B438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Ciklus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Nacionalnog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programa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585757" w:rsidRPr="00BE7685" w:rsidTr="00BB19BF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372BC0" w:rsidRPr="00BE7685" w:rsidRDefault="00BE7685" w:rsidP="00B438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Period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Aktivnosti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početka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perioda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2BC0" w:rsidRPr="00BE7685" w:rsidRDefault="00BE7685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Aktivnosti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tokom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kraju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perioda</w:t>
            </w:r>
          </w:p>
        </w:tc>
      </w:tr>
      <w:tr w:rsidR="00585757" w:rsidRPr="00BE7685" w:rsidTr="00BB19BF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2015.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godina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72BC0" w:rsidRPr="00BE7685" w:rsidRDefault="00BE7685" w:rsidP="00C519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Izrada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Akcionog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plana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2016,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projekcijom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2017.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godinu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Kvartalni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Godišnji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Ažuriranje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indikatora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585757" w:rsidRPr="00BE7685" w:rsidTr="00BB19BF">
        <w:trPr>
          <w:trHeight w:val="64"/>
        </w:trPr>
        <w:tc>
          <w:tcPr>
            <w:tcW w:w="110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2016.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godina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72BC0" w:rsidRPr="00BE7685" w:rsidRDefault="00BE7685" w:rsidP="00C519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Izrada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Akcionog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plana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2017,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projekcijom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godinu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Kvartalni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Godišnji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431498" w:rsidP="00431498">
            <w:pPr>
              <w:pStyle w:val="ListParagraph"/>
              <w:ind w:left="1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-   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Ažuriranje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indikatora</w:t>
            </w:r>
          </w:p>
        </w:tc>
      </w:tr>
      <w:tr w:rsidR="00585757" w:rsidRPr="00BE7685" w:rsidTr="00BB19BF">
        <w:trPr>
          <w:trHeight w:val="1639"/>
        </w:trPr>
        <w:tc>
          <w:tcPr>
            <w:tcW w:w="110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2017.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godina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72BC0" w:rsidRPr="00BE7685" w:rsidRDefault="00BE7685" w:rsidP="00C519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Izrada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Akcionog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plana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2018,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projekcijom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godinu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Kvartalni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Godišnji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Ažuriranje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indikatora</w:t>
            </w:r>
          </w:p>
          <w:p w:rsidR="00372BC0" w:rsidRPr="00BE7685" w:rsidRDefault="00431498" w:rsidP="00431498">
            <w:pPr>
              <w:pStyle w:val="ListParagraph"/>
              <w:ind w:left="34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  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-   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Analiza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potrebe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revizijom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 - (mid-term external evaluation)</w:t>
            </w:r>
          </w:p>
        </w:tc>
      </w:tr>
      <w:tr w:rsidR="00585757" w:rsidRPr="00BE7685" w:rsidTr="00BB19BF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2018.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godina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72BC0" w:rsidRPr="00BE7685" w:rsidRDefault="00BE7685" w:rsidP="00C519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Revizija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Nacionalnog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programa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potrebi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372BC0" w:rsidRPr="00BE7685" w:rsidRDefault="00BE7685" w:rsidP="00C519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Izrada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Akcionog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plana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projekcijom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2020.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Usvajanje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izmena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dopuna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revidiranog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Nacionalnog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programa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po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potrebi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)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Kvartalni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Godišnji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Ažuriranje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indikatora</w:t>
            </w:r>
          </w:p>
        </w:tc>
      </w:tr>
      <w:tr w:rsidR="00585757" w:rsidRPr="00BE7685" w:rsidTr="00BB19BF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372BC0" w:rsidRPr="00BE7685" w:rsidRDefault="00372BC0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2019.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godina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72BC0" w:rsidRPr="00BE7685" w:rsidRDefault="00BE7685" w:rsidP="00C519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Izrada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Akcionog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plana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14651B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2020.</w:t>
            </w:r>
            <w:r w:rsidR="00BB19BF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godinu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Kvartalni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Godišnji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Ažuriranje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indikatora</w:t>
            </w:r>
          </w:p>
        </w:tc>
      </w:tr>
      <w:tr w:rsidR="00372BC0" w:rsidRPr="00BE7685" w:rsidTr="00BB19BF">
        <w:trPr>
          <w:trHeight w:val="270"/>
        </w:trPr>
        <w:tc>
          <w:tcPr>
            <w:tcW w:w="1101" w:type="dxa"/>
            <w:shd w:val="clear" w:color="auto" w:fill="auto"/>
            <w:vAlign w:val="center"/>
          </w:tcPr>
          <w:p w:rsidR="00372BC0" w:rsidRPr="00BE7685" w:rsidRDefault="0014651B" w:rsidP="00B438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godina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72BC0" w:rsidRPr="00BE7685" w:rsidRDefault="00BE7685" w:rsidP="00E645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Sprovođenje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Akcionog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plana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202</w:t>
            </w:r>
            <w:r w:rsidR="00BB19BF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godinu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E64555" w:rsidRPr="00BE7685" w:rsidRDefault="00BE7685" w:rsidP="00E6455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Revizija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Nacionalnog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programa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cilju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njegovog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usvajanja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naredni</w:t>
            </w:r>
            <w:r w:rsidR="00E64555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period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Kvartalni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Godišnji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izveštaj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o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sprovođenju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Ažuriranje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indikatora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</w:p>
          <w:p w:rsidR="00372BC0" w:rsidRPr="00BE7685" w:rsidRDefault="00BE7685" w:rsidP="004314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Vrednovanje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Nacionalnog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programa</w:t>
            </w:r>
            <w:r w:rsidR="00431498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(Final external evaluation)</w:t>
            </w:r>
          </w:p>
          <w:p w:rsidR="00372BC0" w:rsidRPr="00BE7685" w:rsidRDefault="00BE7685" w:rsidP="00315B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76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Pokretanje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postupka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za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izradu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novog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strateškog</w:t>
            </w:r>
            <w:r w:rsidR="00372BC0" w:rsidRPr="00BE7685"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dokumenta</w:t>
            </w:r>
          </w:p>
        </w:tc>
      </w:tr>
    </w:tbl>
    <w:p w:rsidR="00372BC0" w:rsidRPr="00BE7685" w:rsidRDefault="00372BC0" w:rsidP="00372B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03FB" w:rsidRPr="00BE7685" w:rsidRDefault="001303FB" w:rsidP="00372B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BC0" w:rsidRPr="00BE7685" w:rsidRDefault="00BE7685" w:rsidP="00A460B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2018.</w:t>
      </w:r>
      <w:r w:rsidR="00A5502B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ranije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sprovešće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spoljna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ocena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uspešnosti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(mid-term external evaluation),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čijih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rezultata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biti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preduzete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korektivne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372BC0" w:rsidRPr="00BE7685" w:rsidRDefault="00372BC0" w:rsidP="00A460B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BC0" w:rsidRPr="00BE7685" w:rsidRDefault="00BE7685" w:rsidP="00A460B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Mere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sadržane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akcionim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planovima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finansiraće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donatorskih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sredstava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kao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međunarodnih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finansijskih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institucija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skladu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budžetskim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ograničenjima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Ministarstvo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državne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lokalne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saradnji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ministarstvom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nadležnim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priprema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godišnji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pregled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finansijskih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sredstava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predviđenih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akcionog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naredni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period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informacija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dostavljaju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resorni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nosioci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pojedinih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aktivnosti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akcionog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Priprema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godišnjih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pregleda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potrebnih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finansijskih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sredstava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njihovih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izvora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odvijaće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istovremeno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pripremom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budžeta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Republike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Srbije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narednu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godinu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372BC0" w:rsidRPr="00BE7685" w:rsidRDefault="00372BC0" w:rsidP="00A460B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BC0" w:rsidRPr="00BE7685" w:rsidRDefault="00BE7685" w:rsidP="00A460B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Najznačajniji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identifikovani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rizici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nedostatak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finansijskih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sredstava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nedovoljna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saradnja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koordinacija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Koordinaciono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telo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predstavlja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osnovni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mehanizam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mogao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izbeći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rizik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odnose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saradnju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organa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mera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predviđena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izbegavanje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odnosno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umanjenje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rizika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nedostatka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finansijskih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sredstava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projektno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planiranje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korišćenje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donatorskih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sredstava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372BC0" w:rsidRPr="00BE7685" w:rsidRDefault="00372BC0" w:rsidP="00A460B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BC0" w:rsidRPr="00BE7685" w:rsidRDefault="00BE7685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saradnji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RSJP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ministarstvo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nadležno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poslove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državne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lokalne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samouprave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razviće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sistem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praćenje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uticaja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Nacionalnog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programa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zasnovan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objektivno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proverljivim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pokazateljima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uspešnosti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oslanjati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relevantne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verifikovane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podatke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372BC0" w:rsidRPr="00BE7685" w:rsidRDefault="00372BC0" w:rsidP="00A460B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20588" w:rsidRPr="00BE7685" w:rsidRDefault="00BE7685" w:rsidP="00A460B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Osnovni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pokazatelji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praćenje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sprovođenja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strateških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ciljeva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dati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Tabeli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="00A5502B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Indikatori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praćenje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ostvarivanja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strateških</w:t>
      </w:r>
      <w:r w:rsidR="00372BC0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ciljeva</w:t>
      </w:r>
      <w:r w:rsidR="00A460B6" w:rsidRPr="00BE76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20588" w:rsidRPr="00BE7685" w:rsidRDefault="00E20588" w:rsidP="00372B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2BC0" w:rsidRPr="00BE7685" w:rsidRDefault="00BE7685" w:rsidP="00372BC0">
      <w:pPr>
        <w:pStyle w:val="NoSpacing1"/>
        <w:jc w:val="both"/>
        <w:rPr>
          <w:rFonts w:eastAsiaTheme="minorHAnsi"/>
          <w:noProof/>
          <w:szCs w:val="24"/>
          <w:lang w:val="sr-Latn-CS" w:eastAsia="sr-Latn-CS"/>
        </w:rPr>
      </w:pPr>
      <w:r>
        <w:rPr>
          <w:rFonts w:eastAsiaTheme="minorHAnsi"/>
          <w:noProof/>
          <w:szCs w:val="24"/>
          <w:lang w:val="sr-Latn-CS" w:eastAsia="sr-Latn-CS"/>
        </w:rPr>
        <w:t>Tabela</w:t>
      </w:r>
      <w:r w:rsidR="00372BC0" w:rsidRPr="00BE7685">
        <w:rPr>
          <w:rFonts w:eastAsiaTheme="minorHAnsi"/>
          <w:noProof/>
          <w:szCs w:val="24"/>
          <w:lang w:val="sr-Latn-CS" w:eastAsia="sr-Latn-CS"/>
        </w:rPr>
        <w:t xml:space="preserve"> </w:t>
      </w:r>
      <w:r w:rsidR="00A5502B" w:rsidRPr="00BE7685">
        <w:rPr>
          <w:rFonts w:eastAsiaTheme="minorHAnsi"/>
          <w:noProof/>
          <w:szCs w:val="24"/>
          <w:lang w:val="sr-Latn-CS" w:eastAsia="sr-Latn-CS"/>
        </w:rPr>
        <w:t>2.</w:t>
      </w:r>
      <w:r w:rsidR="00372BC0" w:rsidRPr="00BE7685">
        <w:rPr>
          <w:rFonts w:eastAsiaTheme="minorHAnsi"/>
          <w:noProof/>
          <w:szCs w:val="24"/>
          <w:lang w:val="sr-Latn-CS" w:eastAsia="sr-Latn-CS"/>
        </w:rPr>
        <w:t xml:space="preserve"> -  </w:t>
      </w:r>
      <w:r>
        <w:rPr>
          <w:rFonts w:eastAsiaTheme="minorHAnsi"/>
          <w:noProof/>
          <w:szCs w:val="24"/>
          <w:lang w:val="sr-Latn-CS" w:eastAsia="sr-Latn-CS"/>
        </w:rPr>
        <w:t>Indikatori</w:t>
      </w:r>
      <w:r w:rsidR="00372BC0" w:rsidRPr="00BE7685">
        <w:rPr>
          <w:rFonts w:eastAsiaTheme="minorHAnsi"/>
          <w:noProof/>
          <w:szCs w:val="24"/>
          <w:lang w:val="sr-Latn-CS" w:eastAsia="sr-Latn-CS"/>
        </w:rPr>
        <w:t xml:space="preserve"> </w:t>
      </w:r>
      <w:r>
        <w:rPr>
          <w:rFonts w:eastAsiaTheme="minorHAnsi"/>
          <w:noProof/>
          <w:szCs w:val="24"/>
          <w:lang w:val="sr-Latn-CS" w:eastAsia="sr-Latn-CS"/>
        </w:rPr>
        <w:t>za</w:t>
      </w:r>
      <w:r w:rsidR="00372BC0" w:rsidRPr="00BE7685">
        <w:rPr>
          <w:rFonts w:eastAsiaTheme="minorHAnsi"/>
          <w:noProof/>
          <w:szCs w:val="24"/>
          <w:lang w:val="sr-Latn-CS" w:eastAsia="sr-Latn-CS"/>
        </w:rPr>
        <w:t xml:space="preserve"> </w:t>
      </w:r>
      <w:r>
        <w:rPr>
          <w:rFonts w:eastAsiaTheme="minorHAnsi"/>
          <w:noProof/>
          <w:szCs w:val="24"/>
          <w:lang w:val="sr-Latn-CS" w:eastAsia="sr-Latn-CS"/>
        </w:rPr>
        <w:t>praćenje</w:t>
      </w:r>
      <w:r w:rsidR="00372BC0" w:rsidRPr="00BE7685">
        <w:rPr>
          <w:rFonts w:eastAsiaTheme="minorHAnsi"/>
          <w:noProof/>
          <w:szCs w:val="24"/>
          <w:lang w:val="sr-Latn-CS" w:eastAsia="sr-Latn-CS"/>
        </w:rPr>
        <w:t xml:space="preserve"> </w:t>
      </w:r>
      <w:r>
        <w:rPr>
          <w:rFonts w:eastAsiaTheme="minorHAnsi"/>
          <w:noProof/>
          <w:szCs w:val="24"/>
          <w:lang w:val="sr-Latn-CS" w:eastAsia="sr-Latn-CS"/>
        </w:rPr>
        <w:t>ostvarivanja</w:t>
      </w:r>
      <w:r w:rsidR="00372BC0" w:rsidRPr="00BE7685">
        <w:rPr>
          <w:rFonts w:eastAsiaTheme="minorHAnsi"/>
          <w:noProof/>
          <w:szCs w:val="24"/>
          <w:lang w:val="sr-Latn-CS" w:eastAsia="sr-Latn-CS"/>
        </w:rPr>
        <w:t xml:space="preserve"> </w:t>
      </w:r>
      <w:r>
        <w:rPr>
          <w:rFonts w:eastAsiaTheme="minorHAnsi"/>
          <w:noProof/>
          <w:szCs w:val="24"/>
          <w:lang w:val="sr-Latn-CS" w:eastAsia="sr-Latn-CS"/>
        </w:rPr>
        <w:t>strateških</w:t>
      </w:r>
      <w:r w:rsidR="00372BC0" w:rsidRPr="00BE7685">
        <w:rPr>
          <w:rFonts w:eastAsiaTheme="minorHAnsi"/>
          <w:noProof/>
          <w:szCs w:val="24"/>
          <w:lang w:val="sr-Latn-CS" w:eastAsia="sr-Latn-CS"/>
        </w:rPr>
        <w:t xml:space="preserve"> </w:t>
      </w:r>
      <w:r>
        <w:rPr>
          <w:rFonts w:eastAsiaTheme="minorHAnsi"/>
          <w:noProof/>
          <w:szCs w:val="24"/>
          <w:lang w:val="sr-Latn-CS" w:eastAsia="sr-Latn-CS"/>
        </w:rPr>
        <w:t>ciljeva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1807"/>
        <w:gridCol w:w="1667"/>
        <w:gridCol w:w="2563"/>
      </w:tblGrid>
      <w:tr w:rsidR="00585757" w:rsidRPr="00BE7685" w:rsidTr="006A6DBE">
        <w:trPr>
          <w:trHeight w:val="20"/>
          <w:jc w:val="center"/>
        </w:trPr>
        <w:tc>
          <w:tcPr>
            <w:tcW w:w="1669" w:type="pct"/>
            <w:shd w:val="clear" w:color="auto" w:fill="auto"/>
            <w:vAlign w:val="center"/>
          </w:tcPr>
          <w:p w:rsidR="006D1D94" w:rsidRPr="00BE7685" w:rsidRDefault="00BE7685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Pregled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najvažnijih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indikatora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praćenje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ostvarivanja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strateških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ciljeva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D1D94" w:rsidRPr="00BE7685" w:rsidRDefault="00BE7685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Poslednji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raspoloživi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podaci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D1D94" w:rsidRPr="00BE7685" w:rsidRDefault="006D1D94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6D1D94" w:rsidRPr="00BE7685" w:rsidRDefault="00BE7685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Izvori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podataka</w:t>
            </w:r>
          </w:p>
        </w:tc>
      </w:tr>
      <w:tr w:rsidR="00585757" w:rsidRPr="00BE7685" w:rsidTr="006A6DBE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D1D94" w:rsidRPr="00BE7685" w:rsidRDefault="00BE7685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Generalni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indikatori</w:t>
            </w:r>
          </w:p>
        </w:tc>
      </w:tr>
      <w:tr w:rsidR="00585757" w:rsidRPr="00BE7685" w:rsidTr="006A6DBE">
        <w:trPr>
          <w:trHeight w:val="20"/>
          <w:jc w:val="center"/>
        </w:trPr>
        <w:tc>
          <w:tcPr>
            <w:tcW w:w="1669" w:type="pct"/>
            <w:vAlign w:val="center"/>
          </w:tcPr>
          <w:p w:rsidR="006D1D94" w:rsidRPr="00BE7685" w:rsidRDefault="00BE7685" w:rsidP="006A6DBE">
            <w:pPr>
              <w:pStyle w:val="Comment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Učešće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sive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ekonomije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BDP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Republike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Srbije</w:t>
            </w:r>
          </w:p>
          <w:p w:rsidR="006D1D94" w:rsidRPr="00BE7685" w:rsidRDefault="006D1D94" w:rsidP="006A6D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6D1D94" w:rsidRPr="00BE7685" w:rsidRDefault="006D1D94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30,1% (2010)</w:t>
            </w:r>
          </w:p>
        </w:tc>
        <w:tc>
          <w:tcPr>
            <w:tcW w:w="920" w:type="pct"/>
            <w:vAlign w:val="center"/>
          </w:tcPr>
          <w:p w:rsidR="006D1D94" w:rsidRPr="00BE7685" w:rsidRDefault="006D1D94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26,7%</w:t>
            </w:r>
          </w:p>
        </w:tc>
        <w:tc>
          <w:tcPr>
            <w:tcW w:w="1414" w:type="pct"/>
            <w:vAlign w:val="center"/>
          </w:tcPr>
          <w:p w:rsidR="006D1D94" w:rsidRPr="00BE7685" w:rsidRDefault="00BE7685" w:rsidP="006A6D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Studija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suzbijanju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sive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ekonomije</w:t>
            </w:r>
          </w:p>
        </w:tc>
      </w:tr>
      <w:tr w:rsidR="00585757" w:rsidRPr="00BE7685" w:rsidTr="006A6DBE">
        <w:trPr>
          <w:trHeight w:val="20"/>
          <w:jc w:val="center"/>
        </w:trPr>
        <w:tc>
          <w:tcPr>
            <w:tcW w:w="1669" w:type="pct"/>
            <w:vAlign w:val="center"/>
          </w:tcPr>
          <w:p w:rsidR="006A6DBE" w:rsidRPr="00BE7685" w:rsidRDefault="00BE7685" w:rsidP="006A6DBE">
            <w:pPr>
              <w:pStyle w:val="Comment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PDV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jaz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hipotetičkog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PDV</w:t>
            </w:r>
          </w:p>
        </w:tc>
        <w:tc>
          <w:tcPr>
            <w:tcW w:w="997" w:type="pct"/>
            <w:vAlign w:val="center"/>
          </w:tcPr>
          <w:p w:rsidR="006A6DBE" w:rsidRPr="00BE7685" w:rsidRDefault="006A6DBE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25,1% (2014)</w:t>
            </w:r>
          </w:p>
        </w:tc>
        <w:tc>
          <w:tcPr>
            <w:tcW w:w="920" w:type="pct"/>
            <w:vAlign w:val="center"/>
          </w:tcPr>
          <w:p w:rsidR="006A6DBE" w:rsidRPr="00BE7685" w:rsidRDefault="00BE7685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Najviše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20%</w:t>
            </w:r>
          </w:p>
        </w:tc>
        <w:tc>
          <w:tcPr>
            <w:tcW w:w="1414" w:type="pct"/>
            <w:vAlign w:val="center"/>
          </w:tcPr>
          <w:p w:rsidR="006A6DBE" w:rsidRPr="00BE7685" w:rsidRDefault="00BE7685" w:rsidP="006A6D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Istraživanje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Republičkog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sekretarijata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javne</w:t>
            </w:r>
            <w:r w:rsidR="006A6DB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politike</w:t>
            </w:r>
          </w:p>
        </w:tc>
      </w:tr>
      <w:tr w:rsidR="006D1D94" w:rsidRPr="00BE7685" w:rsidTr="006A6DBE">
        <w:trPr>
          <w:trHeight w:val="20"/>
          <w:jc w:val="center"/>
        </w:trPr>
        <w:tc>
          <w:tcPr>
            <w:tcW w:w="1669" w:type="pct"/>
            <w:vAlign w:val="center"/>
          </w:tcPr>
          <w:p w:rsidR="006D1D94" w:rsidRPr="00BE7685" w:rsidRDefault="00BE7685" w:rsidP="006A6D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Učešće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neformalno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zaposlenih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ukupnoj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zaposlenosti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vAlign w:val="center"/>
          </w:tcPr>
          <w:p w:rsidR="006D1D94" w:rsidRPr="00BE7685" w:rsidRDefault="006D1D94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24 % (2014)</w:t>
            </w:r>
          </w:p>
        </w:tc>
        <w:tc>
          <w:tcPr>
            <w:tcW w:w="920" w:type="pct"/>
            <w:vAlign w:val="center"/>
          </w:tcPr>
          <w:p w:rsidR="006D1D94" w:rsidRPr="00BE7685" w:rsidRDefault="006D1D94" w:rsidP="006A6D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17 %</w:t>
            </w:r>
          </w:p>
        </w:tc>
        <w:tc>
          <w:tcPr>
            <w:tcW w:w="1414" w:type="pct"/>
            <w:vAlign w:val="center"/>
          </w:tcPr>
          <w:p w:rsidR="006D1D94" w:rsidRPr="00BE7685" w:rsidRDefault="00BE7685" w:rsidP="006A6DBE">
            <w:pPr>
              <w:pStyle w:val="Comment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Anketa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radnoj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snazi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Republički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zavod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statistiku</w:t>
            </w:r>
            <w:r w:rsidR="006D1D94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372BC0" w:rsidRPr="00BE7685" w:rsidRDefault="00372BC0" w:rsidP="00372BC0">
      <w:pPr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</w:p>
    <w:p w:rsidR="00EF59BE" w:rsidRPr="00BE7685" w:rsidRDefault="00EF59BE" w:rsidP="00E64555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A114E" w:rsidRPr="00BE7685" w:rsidRDefault="00773C3B" w:rsidP="00BF124F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E7685">
        <w:rPr>
          <w:rFonts w:ascii="Times New Roman" w:hAnsi="Times New Roman" w:cs="Times New Roman"/>
          <w:noProof/>
          <w:sz w:val="24"/>
          <w:szCs w:val="24"/>
        </w:rPr>
        <w:t>VII</w:t>
      </w:r>
      <w:r w:rsidR="00CA3B29" w:rsidRPr="00BE7685">
        <w:rPr>
          <w:rFonts w:ascii="Times New Roman" w:hAnsi="Times New Roman" w:cs="Times New Roman"/>
          <w:noProof/>
          <w:sz w:val="24"/>
          <w:szCs w:val="24"/>
        </w:rPr>
        <w:t>I</w:t>
      </w:r>
      <w:r w:rsidR="008D37BA" w:rsidRPr="00BE7685">
        <w:rPr>
          <w:rFonts w:ascii="Times New Roman" w:hAnsi="Times New Roman" w:cs="Times New Roman"/>
          <w:noProof/>
          <w:sz w:val="24"/>
          <w:szCs w:val="24"/>
        </w:rPr>
        <w:t>.</w:t>
      </w:r>
      <w:r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AKCIONI</w:t>
      </w:r>
      <w:r w:rsidR="00CA3B2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PLAN</w:t>
      </w:r>
      <w:r w:rsidR="00CA3B29" w:rsidRPr="00BE7685" w:rsidDel="00CA3B2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</w:t>
      </w:r>
      <w:r w:rsidR="00CA3B2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SPROVOĐENJE</w:t>
      </w:r>
      <w:r w:rsidR="00CA3B29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NACIONALNOG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E7685">
        <w:rPr>
          <w:rFonts w:ascii="Times New Roman" w:hAnsi="Times New Roman" w:cs="Times New Roman"/>
          <w:noProof/>
          <w:sz w:val="24"/>
          <w:szCs w:val="24"/>
        </w:rPr>
        <w:tab/>
      </w:r>
      <w:r w:rsidR="00BE7685">
        <w:rPr>
          <w:rFonts w:ascii="Times New Roman" w:hAnsi="Times New Roman" w:cs="Times New Roman"/>
          <w:noProof/>
          <w:sz w:val="24"/>
          <w:szCs w:val="24"/>
        </w:rPr>
        <w:t>PROGRAMA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ZA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SUZBIJANJE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SIVE</w:t>
      </w:r>
      <w:r w:rsidR="009A114E" w:rsidRPr="00BE76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685">
        <w:rPr>
          <w:rFonts w:ascii="Times New Roman" w:hAnsi="Times New Roman" w:cs="Times New Roman"/>
          <w:noProof/>
          <w:sz w:val="24"/>
          <w:szCs w:val="24"/>
        </w:rPr>
        <w:t>EKONOMIJE</w:t>
      </w:r>
    </w:p>
    <w:p w:rsidR="009A114E" w:rsidRPr="00BE7685" w:rsidRDefault="009A114E" w:rsidP="00BF124F">
      <w:pPr>
        <w:spacing w:line="276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A5483D" w:rsidRPr="00BE7685" w:rsidRDefault="00BE7685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Aktivnosti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rokovima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organima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organizacijama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nadležnim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sprovođenje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aktivnosti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potrebnim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finansijskim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sredstvima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pokazateljima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praćenje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sprovođenja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mera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Nacionalnog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programa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definisaće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se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godišnjim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akcionim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planovima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koje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donosi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Vlada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. </w:t>
      </w:r>
    </w:p>
    <w:p w:rsidR="00A5483D" w:rsidRPr="00BE7685" w:rsidRDefault="00BE7685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Akcioni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plan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sprovođenje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Nacionalnog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programa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godinu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projekcijom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za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godinu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odštampan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je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uz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Nacionalni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program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čini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njegov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sastavni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>deo</w:t>
      </w:r>
      <w:r w:rsidR="00A5483D" w:rsidRPr="00BE7685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</w:p>
    <w:p w:rsidR="00224E9A" w:rsidRPr="00BE7685" w:rsidRDefault="00224E9A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  <w:sectPr w:rsidR="00224E9A" w:rsidRPr="00BE7685" w:rsidSect="00351851">
          <w:footerReference w:type="default" r:id="rId17"/>
          <w:pgSz w:w="11906" w:h="16838"/>
          <w:pgMar w:top="1134" w:right="1417" w:bottom="1701" w:left="1417" w:header="708" w:footer="708" w:gutter="0"/>
          <w:cols w:space="708"/>
          <w:docGrid w:linePitch="360"/>
        </w:sectPr>
      </w:pPr>
    </w:p>
    <w:p w:rsidR="009A114E" w:rsidRPr="00BE7685" w:rsidRDefault="009A114E" w:rsidP="00A460B6">
      <w:pPr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A95594" w:rsidRPr="00BE7685" w:rsidRDefault="00BE7685" w:rsidP="00A95594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AKCIONI</w:t>
      </w:r>
      <w:r w:rsidR="00A95594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PLAN</w:t>
      </w:r>
      <w:r w:rsidR="00A95594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ZA</w:t>
      </w:r>
      <w:r w:rsidR="00A95594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SPROVOĐENJE</w:t>
      </w:r>
      <w:r w:rsidR="00E64555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NACIONALNOG</w:t>
      </w:r>
      <w:r w:rsidR="00E64555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PROGRAMA</w:t>
      </w:r>
      <w:r w:rsidR="00E64555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ZA</w:t>
      </w:r>
      <w:r w:rsidR="00E64555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SUZBIJANJE</w:t>
      </w:r>
      <w:r w:rsidR="00E64555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SIVE</w:t>
      </w:r>
      <w:r w:rsidR="00E64555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EKONOMIJE</w:t>
      </w:r>
      <w:r w:rsidR="00E64555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ZA</w:t>
      </w:r>
      <w:r w:rsidR="00E64555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 w:rsidR="00A95594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2016.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SA</w:t>
      </w:r>
      <w:r w:rsidR="00A95594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PROJEKCIJOM</w:t>
      </w:r>
      <w:r w:rsidR="00A95594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ZA</w:t>
      </w:r>
      <w:r w:rsidR="00A95594" w:rsidRPr="00BE7685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 xml:space="preserve"> 2017.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t>GODINU</w:t>
      </w:r>
    </w:p>
    <w:tbl>
      <w:tblPr>
        <w:tblW w:w="26253" w:type="dxa"/>
        <w:tblInd w:w="-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"/>
        <w:gridCol w:w="20"/>
        <w:gridCol w:w="559"/>
        <w:gridCol w:w="14"/>
        <w:gridCol w:w="1321"/>
        <w:gridCol w:w="507"/>
        <w:gridCol w:w="6"/>
        <w:gridCol w:w="14"/>
        <w:gridCol w:w="917"/>
        <w:gridCol w:w="127"/>
        <w:gridCol w:w="15"/>
        <w:gridCol w:w="7"/>
        <w:gridCol w:w="12"/>
        <w:gridCol w:w="42"/>
        <w:gridCol w:w="6"/>
        <w:gridCol w:w="2056"/>
        <w:gridCol w:w="127"/>
        <w:gridCol w:w="15"/>
        <w:gridCol w:w="7"/>
        <w:gridCol w:w="12"/>
        <w:gridCol w:w="22"/>
        <w:gridCol w:w="23"/>
        <w:gridCol w:w="820"/>
        <w:gridCol w:w="325"/>
        <w:gridCol w:w="18"/>
        <w:gridCol w:w="34"/>
        <w:gridCol w:w="15"/>
        <w:gridCol w:w="7"/>
        <w:gridCol w:w="12"/>
        <w:gridCol w:w="32"/>
        <w:gridCol w:w="13"/>
        <w:gridCol w:w="786"/>
        <w:gridCol w:w="701"/>
        <w:gridCol w:w="38"/>
        <w:gridCol w:w="34"/>
        <w:gridCol w:w="1225"/>
        <w:gridCol w:w="16"/>
        <w:gridCol w:w="134"/>
        <w:gridCol w:w="7"/>
        <w:gridCol w:w="35"/>
        <w:gridCol w:w="1134"/>
        <w:gridCol w:w="99"/>
        <w:gridCol w:w="7"/>
        <w:gridCol w:w="1268"/>
        <w:gridCol w:w="6"/>
        <w:gridCol w:w="8"/>
        <w:gridCol w:w="31"/>
        <w:gridCol w:w="6"/>
        <w:gridCol w:w="97"/>
        <w:gridCol w:w="1041"/>
        <w:gridCol w:w="93"/>
        <w:gridCol w:w="101"/>
        <w:gridCol w:w="34"/>
        <w:gridCol w:w="23"/>
        <w:gridCol w:w="15"/>
        <w:gridCol w:w="13"/>
        <w:gridCol w:w="1283"/>
        <w:gridCol w:w="156"/>
        <w:gridCol w:w="73"/>
        <w:gridCol w:w="673"/>
        <w:gridCol w:w="1414"/>
        <w:gridCol w:w="7883"/>
      </w:tblGrid>
      <w:tr w:rsidR="00585757" w:rsidRPr="00BE7685" w:rsidTr="00B768D3">
        <w:trPr>
          <w:gridAfter w:val="5"/>
          <w:wAfter w:w="10199" w:type="dxa"/>
        </w:trPr>
        <w:tc>
          <w:tcPr>
            <w:tcW w:w="26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Opšti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cilj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3426" w:type="dxa"/>
            <w:gridSpan w:val="5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Suzbijanje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sive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ekonomije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30,1%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26,7%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13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747" w:type="dxa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nivou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opšteg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uticaja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Smanjenje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učešća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BDP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3,4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procentna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poena</w:t>
            </w:r>
          </w:p>
        </w:tc>
      </w:tr>
      <w:tr w:rsidR="00585757" w:rsidRPr="00BE7685" w:rsidTr="00B768D3">
        <w:trPr>
          <w:gridAfter w:val="5"/>
          <w:wAfter w:w="10199" w:type="dxa"/>
          <w:trHeight w:val="275"/>
        </w:trPr>
        <w:tc>
          <w:tcPr>
            <w:tcW w:w="12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761" w:type="dxa"/>
            <w:gridSpan w:val="5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>NACIONALNOG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>PROGRAMA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>SUZBIJANJE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en-US"/>
              </w:rPr>
              <w:t>EKONOMIJE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Poseban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cilj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1: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Efikasniji</w:t>
            </w: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nadzor</w:t>
            </w: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nad</w:t>
            </w: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tokovima</w:t>
            </w: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sive</w:t>
            </w: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ekonomije</w:t>
            </w: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efikasniji</w:t>
            </w: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inspekcijski</w:t>
            </w: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nadzor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1.1.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nadzora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545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690939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690939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690939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4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  <w:trHeight w:val="567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5450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konkurentnosti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Svetskog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foruma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Kvalitet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3,9</w:t>
            </w:r>
          </w:p>
        </w:tc>
        <w:tc>
          <w:tcPr>
            <w:tcW w:w="7449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Efikasniji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inspekcijski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nadzor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Izveštaj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o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konkurentnosti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Svetskog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ekonomskog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foruma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Kvalitet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institucija</w:t>
            </w:r>
            <w:r w:rsidR="00A95594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5</w:t>
            </w:r>
            <w:r w:rsidR="00544188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</w:t>
            </w:r>
            <w:r w:rsidR="00544188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kraja</w:t>
            </w:r>
            <w:r w:rsidR="00544188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2017.)</w:t>
            </w:r>
          </w:p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026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242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343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realizaciju</w:t>
            </w:r>
          </w:p>
        </w:tc>
        <w:tc>
          <w:tcPr>
            <w:tcW w:w="1276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469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698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Praćenje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sprovođenja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smernica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izveštavanje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preporukama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efikasniji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nadzor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Kontinuirano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kvartala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Najmanje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80%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inspekcijskih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službi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potpunosti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primenjuje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smernice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Koordinacione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komisije</w:t>
            </w:r>
          </w:p>
        </w:tc>
        <w:tc>
          <w:tcPr>
            <w:tcW w:w="12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Smernice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nadzora</w:t>
            </w:r>
          </w:p>
        </w:tc>
        <w:tc>
          <w:tcPr>
            <w:tcW w:w="2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komisija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, 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državne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uprave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lokalne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samouprave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daljem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tekstu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MDULS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inspekcije</w:t>
            </w:r>
          </w:p>
          <w:p w:rsidR="00643980" w:rsidRPr="00BE7685" w:rsidRDefault="00643980" w:rsidP="00A9559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:rsidR="00643980" w:rsidRPr="00BE7685" w:rsidRDefault="00643980" w:rsidP="00A9559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USAID-BEP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inspekcijskom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nadzoru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(„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Službeni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glasnik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RS</w:t>
            </w:r>
            <w:r w:rsidR="00E64555" w:rsidRPr="00BE7685">
              <w:rPr>
                <w:rFonts w:ascii="Times New Roman" w:hAnsi="Times New Roman" w:cs="Times New Roman"/>
                <w:noProof/>
                <w:sz w:val="18"/>
                <w:szCs w:val="18"/>
                <w:shd w:val="clear" w:color="auto" w:fill="FFFFFF"/>
              </w:rPr>
              <w:t>”</w:t>
            </w:r>
            <w:r w:rsidR="00B768D3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broj</w:t>
            </w:r>
            <w:r w:rsidR="00B768D3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36/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15</w:t>
            </w:r>
            <w:r w:rsidR="00B768D3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-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daljem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tekstu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ZOIN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)</w:t>
            </w:r>
          </w:p>
          <w:p w:rsidR="00A95594" w:rsidRPr="00BE7685" w:rsidRDefault="00A95594" w:rsidP="00A95594">
            <w:pPr>
              <w:rPr>
                <w:rFonts w:ascii="Cambria" w:eastAsia="Calibri" w:hAnsi="Cambria" w:cs="Times New Roman"/>
                <w:noProof/>
                <w:sz w:val="20"/>
                <w:szCs w:val="20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406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usaglašenosti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="00E6455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Kontinuirano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kvartala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2016.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Formulisan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objavljen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komisije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dopuna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cione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dopuna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  <w:p w:rsidR="00643980" w:rsidRPr="00BE7685" w:rsidRDefault="0064398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E6455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/</w:t>
            </w:r>
          </w:p>
        </w:tc>
        <w:tc>
          <w:tcPr>
            <w:tcW w:w="2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Resorna</w:t>
            </w:r>
            <w:r w:rsidR="00E6455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Inspekcije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USAID-BEP 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</w:tr>
      <w:tr w:rsidR="005B2080" w:rsidRPr="00BE7685" w:rsidTr="00B768D3">
        <w:trPr>
          <w:gridAfter w:val="5"/>
          <w:wAfter w:w="10199" w:type="dxa"/>
          <w:trHeight w:val="406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okvira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usaglašavanja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Dostavljene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izjave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usaglašenosti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ministarstava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zaključak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nalažu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neophodnih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Model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izjave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usaglašenosti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Zaključak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preporučuju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neophodnih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</w:p>
          <w:p w:rsidR="00643980" w:rsidRPr="00BE7685" w:rsidRDefault="0064398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643980" w:rsidRPr="00BE7685" w:rsidRDefault="0064398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E64555" w:rsidP="00E6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E64555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sastavu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USAID-BEP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</w:tr>
      <w:tr w:rsidR="005B2080" w:rsidRPr="00BE7685" w:rsidTr="00B768D3">
        <w:trPr>
          <w:gridAfter w:val="5"/>
          <w:wAfter w:w="10199" w:type="dxa"/>
          <w:trHeight w:val="406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E64555">
            <w:p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kapaciteta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vršenje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neregistrivanim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2016.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Najmanje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80%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potpunosti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smernicama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neregistrovanim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subjektima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dve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obuke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godišnje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neregistrovanim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subjektima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1</w:t>
            </w:r>
            <w:r w:rsidR="00AE5D8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Metodološka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objašnjen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Vodič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B85279" w:rsidRPr="00BE7685" w:rsidRDefault="00B85279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komisije</w:t>
            </w:r>
          </w:p>
        </w:tc>
        <w:tc>
          <w:tcPr>
            <w:tcW w:w="12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85279" w:rsidP="00B85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/</w:t>
            </w:r>
          </w:p>
        </w:tc>
        <w:tc>
          <w:tcPr>
            <w:tcW w:w="2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okviru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ministarstava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USAID-BEP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lastRenderedPageBreak/>
              <w:t>Mera</w:t>
            </w:r>
            <w:r w:rsidR="00C8528F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1.2.</w:t>
            </w:r>
          </w:p>
          <w:p w:rsidR="0039723C" w:rsidRPr="00BE7685" w:rsidRDefault="00BE7685" w:rsidP="00A955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Unapređenje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kapaciteta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inspekcija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za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planiranje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sprovođenje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izveštavanje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inspekcijskom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nadzoru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Postojanje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kontrolnih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listi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postupanje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inspektora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="00D6436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godini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 30%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inspekcija</w:t>
            </w:r>
          </w:p>
          <w:p w:rsidR="0039723C" w:rsidRPr="00BE7685" w:rsidRDefault="00BE7685" w:rsidP="001A46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Postojanje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godišnjih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planova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inspekcija</w:t>
            </w:r>
            <w:r w:rsidR="00D6436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D6436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3</w:t>
            </w:r>
            <w:r w:rsidR="00D6436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1A46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Postojanje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kontrolnih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listi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postupanje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inspektora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zaključno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2016.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godini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 100%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inspekcija</w:t>
            </w:r>
          </w:p>
          <w:p w:rsidR="0039723C" w:rsidRPr="00BE7685" w:rsidRDefault="00BE7685" w:rsidP="001A46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Procenat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postojanja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godišnjih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planova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inspekcija</w:t>
            </w:r>
            <w:r w:rsidR="00D6436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- 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100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%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njihovo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ispunjenje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minimum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80%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zaključno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</w:t>
            </w:r>
            <w:r w:rsidR="001A463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2016.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godinom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14492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327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3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29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416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684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vrši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5B5A2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Izrađene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objavljene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smernice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primeni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metoda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različitim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primenjuje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  <w:tc>
          <w:tcPr>
            <w:tcW w:w="132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Smernice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primeni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metoda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različitim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primenjuje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85279" w:rsidP="00B852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sastavu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USAID-BEP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</w:tr>
      <w:tr w:rsidR="005B2080" w:rsidRPr="00BE7685" w:rsidTr="00B768D3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Standardizacija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planiranju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5B5A2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planovi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Uredba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metodologije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sprovođenja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;</w:t>
            </w:r>
          </w:p>
          <w:p w:rsidR="00B04171" w:rsidRPr="00BE7685" w:rsidRDefault="00B04171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B04171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Planovi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171" w:rsidRPr="00BE7685" w:rsidRDefault="00BE7685" w:rsidP="00B041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Uredba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utvrđivanju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metodologije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sprovođenja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B0417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B0070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sva</w:t>
            </w:r>
            <w:r w:rsidR="00B0070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sastavu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BE7685" w:rsidP="00F941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Uredba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zajedničkim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elementima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inspekcijskom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nadzoru</w:t>
            </w:r>
            <w:r w:rsidR="00F9415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(„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</w:t>
            </w:r>
            <w:r w:rsidR="00C852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81/15) </w:t>
            </w:r>
          </w:p>
        </w:tc>
      </w:tr>
      <w:tr w:rsidR="005B2080" w:rsidRPr="00BE7685" w:rsidTr="00B768D3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cilju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polaznih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jedinstvenog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informacionog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5B5A2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Izrađen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predlogom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projekta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poslovnim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procesima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predlogom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projekta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2161E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USAID - BEP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</w:tr>
      <w:tr w:rsidR="005B2080" w:rsidRPr="00BE7685" w:rsidTr="00B768D3">
        <w:trPr>
          <w:gridAfter w:val="5"/>
          <w:wAfter w:w="10199" w:type="dxa"/>
          <w:trHeight w:val="273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konferencije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pokroviteljstvom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cilju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prikupljanja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tehničkih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resursa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svega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informacionog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opreme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104E5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0070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Prikupljena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6" w:rsidRPr="00BE7685" w:rsidRDefault="00BE7685" w:rsidP="00104E5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B0070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B0070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sastavu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830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Implementacija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jedinstvenog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informacionog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  <w:r w:rsidR="00B0070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pilot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2017.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implementiran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4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pilot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30.6. 2017. 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implementiran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kraja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2018.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B0070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B0070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sastavu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USAID - BEP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stručnog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usavršavanja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korišćenje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planiranja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najmanje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pilot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tržišna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153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stručnog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usavršavanja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odnosu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sektorskih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Kontinuirano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220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trenera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USAID - BEP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591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kapaciteta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Sačinjen</w:t>
            </w:r>
            <w:r w:rsidR="006A03D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6A03D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6A03D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pregledom</w:t>
            </w:r>
            <w:r w:rsidR="006A03D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potreba</w:t>
            </w:r>
            <w:r w:rsidR="006A03D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6A03D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kapaciteta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predlogom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kapaciteta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</w:tc>
        <w:tc>
          <w:tcPr>
            <w:tcW w:w="158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komisije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  <w:p w:rsidR="00104E56" w:rsidRPr="00BE7685" w:rsidRDefault="00104E56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Usklađivanje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potrebama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Kontinuirano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kraja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2017.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godine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Zaposlen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kapaciteta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340D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Pravilnici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sistematizaciji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organizaciji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radnih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mesta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organima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državne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uprave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A95594" w:rsidRPr="00BE7685" w:rsidDel="00201A3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82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Obezbeđivanje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nedostajućih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Kontinuirano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nabavljena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oprema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potrebama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  <w:p w:rsidR="00643980" w:rsidRPr="00BE7685" w:rsidRDefault="0064398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53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kriterijumi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vrednovanje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utvrđuje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način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obračuna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zarade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ocenjivanja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platama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nameštenika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(„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 62/06, 63/06-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ispravka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 115/06-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ispravka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101/07, 99/10, 108/13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99/14)</w:t>
            </w:r>
          </w:p>
          <w:p w:rsidR="00A95594" w:rsidRPr="00BE7685" w:rsidRDefault="00BE7685" w:rsidP="00722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Uredba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ocenjivanju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službenika</w:t>
            </w:r>
            <w:r w:rsidR="00D36CE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D36CE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  <w:r w:rsidR="00D36CE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</w:t>
            </w:r>
            <w:r w:rsidR="00D36CE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</w:t>
            </w:r>
            <w:r w:rsidR="00D36CE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. 11/06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36CE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109/09)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platama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službenika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nameštenika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Uredba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ocenjivanju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službenika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416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</w:tc>
        <w:tc>
          <w:tcPr>
            <w:tcW w:w="1292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E56" w:rsidRPr="00BE7685" w:rsidRDefault="00BE7685" w:rsidP="00104E5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lastRenderedPageBreak/>
              <w:t>Mera</w:t>
            </w:r>
            <w:r w:rsidR="00340D2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1.3.</w:t>
            </w:r>
          </w:p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mehanizama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obezbeđenje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transparentnosti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nadzora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interakcije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građanima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privredom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340D2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regulatorna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transparentnost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3,6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Globalni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indeks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konkurentnosti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Svetskog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foruma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kraja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2017.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regulatorna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transparentnost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- 3,8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Globalni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indeks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konkurentnosti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Svetskog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foruma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14492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259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8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portala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internet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strane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dostupnim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nadzoru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Objavljeni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besplatno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dostupni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kontrolne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liste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planovi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drugih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dokumenata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podataka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vezi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nadzorom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Mogućnost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ostavljanja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komentara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vezi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Portal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dostupnim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podacima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elektronskoj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prezentaciji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104E56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Inspekcije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USAID - BEP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104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</w:p>
        </w:tc>
      </w:tr>
      <w:tr w:rsidR="005B2080" w:rsidRPr="00BE7685" w:rsidTr="00B768D3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8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efikasan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podnošenje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anonimnih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prijava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telefonom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mejlom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slučajevima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obaveštavanje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statusu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prijave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72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sata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B656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Pokrenuti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aplikaciju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„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call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centar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”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omogućava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roku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72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sata</w:t>
            </w:r>
            <w:r w:rsidR="00104E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obaveštavaju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statusu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podnete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prijave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656D3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656D3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6C2745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1.4.</w:t>
            </w:r>
          </w:p>
          <w:p w:rsidR="0039723C" w:rsidRPr="00BE7685" w:rsidRDefault="00BE7685" w:rsidP="00A955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Unapređenje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sistema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procesuiranja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krivičnih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dela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prekršaja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protiv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privrede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9" w:type="dxa"/>
            <w:gridSpan w:val="2"/>
          </w:tcPr>
          <w:p w:rsidR="0039723C" w:rsidRPr="00BE7685" w:rsidRDefault="0039723C" w:rsidP="00A95594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</w:tcPr>
          <w:p w:rsidR="0039723C" w:rsidRPr="00BE7685" w:rsidRDefault="0039723C" w:rsidP="00A95594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39723C" w:rsidRPr="00BE7685" w:rsidRDefault="0039723C" w:rsidP="00A95594">
            <w:pPr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883" w:type="dxa"/>
          </w:tcPr>
          <w:p w:rsidR="0039723C" w:rsidRPr="00BE7685" w:rsidRDefault="0039723C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Procenat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korišćenja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rizika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inspekcijskom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nadzoru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2013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54% 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Procenat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korišćenja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rizika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inspekcijskom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nadzoru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2017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100%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14492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591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stručnog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usavršavanja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cilju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uspešnijeg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tužioce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policiju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B656D3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40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komisije</w:t>
            </w:r>
          </w:p>
        </w:tc>
        <w:tc>
          <w:tcPr>
            <w:tcW w:w="158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656D3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kadrovima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pravde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unutrašnjih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čijoj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nadležnosti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</w:t>
            </w:r>
            <w:r w:rsidR="0094249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  <w:p w:rsidR="00942493" w:rsidRPr="00BE7685" w:rsidRDefault="00942493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703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informacija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između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učesnika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krivične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efikasna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razmena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informacija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između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učesnika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krivične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tzv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službenici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vezu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udarne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grupe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98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Pravilnici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unutrašnjoj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sistematizaciji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mesta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unutrašnjih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sudovi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Tužilaštva</w:t>
            </w:r>
          </w:p>
          <w:p w:rsidR="00643980" w:rsidRPr="00BE7685" w:rsidRDefault="0064398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656D3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sudovi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unutrašnjih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Strategija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istrage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kriminala</w:t>
            </w:r>
          </w:p>
        </w:tc>
      </w:tr>
      <w:tr w:rsidR="005B2080" w:rsidRPr="00BE7685" w:rsidTr="00B768D3">
        <w:trPr>
          <w:gridAfter w:val="5"/>
          <w:wAfter w:w="10199" w:type="dxa"/>
          <w:trHeight w:val="84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posebnih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organizacionih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jedinica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procesuiranje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krivičnih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6C2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Promenjeni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pravilnici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sistematizaciji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uređenju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angažovanju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poslovima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Pravilnici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sistematizaciji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uređenju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tužilaštava</w:t>
            </w:r>
          </w:p>
          <w:p w:rsidR="00643980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tužilaštava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Pravilnici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sistematizaciji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organizaciji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radnih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mesta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tužilaštvima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pravde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Tužilaštva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Strategija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istrage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kriminala</w:t>
            </w:r>
          </w:p>
        </w:tc>
      </w:tr>
      <w:tr w:rsidR="005B2080" w:rsidRPr="00BE7685" w:rsidTr="00B768D3">
        <w:trPr>
          <w:gridAfter w:val="5"/>
          <w:wAfter w:w="10199" w:type="dxa"/>
          <w:trHeight w:val="84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posebnih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organizacionih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jedinica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sudovima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procesuiranje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nadzora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6C2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Promenjeni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pravilnici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sistematizaciji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angažovan</w:t>
            </w:r>
            <w:r w:rsidR="003A2F5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svakom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prekršajnom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poslovima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1.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Pravilnici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sistematizaciji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prekršajnog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suda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suda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Pravilnici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sistematizaciji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organizaciji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radnih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mesta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prekršajnim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sudovima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pravde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sudovi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84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643980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stručnog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usavršavanja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krivično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gonjenje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izvršilaca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krivičnih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privrede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80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60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policajaca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Pravosudne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akademije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656D3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Pravosudna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akademija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Kriminalističko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policijska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akademija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84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stručnog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usavršavanja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procesuiranja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krivičnih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privrede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80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sudija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Pravosudne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akademije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656D3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Pravosudna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akademija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26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kapaciteta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prvostepenih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postupaka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izvršenje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manjeg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stepena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društvene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opasnosti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6D3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sektorski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utvrđuju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fiksne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mandatne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kazne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prekršaje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predstavljaju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manji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stepen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društvene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opasnosti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;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stručno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usavršavanje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primenu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30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inspektora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5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656D3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trgovine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turizma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telekomunikacija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poljoprivrede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životne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sredine</w:t>
            </w:r>
          </w:p>
          <w:p w:rsidR="00B656D3" w:rsidRPr="00BE7685" w:rsidRDefault="00B656D3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6C2745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1.5.</w:t>
            </w:r>
          </w:p>
          <w:p w:rsidR="0039723C" w:rsidRPr="00BE7685" w:rsidRDefault="00BE7685" w:rsidP="00A955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Unapređenje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koordinacije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rada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carine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inspekcija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policije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39723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Procenat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rešenih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predmeta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kalendarskoj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godini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2013</w:t>
            </w:r>
            <w:r w:rsidR="006C2745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 w:rsidR="00B656D3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godini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: 47% 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B656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Procenat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rešenih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predmeta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kalendarskoj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2017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55%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14492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591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jasnih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kriterijuma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koriste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procesu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njihovo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stalno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ažuriranje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njihova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kompatibilnost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organa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odgovarajući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B656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B656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</w:p>
        </w:tc>
        <w:tc>
          <w:tcPr>
            <w:tcW w:w="1434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B656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ZOIN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”,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.18/10, 111/12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656D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29/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15)</w:t>
            </w:r>
          </w:p>
        </w:tc>
      </w:tr>
      <w:tr w:rsidR="005B2080" w:rsidRPr="00BE7685" w:rsidTr="00B768D3">
        <w:trPr>
          <w:gridAfter w:val="5"/>
          <w:wAfter w:w="10199" w:type="dxa"/>
          <w:trHeight w:val="835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Uključivanje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Operativne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grupe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integrisanog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upravljanja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granicom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jasno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dinamika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formiranju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Operativne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grupe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E87B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unutrašnjih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MUP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poljoprivrede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životne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sredine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trgovine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turizma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telekomunikacija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građevinarstva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saobraćaja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infrastrukture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848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kontinuirane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saradnje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integrisano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granicom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komisije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definiše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saradnja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E87BCD">
            <w:pPr>
              <w:keepNext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A95594" w:rsidRPr="00BE7685" w:rsidRDefault="00A95594" w:rsidP="00A95594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CD" w:rsidRPr="00BE7685" w:rsidRDefault="00BE7685" w:rsidP="00E87BC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MUP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E87BC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poljoprivrede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zaštite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životne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sredine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BCD" w:rsidRPr="00BE7685" w:rsidRDefault="00BE7685" w:rsidP="00E87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zaštiti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granice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6C2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Strategija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integrisanog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upravljanja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granicom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Republici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Srbiji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(„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111/12)</w:t>
            </w:r>
          </w:p>
        </w:tc>
      </w:tr>
      <w:tr w:rsidR="005B2080" w:rsidRPr="00BE7685" w:rsidTr="00B768D3">
        <w:trPr>
          <w:gridAfter w:val="5"/>
          <w:wAfter w:w="10199" w:type="dxa"/>
          <w:trHeight w:val="53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pilota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integrisane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graničnih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prelaza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643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pilota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2016.</w:t>
            </w:r>
            <w:r w:rsidR="00E87BC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godini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integrisano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granicom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E87BCD" w:rsidP="00E87B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MUP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poljoprivrede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životne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sredine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trgovine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turizma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telekomunikacija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građevinarstva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saobraćaja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infrastrukture</w:t>
            </w:r>
          </w:p>
          <w:p w:rsidR="00777710" w:rsidRPr="00BE7685" w:rsidRDefault="00777710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granice</w:t>
            </w:r>
          </w:p>
        </w:tc>
      </w:tr>
      <w:tr w:rsidR="005B2080" w:rsidRPr="00BE7685" w:rsidTr="00B768D3">
        <w:trPr>
          <w:gridAfter w:val="5"/>
          <w:wAfter w:w="10199" w:type="dxa"/>
          <w:trHeight w:val="53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Ujednačavanje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prakse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vrednovanja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praćenja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carinjene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robe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274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Upoređivanja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stvarne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deklarisane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količine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provere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evidentiranje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adrese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kojoj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nalazi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skladište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dobavljača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ustanovljen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način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materijalnog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razduženja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robe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E87BCD" w:rsidP="00E87B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E87BCD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Uredba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usklađivanju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nomenklature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tarife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6833A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godinu</w:t>
            </w:r>
            <w:r w:rsidR="006833A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(„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6833A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98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15)</w:t>
            </w:r>
          </w:p>
          <w:p w:rsidR="00A95594" w:rsidRPr="00BE7685" w:rsidRDefault="00BE7685" w:rsidP="00A95594">
            <w:pPr>
              <w:keepNext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B2080" w:rsidRPr="00BE7685" w:rsidTr="00B768D3">
        <w:trPr>
          <w:gridAfter w:val="5"/>
          <w:wAfter w:w="10199" w:type="dxa"/>
          <w:trHeight w:val="53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4C3AFE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ujednačene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prakse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porekla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prodaje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otvorenim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tržnim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centrima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pijace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postupku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izdavanja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prodajnih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mesta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tezgi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prodaje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polovnih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odevnih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predmeta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tzv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 „second hand</w:t>
            </w:r>
            <w:r w:rsidR="004C3AF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ujednačena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praksa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kontrole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robe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prodaje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otvorenim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tržnim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centrima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Tržišne</w:t>
            </w:r>
            <w:r w:rsidR="001F6A2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Komunalne</w:t>
            </w:r>
            <w:r w:rsidR="001F6A2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E87BCD" w:rsidP="00E87B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E87BCD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FD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Komunalne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</w:p>
          <w:p w:rsidR="00E80DFD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Tržišna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komunalna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preduzeća</w:t>
            </w:r>
            <w:r w:rsidR="00E80DFD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53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prioritizaciju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graničnim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prelazima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1F6A2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punktovi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identifikovanim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mestima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pojačane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trgovine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crno</w:t>
            </w:r>
          </w:p>
          <w:p w:rsidR="00ED4583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prateći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podzakonski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definiše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evidentiranje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preuzelo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robu</w:t>
            </w:r>
          </w:p>
          <w:p w:rsidR="00777710" w:rsidRPr="00BE7685" w:rsidRDefault="00777710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77710" w:rsidRPr="00BE7685" w:rsidRDefault="00777710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E87BCD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Strategija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integrisanom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upravljanju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granicom</w:t>
            </w:r>
            <w:r w:rsidR="001F6A2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1F6A2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Republici</w:t>
            </w:r>
            <w:r w:rsidR="001F6A2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Srbiji</w:t>
            </w:r>
          </w:p>
        </w:tc>
      </w:tr>
      <w:tr w:rsidR="005B2080" w:rsidRPr="00BE7685" w:rsidTr="00B768D3">
        <w:trPr>
          <w:gridAfter w:val="5"/>
          <w:wAfter w:w="10199" w:type="dxa"/>
          <w:trHeight w:val="53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zajednično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delovanje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kritične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delatnosti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pojavne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oblike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1F6A2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83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Usvojen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akcioni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zajedničkog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delovanja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naredni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period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krijumčarenja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akcizne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voća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povrća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mlinarsko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pekarskih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tekstilnih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proizvoda</w:t>
            </w:r>
          </w:p>
          <w:p w:rsidR="00777710" w:rsidRPr="00BE7685" w:rsidRDefault="0077771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Akcioni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zajedničkog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delovanja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tužilaštava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Akcioni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zajedničkog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delovanja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inspekcija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carine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policije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tužilaštava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83" w:rsidRPr="00BE7685" w:rsidRDefault="00BE7685" w:rsidP="00ED458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pravde</w:t>
            </w:r>
            <w:r w:rsidR="008D1D2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ED4583" w:rsidRPr="00BE7685" w:rsidRDefault="00BE7685" w:rsidP="00ED458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MUP</w:t>
            </w:r>
          </w:p>
          <w:p w:rsidR="00ED4583" w:rsidRPr="00BE7685" w:rsidRDefault="00BE7685" w:rsidP="00ED458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Republičko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javno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tužilaštvo</w:t>
            </w:r>
            <w:r w:rsidR="008D1D2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ED458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Inspekcije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534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keepNext/>
              <w:autoSpaceDE w:val="0"/>
              <w:autoSpaceDN w:val="0"/>
              <w:adjustRightInd w:val="0"/>
              <w:spacing w:before="240" w:after="160"/>
              <w:contextualSpacing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Bolja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prevencija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osnivanja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tzv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peračkih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fantom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preduzeća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ED458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D655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710" w:rsidRPr="00BE7685" w:rsidRDefault="00BE7685" w:rsidP="00A95594">
            <w:pPr>
              <w:keepNext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Uvedena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evidencije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osnivača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privremeno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oduzet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PIB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privremenog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onemogućavanja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osnivanja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novih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okončanja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postupka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keepNext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583" w:rsidRPr="00BE7685" w:rsidRDefault="00BE7685" w:rsidP="00ED4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registraciji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privrednih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subjekata</w:t>
            </w:r>
          </w:p>
          <w:p w:rsidR="00ED4583" w:rsidRPr="00BE7685" w:rsidRDefault="00BE7685" w:rsidP="00ED45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poreskom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postupku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poreskoj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administraciji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B24A88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privrede</w:t>
            </w:r>
            <w:r w:rsidR="00B24A88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Agencija</w:t>
            </w:r>
            <w:r w:rsidR="009C7D8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9C7D8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privredne</w:t>
            </w:r>
            <w:r w:rsidR="009C7D8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registre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B24A88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1.6.</w:t>
            </w:r>
          </w:p>
          <w:p w:rsidR="00A95594" w:rsidRPr="00BE7685" w:rsidRDefault="00BE7685" w:rsidP="00A955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Uspostavljenje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ujednačene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politike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sankcionisanja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ekonomije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7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BD655B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BD655B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BD655B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7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  <w:trHeight w:val="430"/>
        </w:trPr>
        <w:tc>
          <w:tcPr>
            <w:tcW w:w="7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Procenat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rešenih</w:t>
            </w:r>
            <w:r w:rsidR="00FD449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predmeta</w:t>
            </w:r>
            <w:r w:rsidR="00FD449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FD449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2013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godini</w:t>
            </w:r>
            <w:r w:rsidR="00FD449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: 47% 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Procenat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rešenih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predmeta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2017</w:t>
            </w:r>
            <w:r w:rsidR="00ED4583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 55%</w:t>
            </w:r>
          </w:p>
          <w:p w:rsidR="00A95594" w:rsidRPr="00BE7685" w:rsidRDefault="00A95594" w:rsidP="00A955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14492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591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kaznenih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sektorskim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izrečenih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kazni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Pripremljen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pregledu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trenutnog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predlozima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pregledu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trenutnog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predlozima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</w:p>
          <w:p w:rsidR="00ED4583" w:rsidRPr="00BE7685" w:rsidRDefault="00ED4583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ED4583" w:rsidRPr="00BE7685" w:rsidRDefault="00ED4583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ED4583" w:rsidP="00ED4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pravde</w:t>
            </w:r>
          </w:p>
        </w:tc>
        <w:tc>
          <w:tcPr>
            <w:tcW w:w="1434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1225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Usklađivanje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sektorskih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izvršenom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analizom</w:t>
            </w:r>
            <w:r w:rsidR="00A95594" w:rsidRPr="00BE7685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srazmernosti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celishodnosti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izrečenih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kazni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ED4583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Usvojen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zaključak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nalaže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priprema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predlaganje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primena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reviziju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praksi</w:t>
            </w:r>
          </w:p>
          <w:p w:rsidR="00ED4583" w:rsidRPr="00BE7685" w:rsidRDefault="00ED4583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ED4583" w:rsidRPr="00BE7685" w:rsidRDefault="00ED4583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Zaključak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ED45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FD449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pravde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6C3CCF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1.7.</w:t>
            </w:r>
          </w:p>
          <w:p w:rsidR="0039723C" w:rsidRPr="00BE7685" w:rsidRDefault="00BE7685" w:rsidP="00797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Unapređenje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sistema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evidencije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zaradama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doprinosima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zaposlenih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B768D3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FD4491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Broj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utvrđenih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neprijavljenih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radnika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u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2014.- 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u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30.226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izvršenih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inspekcijskih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nadzora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ustanovljeno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5.831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lice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na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faktičkom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radu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neprijavljeno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lice</w:t>
            </w:r>
            <w:r w:rsidR="0039723C" w:rsidRPr="00BE768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7777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Smanjen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broj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utvrđenih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neprijavljenih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radnika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20%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kraja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2017.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14492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B768D3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1356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Revizija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prijave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evidentiranja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zaposlenih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1.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kojom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propisuje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prijava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radnika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vrši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najmanje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jedan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stupanja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novozaposlenog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reguliše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registracija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zaključenih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ugovora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kod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organa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7777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710" w:rsidRPr="00BE7685" w:rsidRDefault="00BE7685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B03892" w:rsidRPr="00BE7685" w:rsidRDefault="00B03892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77710" w:rsidRPr="00BE7685" w:rsidRDefault="00BE7685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zapošljavanju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B03892" w:rsidRPr="00BE7685" w:rsidRDefault="00B03892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77710" w:rsidRPr="00BE7685" w:rsidRDefault="00BE7685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penzijskom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invalidskom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osiguranju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777710" w:rsidRPr="00BE7685" w:rsidRDefault="00777710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77710" w:rsidRPr="00BE7685" w:rsidRDefault="00BE7685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Centralnom</w:t>
            </w:r>
            <w:r w:rsidR="00F16A2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registru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obaveznog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socijalnog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osiguranja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B03892" w:rsidRPr="00BE7685" w:rsidRDefault="00B03892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77710" w:rsidRPr="00BE7685" w:rsidRDefault="00BE7685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zdravstvenom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osiguranju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777710" w:rsidRPr="00BE7685" w:rsidRDefault="00777710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boračka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socijalna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710" w:rsidRPr="00BE7685" w:rsidRDefault="00BE7685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Centralni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registar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socijalno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osiguranje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CROS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  <w:r w:rsidR="004027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77710" w:rsidRPr="00BE7685" w:rsidRDefault="00BE7685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zdravlja</w:t>
            </w:r>
            <w:r w:rsidR="004027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40278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Republički</w:t>
            </w:r>
            <w:r w:rsidR="004027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fond</w:t>
            </w:r>
            <w:r w:rsidR="0040278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penzijsko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invalidsko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osiguranje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67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Omogućiti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razmenu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podataka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između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banaka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: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regulatorni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okvir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razmenu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podataka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zaradama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porezima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doprinosima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između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banaka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CROS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Republičkog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fond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zdravstveno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osiguranje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RFZO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Implementirano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tehničko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rešenje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razmenu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podataka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77771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536763" w:rsidP="00536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0832C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boračka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socijalna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zdravlja</w:t>
            </w:r>
          </w:p>
          <w:p w:rsidR="00A95594" w:rsidRPr="00BE7685" w:rsidRDefault="00A95594" w:rsidP="0077771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63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CROS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</w:p>
          <w:p w:rsidR="00536763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RFZO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PIO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B768D3">
        <w:trPr>
          <w:gridAfter w:val="5"/>
          <w:wAfter w:w="10199" w:type="dxa"/>
          <w:trHeight w:val="672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efikasniju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prijavu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sezonskih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radnika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6C3CC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vaučera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536763" w:rsidP="00536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boračka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socijalna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5B2080">
        <w:trPr>
          <w:gridAfter w:val="4"/>
          <w:wAfter w:w="10043" w:type="dxa"/>
          <w:trHeight w:val="672"/>
        </w:trPr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Planski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manifestuje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sposobnih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korisnici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novčanu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pomoć</w:t>
            </w:r>
          </w:p>
        </w:tc>
        <w:tc>
          <w:tcPr>
            <w:tcW w:w="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0832C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2016. 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uređeno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sposobna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korisnici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novčanu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pomoć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imaju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evidentiranja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Nacionalnoj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zapošljavanje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NSZ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)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kako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preduzele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njihovom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; 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NSZ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usavršavanja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ovih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efikasnijeg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uključivanja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proces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; 3.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Uvedena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javljanja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korisnika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novčane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pomoći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NSZ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-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536763" w:rsidP="00536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/</w:t>
            </w:r>
          </w:p>
        </w:tc>
        <w:tc>
          <w:tcPr>
            <w:tcW w:w="15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536763" w:rsidP="00536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536763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boračka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socijalna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</w:p>
        </w:tc>
        <w:tc>
          <w:tcPr>
            <w:tcW w:w="1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lastRenderedPageBreak/>
              <w:t>Mera</w:t>
            </w:r>
            <w:r w:rsidR="000832CB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1.8.</w:t>
            </w:r>
          </w:p>
          <w:p w:rsidR="0039723C" w:rsidRPr="00BE7685" w:rsidRDefault="00BE7685" w:rsidP="007977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Unapređenje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nadzora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nad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delatnostima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za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čije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obavljanje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potrebna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licenca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0832CB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0832CB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0832CB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će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biti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utvrđena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2016.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analizom</w:t>
            </w:r>
            <w:r w:rsidR="00693F5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stanja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Smanjen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broj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lica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utvrdi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obavljaju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delatnost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bez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licence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ili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koja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ispunjavaju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uslove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dalje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poslovanje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licencom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10%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14492" w:type="dxa"/>
            <w:gridSpan w:val="5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591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A5B34" w:rsidRPr="00BE7685" w:rsidRDefault="00DA5B34" w:rsidP="00A95594">
            <w:pPr>
              <w:numPr>
                <w:ilvl w:val="0"/>
                <w:numId w:val="13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Analiza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stanja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identifikovanje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izdavalaca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licenci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broja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nosilaca</w:t>
            </w:r>
            <w:r w:rsidR="00DA5B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licenci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DA5B3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0832C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sprovedenoj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analizi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stanja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popisom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izdavalaca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nosilaca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licenci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sprovedenojanalizi</w:t>
            </w:r>
          </w:p>
        </w:tc>
        <w:tc>
          <w:tcPr>
            <w:tcW w:w="158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536763" w:rsidP="00536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C11E1E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privrede</w:t>
            </w:r>
          </w:p>
        </w:tc>
        <w:tc>
          <w:tcPr>
            <w:tcW w:w="1434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C11E1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693F5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C11E1E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Privredna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komora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Srbije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PKS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  <w:p w:rsidR="00C11E1E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Nacionalna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alijansa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lokalni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ekonomski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razvoj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: NALED)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34" w:rsidRPr="00BE7685" w:rsidRDefault="00DA5B3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591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3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autoSpaceDE w:val="0"/>
              <w:autoSpaceDN w:val="0"/>
              <w:adjustRightInd w:val="0"/>
              <w:spacing w:after="160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Uspostaviti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dostupnu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bazu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podataka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izdavaocima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nosiocima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licenci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0832C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Registar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formalnosti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operativan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ažuriran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poseban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cilj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3)</w:t>
            </w:r>
          </w:p>
        </w:tc>
        <w:tc>
          <w:tcPr>
            <w:tcW w:w="127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Registar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</w:p>
        </w:tc>
        <w:tc>
          <w:tcPr>
            <w:tcW w:w="158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536763" w:rsidP="00536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63" w:rsidRPr="00BE7685" w:rsidRDefault="00BE7685" w:rsidP="0053676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A95594" w:rsidRPr="00BE7685" w:rsidRDefault="00A95594" w:rsidP="0053676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PKS</w:t>
            </w:r>
          </w:p>
          <w:p w:rsidR="00536763" w:rsidRPr="00BE7685" w:rsidRDefault="00536763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C11E1E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Republički</w:t>
            </w:r>
            <w:r w:rsidR="00A65DE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sekretarijat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javne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politike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1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3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podizanje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izdavalaca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licenci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praćenja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ispunjenosti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uslova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posedovanje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licenci</w:t>
            </w: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693F5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dostavljanja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potvrde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saobraznosti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ispunjenosti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uslova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metodologijom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rizika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536763" w:rsidP="00536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63" w:rsidRPr="00BE7685" w:rsidRDefault="00BE7685" w:rsidP="00536763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izdavaoci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licenci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Poseban</w:t>
            </w:r>
            <w:r w:rsidR="00693F5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cilj</w:t>
            </w:r>
            <w:r w:rsidR="00693F5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2</w:t>
            </w:r>
            <w:r w:rsidR="000B69B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Unapređenje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funkcionisanja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fiskalnog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sistema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693F5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2.1.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Stimulisanje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poštovanja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podsticaji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prevođenju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ekonomije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legalne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tokove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39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D142AF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Učešće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neformalno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zaposlenih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ukupnoj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zaposlenosti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kv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2014</w:t>
            </w:r>
            <w:r w:rsidR="00693F5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 24%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Učešće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neformalno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zaposlenih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ukupnoj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zaposlenosti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kraja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2017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- 15%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I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259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953D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Izrada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fiskalnih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stimulisanje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februara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953D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Izrađen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fiskalnih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stimulisanje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preporukama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uvele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određene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stimulativne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razmotrenim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eventualnim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izmenama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visine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neoporezivog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iznosa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zarada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novim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zakonom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uređuje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lokalnih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samouprava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953D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="00C64C3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fiskalnih</w:t>
            </w:r>
            <w:r w:rsidR="00C64C3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</w:t>
            </w:r>
            <w:r w:rsidR="00C64C3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C64C3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stimulisanje</w:t>
            </w:r>
            <w:r w:rsidR="00C64C3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zapošljavanja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953D94" w:rsidP="00953D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953D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953D94" w:rsidP="00953D94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953D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BE7685" w:rsidP="00953D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zapošljavanje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boračka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socijalna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536763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B2080" w:rsidRPr="00BE7685" w:rsidTr="00693F57">
        <w:trPr>
          <w:gridAfter w:val="5"/>
          <w:wAfter w:w="10199" w:type="dxa"/>
          <w:trHeight w:val="2122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Usklađivanje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izmirenje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registrovanih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neregistrovanih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7977D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način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propiše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plaćanje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poseban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neregistrovanog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dopunama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postupku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poreskoj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administraciji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536763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B2080" w:rsidRPr="00BE7685" w:rsidTr="00693F57">
        <w:trPr>
          <w:gridAfter w:val="5"/>
          <w:wAfter w:w="10199" w:type="dxa"/>
          <w:trHeight w:val="406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olakšica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tokom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društvima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preduzetnicima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način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propiše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niža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stopa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dobit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preduzetnike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prvoj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ograničenje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trajanja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olakšice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uvođenja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7977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dopunama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porezu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dobit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1F6D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7977DE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B2080" w:rsidRPr="00BE7685" w:rsidTr="00693F57">
        <w:trPr>
          <w:gridAfter w:val="5"/>
          <w:wAfter w:w="10199" w:type="dxa"/>
          <w:trHeight w:val="1764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41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olakšica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tokom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društvima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preduzetnicima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visine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predviđa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niži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iznos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preduzetnike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5B023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</w:t>
            </w:r>
            <w:r w:rsidR="005B023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5B023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prvoj</w:t>
            </w:r>
            <w:r w:rsidR="005B023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godini</w:t>
            </w:r>
            <w:r w:rsidR="005B0235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poslovanja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republičkim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administrativnim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taksama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E85BB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korišćenje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dobara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1F6D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1F6D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7977DE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B2080" w:rsidRPr="00BE7685" w:rsidTr="00693F57">
        <w:trPr>
          <w:gridAfter w:val="5"/>
          <w:wAfter w:w="10199" w:type="dxa"/>
          <w:trHeight w:val="80"/>
        </w:trPr>
        <w:tc>
          <w:tcPr>
            <w:tcW w:w="7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406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olakšica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preduzetnike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statusa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nezaposlenog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počinju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obavljanjem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delatnosti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preduzetnik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evidenciji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nezaposlenih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prvih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meseci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oslobođen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plaćanja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doprinosa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536763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porezu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dobit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penzijskom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invalidskom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osiguranju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socijalnom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osiguranju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osiguranju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slučaju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nezaposlenosti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zapošljavanje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boračka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socijalna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1F6D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977DE" w:rsidRPr="00BE7685" w:rsidRDefault="007977DE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  <w:r w:rsidR="001F6D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NSZ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lastRenderedPageBreak/>
              <w:t>Mera</w:t>
            </w:r>
            <w:r w:rsidR="008B6056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2.2.</w:t>
            </w:r>
          </w:p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Unapređenje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pravičnosti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fiskalnoj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politici</w:t>
            </w:r>
          </w:p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39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2014</w:t>
            </w:r>
            <w:r w:rsidR="008B6056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utvrđeno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procentualno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učešće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ukupne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dobrovoljne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naplate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poreza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ukupnom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poreskom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prihodu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procenjene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budžetu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Republike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Srbije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85%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7977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Procentualno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učešće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ukupne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dobrovoljne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naplate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poreza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ukupnim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poreskim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prihodima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procenjenim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budžetu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Republike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Srbije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 87%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I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Uspostaviti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listu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izmiruju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posluju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lista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kriterijumi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klasifikuju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platiše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„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Belu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listu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ulazak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društava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„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Belu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listu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7977DE" w:rsidP="007977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olakšica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platiša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propisuje</w:t>
            </w:r>
            <w:r w:rsidR="00496A4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kraći</w:t>
            </w:r>
            <w:r w:rsidR="00496A4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496A4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496A4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povraćaj</w:t>
            </w:r>
            <w:r w:rsidR="00496A4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PDV</w:t>
            </w:r>
            <w:r w:rsidR="00496A4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- 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automatska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primena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pojednostavljenih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postupaka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oslobađanje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dostavljanja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obezbeđenja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postupcima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akciznom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robom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7DE" w:rsidRPr="00BE7685" w:rsidRDefault="00BE7685" w:rsidP="007977D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Uredba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dozvoljenom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Carinski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</w:p>
          <w:p w:rsidR="00A95594" w:rsidRPr="00BE7685" w:rsidRDefault="00BE7685" w:rsidP="007977D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akcizama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porezu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dodatu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vrednost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carina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977DE" w:rsidRPr="00BE7685" w:rsidRDefault="007977DE" w:rsidP="007977D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neposrednu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komunikaciju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platiša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komunikacije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7977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Interni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7977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Interni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</w:t>
            </w:r>
            <w:r w:rsidR="007977D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977DE" w:rsidRPr="00BE7685" w:rsidRDefault="007977DE" w:rsidP="007977D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Podsticanje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projekata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grupnog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uvođenja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integrisanih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upravljanja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kvaliteta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konkurentnosti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lancima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snabdevanja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subjekata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najmanje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lanca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logistike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  <w:r w:rsidR="00A65DE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dobavljača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uključivanje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legalno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internom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standarda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upravljanja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kvalitetom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životne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sredine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zdravlja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bezbednosti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privrede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privrede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C26FA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  <w:r w:rsidR="00C26FA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PKS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Savez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konkurenciju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Klasteri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druga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udruženja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B2080" w:rsidRPr="00BE7685" w:rsidTr="00693F57">
        <w:trPr>
          <w:gridAfter w:val="5"/>
          <w:wAfter w:w="10199" w:type="dxa"/>
          <w:trHeight w:val="830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stimulicaju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platiša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nabavke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FAE" w:rsidRPr="00BE7685" w:rsidRDefault="00BE7685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Izmeniti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ograniči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učešće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neredovno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izmiruju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zaposlenima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implementaciju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kriterijuma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postupku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mogu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učestvovati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samo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lica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dokažu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nemaju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dugovanja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poslednjih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meseci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drugim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nosiocima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ovlašćenja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zaposlenima</w:t>
            </w: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Službeni</w:t>
            </w:r>
            <w:r w:rsidR="00C26FA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nabavkama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nabavke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65DE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31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2122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nabavki</w:t>
            </w: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C26FA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FAE" w:rsidRPr="00BE7685" w:rsidRDefault="00BE7685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regulisala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Republičke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izvrši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ocenu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dokaza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ispunjenosti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uslova</w:t>
            </w: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C26FA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nabavkama</w:t>
            </w: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26FAE" w:rsidRPr="00BE7685" w:rsidRDefault="00C26FAE" w:rsidP="00C26FA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nabavke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9A379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9A379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Republička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komisija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zaštitu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postupcima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nabavki</w:t>
            </w:r>
          </w:p>
        </w:tc>
        <w:tc>
          <w:tcPr>
            <w:tcW w:w="133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9E197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2.3.</w:t>
            </w:r>
          </w:p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Unapređenje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sistema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fiskalizacije</w:t>
            </w:r>
            <w:r w:rsidR="0039723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39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9E197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9E197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9E197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3C" w:rsidRPr="00BE7685" w:rsidRDefault="0039723C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Broj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delatnosti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oblasti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grana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grupa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klasifikacije</w:t>
            </w:r>
            <w:r w:rsidR="006169BC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izuzet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od</w:t>
            </w:r>
            <w:r w:rsidR="006169BC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obaveze</w:t>
            </w:r>
            <w:r w:rsidR="006169BC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evidentiranja</w:t>
            </w:r>
            <w:r w:rsidR="006169BC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prometa</w:t>
            </w:r>
            <w:r w:rsidR="006169BC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preko</w:t>
            </w:r>
            <w:r w:rsidR="006169BC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fiskalne</w:t>
            </w:r>
            <w:r w:rsidR="006169BC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kase</w:t>
            </w:r>
            <w:r w:rsidR="006169BC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skladu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odredbama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Uredbe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određivanju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delatnosti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kod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čijeg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obavljanja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postoji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obaveza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evidentiranja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prometa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preko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fiskalne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kase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(„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Službeni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glasnik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RS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61/10, 101/10, 94/11, 83/12, 59/13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100/14) – 2015.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godina</w:t>
            </w:r>
          </w:p>
        </w:tc>
        <w:tc>
          <w:tcPr>
            <w:tcW w:w="834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23C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Smanjen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broj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delatnosti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izuzetih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od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obaveze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evidentiranja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prometa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preko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fiskalne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kase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skladu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odredbama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zakona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kojim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uređuje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klasifikacija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delatnosti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kraja</w:t>
            </w:r>
            <w:r w:rsidR="00C8224E" w:rsidRPr="00BE7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2017.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godine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I</w:t>
            </w:r>
          </w:p>
        </w:tc>
      </w:tr>
      <w:tr w:rsidR="00585757" w:rsidRPr="00BE7685" w:rsidTr="00693F57">
        <w:trPr>
          <w:gridAfter w:val="5"/>
          <w:wAfter w:w="10199" w:type="dxa"/>
          <w:trHeight w:val="525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693F57">
        <w:trPr>
          <w:gridAfter w:val="5"/>
          <w:wAfter w:w="10199" w:type="dxa"/>
          <w:trHeight w:val="39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259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polaznih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predloga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proširenja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obuhvata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9E0FE7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formirane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proširenje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obuhvata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24E" w:rsidRPr="00BE7685" w:rsidRDefault="00BE7685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grupe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Republici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sagledavanje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funkcionalnih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tehničkih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karakteristika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troškova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tim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vezi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proširenjem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obuhvata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fisklaizacije</w:t>
            </w:r>
          </w:p>
          <w:p w:rsidR="006169BC" w:rsidRPr="00BE7685" w:rsidRDefault="006169BC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393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Proširenje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obuhvata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24E" w:rsidRPr="00BE7685" w:rsidRDefault="00BE7685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Usvojene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proširenim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obuhvatom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</w:p>
          <w:p w:rsidR="006169BC" w:rsidRPr="00BE7685" w:rsidRDefault="006169BC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C26FA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C26FAE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670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skladu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rezultatima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efekata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preporukama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Radne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grupe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</w:p>
          <w:p w:rsidR="00C8224E" w:rsidRPr="00BE7685" w:rsidRDefault="00C8224E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8224E" w:rsidRPr="00BE7685" w:rsidRDefault="00C8224E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Početak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primene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Evidencije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Poreske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2517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</w:p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95594" w:rsidRPr="00BE7685" w:rsidRDefault="00C26FAE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podsticanja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implementacije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unapređenog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elektronskog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plaćanja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bezgotovinskog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plaćanja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Izmenjeni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C26FA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: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Uvodi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nline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; 2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Uvodi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obaveznost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posedovanja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terminala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bezgotovinsko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plaćanje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većinu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delatnosti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trgovina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pružanje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usluga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  <w:r w:rsidR="00C26FAE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;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3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Uređen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način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subvencionisanja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nabavke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terminala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preduzetnicima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mikro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subjektima</w:t>
            </w:r>
          </w:p>
          <w:p w:rsidR="00C8224E" w:rsidRPr="00BE7685" w:rsidRDefault="00C8224E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C8224E" w:rsidRPr="00BE7685" w:rsidRDefault="00C8224E" w:rsidP="00C8224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2517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2517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Izmena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propisa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</w:t>
            </w:r>
            <w:r w:rsidR="00251781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fiskalizacije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Poseban</w:t>
            </w:r>
            <w:r w:rsidR="00C963A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cilj</w:t>
            </w:r>
            <w:r w:rsidR="00C963A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3</w:t>
            </w:r>
            <w:r w:rsidR="000B69B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Smanjenje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administrativnog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opterećenja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privredu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građane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C963A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3.1.</w:t>
            </w:r>
          </w:p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Uspostavljanje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javnog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registra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neporeskih</w:t>
            </w:r>
            <w:r w:rsidR="00A95594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nameta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397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– 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85757" w:rsidRPr="00BE7685" w:rsidTr="00693F57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Nepostojanje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Javnog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registra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neporeskih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nameta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regulatorna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transparentnost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3,6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Globalni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indeks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konkurentnosti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Svetskog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ekonomskog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foruma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Uspostavljanje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javnog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registra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neporeskih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nameta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unetim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svim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nametima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kraja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2017.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regulatorna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transparentnost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- 3,8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Globalni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indeks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konkurentnosti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Svetskog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ekonomskog</w:t>
            </w:r>
            <w:r w:rsidR="0039723C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foruma</w:t>
            </w:r>
          </w:p>
        </w:tc>
      </w:tr>
      <w:tr w:rsidR="00585757" w:rsidRPr="00BE7685" w:rsidTr="00693F57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lastRenderedPageBreak/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I</w:t>
            </w:r>
          </w:p>
        </w:tc>
      </w:tr>
      <w:tr w:rsidR="00585757" w:rsidRPr="00BE7685" w:rsidTr="00693F57">
        <w:trPr>
          <w:gridAfter w:val="5"/>
          <w:wAfter w:w="10199" w:type="dxa"/>
          <w:trHeight w:val="555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5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34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585757" w:rsidRPr="00BE7685" w:rsidTr="00693F57">
        <w:trPr>
          <w:gridAfter w:val="5"/>
          <w:wAfter w:w="10199" w:type="dxa"/>
          <w:trHeight w:val="60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02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njihova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klasifikacija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9E0FE7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spisak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taksi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drugih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oblastima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953D94" w:rsidP="00953D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</w:p>
          <w:p w:rsidR="00953D94" w:rsidRPr="00BE7685" w:rsidRDefault="00953D94" w:rsidP="00953D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953D94" w:rsidRPr="00BE7685" w:rsidRDefault="00953D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393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Smanjenje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parafiskalnih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A95594" w:rsidRPr="00BE7685" w:rsidRDefault="00A95594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Del="007111DE" w:rsidRDefault="00A95594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24E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nalaže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ukidanje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parafiskalnih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analizom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neopravdano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postojanje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953D94" w:rsidP="00953D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5594" w:rsidRPr="00BE7685" w:rsidRDefault="00A955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955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594" w:rsidRPr="00BE7685" w:rsidRDefault="00A955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143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94" w:rsidRPr="00BE7685" w:rsidRDefault="00953D94" w:rsidP="00A95594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efikasnijeg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naplate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raspodele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prihoda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953D94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Izrađena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metodologije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obračuna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raspodele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prihoda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953D94" w:rsidP="00953D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953D94" w:rsidP="00953D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3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3D94" w:rsidRPr="00BE7685" w:rsidRDefault="00953D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953D94" w:rsidP="00953D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953D94" w:rsidRPr="00BE7685" w:rsidRDefault="00953D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953D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94" w:rsidRPr="00BE7685" w:rsidRDefault="00953D94" w:rsidP="00A95594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94" w:rsidRPr="00BE7685" w:rsidRDefault="00BE7685" w:rsidP="00A65DE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Utvrđivanje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javnog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94" w:rsidRPr="00BE7685" w:rsidRDefault="00953D94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94" w:rsidRPr="00BE7685" w:rsidRDefault="00953D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registar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753FD0" w:rsidRPr="00BE7685" w:rsidRDefault="00953D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nadležnosti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razmenu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podataka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ažuriranje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jedinstvenom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registru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3D94" w:rsidRPr="00BE7685" w:rsidRDefault="00953D94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953D9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953D94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953D94" w:rsidRPr="00BE7685" w:rsidRDefault="00953D94" w:rsidP="00953D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953D94" w:rsidRPr="00BE7685" w:rsidRDefault="00953D94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D94" w:rsidRPr="00BE7685" w:rsidRDefault="00953D94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450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besplatno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dostupnog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online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portala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pregledom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taksi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drugih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Besplatno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dostupan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online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portal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pregledom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taksi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drugih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Internet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portal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</w:p>
        </w:tc>
        <w:tc>
          <w:tcPr>
            <w:tcW w:w="15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C64C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Direkcija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elektronsku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upravu</w:t>
            </w:r>
          </w:p>
        </w:tc>
        <w:tc>
          <w:tcPr>
            <w:tcW w:w="14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753FD0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C963A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3.2.</w:t>
            </w:r>
          </w:p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Uspostavljanje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jedinstvenog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pravnog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osnova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propisivanje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naknada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korišćenje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javnih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dobara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BC40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753FD0" w:rsidRPr="00BE7685" w:rsidTr="00693F57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postoji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jedinstveni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pravni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okvir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propisivanje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naknada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korišćenje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javnih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dobara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Uspostavljen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jedinstveni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pravni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okvir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propisivanje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naknada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korišćenje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javnih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dobara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I</w:t>
            </w:r>
          </w:p>
        </w:tc>
      </w:tr>
      <w:tr w:rsidR="00753FD0" w:rsidRPr="00BE7685" w:rsidTr="00693F57">
        <w:trPr>
          <w:gridAfter w:val="5"/>
          <w:wAfter w:w="10199" w:type="dxa"/>
          <w:trHeight w:val="482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753FD0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6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82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26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753FD0" w:rsidRPr="00BE7685" w:rsidTr="00693F57">
        <w:trPr>
          <w:gridAfter w:val="5"/>
          <w:wAfter w:w="10199" w:type="dxa"/>
          <w:trHeight w:val="765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753FD0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8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125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numPr>
                <w:ilvl w:val="0"/>
                <w:numId w:val="16"/>
              </w:numPr>
              <w:spacing w:before="100" w:beforeAutospacing="1"/>
              <w:ind w:left="786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uređenje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taksi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92629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propisuje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kontrolni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mehanizam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metodologija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6169BC" w:rsidRPr="00BE7685" w:rsidRDefault="006169BC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92629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naknadama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C963A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70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3FD0" w:rsidRPr="00BE7685" w:rsidRDefault="00753FD0" w:rsidP="00A95594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Usvojeni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implementacioni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753FD0" w:rsidRPr="00BE7685" w:rsidRDefault="00753FD0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Usvojeni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podzakonski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predviđeni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zakonom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naknadama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Pravilnici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272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numPr>
                <w:ilvl w:val="0"/>
                <w:numId w:val="16"/>
              </w:numPr>
              <w:spacing w:before="100" w:beforeAutospacing="1"/>
              <w:ind w:left="786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97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numPr>
                <w:ilvl w:val="0"/>
                <w:numId w:val="16"/>
              </w:numPr>
              <w:spacing w:before="100" w:beforeAutospacing="1"/>
              <w:ind w:left="786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sistem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refundaciju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nezakonito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naplaćenih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taksi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Odredba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implementirana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zakonu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naknadama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92629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naknadama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A32536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3.3.</w:t>
            </w:r>
          </w:p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lastRenderedPageBreak/>
              <w:t>Uspostavljanje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javnog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registra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formalnosti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koje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primenjuju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građani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privreda</w:t>
            </w: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F26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stanje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99" w:type="dxa"/>
            <w:gridSpan w:val="4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753FD0" w:rsidRPr="00BE7685" w:rsidTr="00693F57">
        <w:trPr>
          <w:gridAfter w:val="5"/>
          <w:wAfter w:w="10199" w:type="dxa"/>
          <w:trHeight w:val="430"/>
        </w:trPr>
        <w:tc>
          <w:tcPr>
            <w:tcW w:w="315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postoji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jedinstveno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mesto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kome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vidljive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procedure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niti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popis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formalnosti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Popisane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procedure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uspostavljen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jedinstveni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javni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registar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formalnosti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I</w:t>
            </w:r>
          </w:p>
        </w:tc>
      </w:tr>
      <w:tr w:rsidR="00753FD0" w:rsidRPr="00BE7685" w:rsidTr="00693F57">
        <w:trPr>
          <w:gridAfter w:val="5"/>
          <w:wAfter w:w="10199" w:type="dxa"/>
          <w:trHeight w:val="540"/>
        </w:trPr>
        <w:tc>
          <w:tcPr>
            <w:tcW w:w="3155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753FD0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078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7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69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28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26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753FD0" w:rsidRPr="00BE7685" w:rsidTr="00693F57">
        <w:trPr>
          <w:gridAfter w:val="5"/>
          <w:wAfter w:w="10199" w:type="dxa"/>
          <w:trHeight w:val="615"/>
        </w:trPr>
        <w:tc>
          <w:tcPr>
            <w:tcW w:w="3155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753FD0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020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analize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formalnosti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njihova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klasifikacija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spisak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formalnosti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oblastima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753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</w:p>
        </w:tc>
        <w:tc>
          <w:tcPr>
            <w:tcW w:w="14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65DE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formalnosti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1.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formalnosti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nadležnosti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državne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razmenu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podataka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ažuriranje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Službeni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glasnik</w:t>
            </w:r>
          </w:p>
        </w:tc>
        <w:tc>
          <w:tcPr>
            <w:tcW w:w="1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zakon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jedinstvenom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formalnosti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753FD0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677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A95594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tehničke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platforme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registar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formalnosti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Besplatno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dostupan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online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portal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pregledom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procedura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formalnosti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Internet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portal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registra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neporeskih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nameta</w:t>
            </w:r>
          </w:p>
        </w:tc>
        <w:tc>
          <w:tcPr>
            <w:tcW w:w="1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7B" w:rsidRPr="00BE7685" w:rsidRDefault="00BE7685" w:rsidP="00A37E7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</w:p>
          <w:p w:rsidR="00A37E7B" w:rsidRPr="00BE7685" w:rsidRDefault="00A37E7B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7B" w:rsidRPr="00BE7685" w:rsidRDefault="00BE7685" w:rsidP="00A37E7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Direkcija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elektronsku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upravu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9E0FE7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6169BC" w:rsidRPr="00BE7685" w:rsidRDefault="006169BC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6169BC" w:rsidRPr="00BE7685" w:rsidRDefault="006169BC" w:rsidP="00A9559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A955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4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Poseban</w:t>
            </w:r>
            <w:r w:rsidR="00A32536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cilj</w:t>
            </w:r>
            <w:r w:rsidR="00A32536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4</w:t>
            </w:r>
            <w:r w:rsidR="000B69BC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913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 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Podizanje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svesti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građana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privrede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značaju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suzbijanja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sive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ekonomije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motivacije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poštovanje</w:t>
            </w: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propisa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41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A32536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4.1.</w:t>
            </w:r>
          </w:p>
          <w:p w:rsidR="00753FD0" w:rsidRPr="00BE7685" w:rsidRDefault="00BE7685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lastRenderedPageBreak/>
              <w:t>Podizanje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opšte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svesti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oblicima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pojavama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kroz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informaciono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edukativne</w:t>
            </w:r>
            <w:r w:rsidR="00753FD0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kampanje</w:t>
            </w:r>
          </w:p>
        </w:tc>
        <w:tc>
          <w:tcPr>
            <w:tcW w:w="12913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41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4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3141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913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753FD0" w:rsidRPr="00BE7685" w:rsidTr="00693F57">
        <w:trPr>
          <w:gridAfter w:val="5"/>
          <w:wAfter w:w="10199" w:type="dxa"/>
          <w:trHeight w:val="430"/>
        </w:trPr>
        <w:tc>
          <w:tcPr>
            <w:tcW w:w="314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4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32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Anketa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sproveo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NALED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2015.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pokazuje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53%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građana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opravdava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postojanje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svesni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njenih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negativnih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posledica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Povećan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broj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građana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koji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opravdava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postojanje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svesni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njenih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negativnih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posledica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65%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više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kraja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2017.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godine</w:t>
            </w:r>
          </w:p>
        </w:tc>
      </w:tr>
      <w:tr w:rsidR="00753FD0" w:rsidRPr="00BE7685" w:rsidTr="00693F57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lastRenderedPageBreak/>
              <w:t> </w:t>
            </w:r>
          </w:p>
        </w:tc>
      </w:tr>
      <w:tr w:rsidR="00753FD0" w:rsidRPr="00BE7685" w:rsidTr="00693F57">
        <w:trPr>
          <w:gridAfter w:val="5"/>
          <w:wAfter w:w="10199" w:type="dxa"/>
          <w:trHeight w:val="118"/>
        </w:trPr>
        <w:tc>
          <w:tcPr>
            <w:tcW w:w="3135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753FD0" w:rsidP="00DF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BE7685" w:rsidP="00DF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Aktivnosti</w:t>
            </w:r>
          </w:p>
        </w:tc>
        <w:tc>
          <w:tcPr>
            <w:tcW w:w="1140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4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8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2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04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753FD0" w:rsidRPr="00BE7685" w:rsidTr="00693F57">
        <w:trPr>
          <w:gridAfter w:val="5"/>
          <w:wAfter w:w="10199" w:type="dxa"/>
          <w:trHeight w:val="339"/>
        </w:trPr>
        <w:tc>
          <w:tcPr>
            <w:tcW w:w="313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753FD0" w:rsidRPr="00BE7685" w:rsidRDefault="00753FD0" w:rsidP="00DF58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3FD0" w:rsidRPr="00BE7685" w:rsidRDefault="00BE7685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425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DF5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2083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FE7" w:rsidRPr="00BE7685" w:rsidRDefault="00753FD0" w:rsidP="00D43D68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1</w:t>
            </w:r>
          </w:p>
          <w:p w:rsidR="00753FD0" w:rsidRPr="00BE7685" w:rsidRDefault="00753FD0" w:rsidP="009E0FE7">
            <w:pPr>
              <w:pStyle w:val="ListParagraph"/>
              <w:numPr>
                <w:ilvl w:val="0"/>
                <w:numId w:val="46"/>
              </w:numPr>
              <w:tabs>
                <w:tab w:val="left" w:pos="559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Proglašenje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2017.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1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kvartal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2016.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posebnim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aktom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proglasila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2017.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Nisu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FE7" w:rsidRPr="00BE7685" w:rsidRDefault="00BE7685" w:rsidP="009E0FE7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9E0FE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753FD0" w:rsidRPr="00BE7685" w:rsidRDefault="00753FD0" w:rsidP="00E419CE">
            <w:pPr>
              <w:tabs>
                <w:tab w:val="left" w:pos="1175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9E0FE7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Savet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fer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konkurenciju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6169B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  <w:p w:rsidR="006169BC" w:rsidRPr="00BE7685" w:rsidRDefault="006169BC" w:rsidP="006169B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6169BC" w:rsidRPr="00BE7685" w:rsidRDefault="006169BC" w:rsidP="006169B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406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E419CE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Povećanje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vidljivosti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informisanje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Izrada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identiteta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nacionalne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promovisanje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2016/17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izrađen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postavljen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materijal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informacijama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elektronskoj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prezentaciji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eUprave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;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Izrađen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postavljen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baner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elektronskoj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prezentaciji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;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Izrađen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promotivni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materijal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plasiran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džingl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reklama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posteri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brošure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bilbordi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....</w:t>
            </w:r>
          </w:p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Emitovanje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reklama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džinglova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spotova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medijima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priključe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753FD0" w:rsidRPr="00BE7685" w:rsidRDefault="00BE7685" w:rsidP="00A65DE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Postavljeni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bilbordi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posteri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njihova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ravnomerna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rasprostranjenost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Izveštaj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C14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poziv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obraćanje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Predsednika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potpredsednice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potencijalnim</w:t>
            </w:r>
            <w:r w:rsidR="00C1403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donatorima</w:t>
            </w:r>
            <w:r w:rsidR="00C1403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sponzorima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N/A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Jedinice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lokalne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samouprave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daljem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tekstu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  <w:r w:rsidR="00C1403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JP</w:t>
            </w:r>
            <w:r w:rsidR="00C1403F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Pošta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Srbije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RTS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druge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televizije</w:t>
            </w:r>
            <w:r w:rsidR="00A325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subjekti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udruženja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B16734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4A3BCF">
            <w:pPr>
              <w:numPr>
                <w:ilvl w:val="0"/>
                <w:numId w:val="4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nacionalne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promovisanje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2016/17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2016/2017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2016/2017 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–</w:t>
            </w:r>
            <w:r w:rsidR="006169BC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„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”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;</w:t>
            </w:r>
          </w:p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Česte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medijske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pojavljivanje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medijima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reklame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namenske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emisije</w:t>
            </w:r>
          </w:p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Promocije</w:t>
            </w:r>
          </w:p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Događaji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radionice</w:t>
            </w:r>
          </w:p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Godišnja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konferencija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Minimum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promotivna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događaja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lokalnom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nivou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Izveštaj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37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C64C37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C64C37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Pošta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Srbije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RTS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druge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televizije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B16734" w:rsidRPr="00BE7685" w:rsidTr="00693F57">
        <w:trPr>
          <w:gridAfter w:val="5"/>
          <w:wAfter w:w="10199" w:type="dxa"/>
          <w:trHeight w:val="1789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4A3BCF">
            <w:pPr>
              <w:numPr>
                <w:ilvl w:val="0"/>
                <w:numId w:val="4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edukacija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štetnim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posledicama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2016/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edukacija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štetnim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posledicama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prosvete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nauke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tehnološkog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razvoja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A37E7B" w:rsidRPr="00BE7685" w:rsidRDefault="00A37E7B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Savet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fer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konkurenciju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PKS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B16734" w:rsidRPr="00BE7685" w:rsidTr="00693F57">
        <w:trPr>
          <w:gridAfter w:val="5"/>
          <w:wAfter w:w="10199" w:type="dxa"/>
          <w:trHeight w:val="978"/>
        </w:trPr>
        <w:tc>
          <w:tcPr>
            <w:tcW w:w="7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2016/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9F2B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Održano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radionice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skupa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kvartalu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privrednike</w:t>
            </w:r>
          </w:p>
        </w:tc>
        <w:tc>
          <w:tcPr>
            <w:tcW w:w="1276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E7B" w:rsidRPr="00BE7685" w:rsidRDefault="00BE7685" w:rsidP="00A37E7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37E7B" w:rsidRPr="00BE7685" w:rsidRDefault="00BE7685" w:rsidP="00A37E7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A37E7B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NALED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A37E7B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Savet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fer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konkurenciju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37E7B" w:rsidRPr="00BE7685" w:rsidRDefault="00A37E7B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A37E7B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NALED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Savet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fer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konkurenciju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37E7B" w:rsidRPr="00BE7685" w:rsidRDefault="00A37E7B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37E7B" w:rsidRPr="00BE7685" w:rsidRDefault="00A37E7B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A37E7B" w:rsidRPr="00BE7685" w:rsidRDefault="00A37E7B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prosvete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nauke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tehnološkog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razvoja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992"/>
        </w:trPr>
        <w:tc>
          <w:tcPr>
            <w:tcW w:w="7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2016/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Održano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dva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treninga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predstavnike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medijske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agencije</w:t>
            </w:r>
          </w:p>
        </w:tc>
        <w:tc>
          <w:tcPr>
            <w:tcW w:w="1276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1160"/>
        </w:trPr>
        <w:tc>
          <w:tcPr>
            <w:tcW w:w="7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B10F0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A37E7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Pripremljen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edukacije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preko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elektronske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prezentacije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društvenih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mreža</w:t>
            </w:r>
          </w:p>
        </w:tc>
        <w:tc>
          <w:tcPr>
            <w:tcW w:w="1276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575"/>
        </w:trPr>
        <w:tc>
          <w:tcPr>
            <w:tcW w:w="7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2016/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2017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Promocija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društvenim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mrežama</w:t>
            </w:r>
          </w:p>
        </w:tc>
        <w:tc>
          <w:tcPr>
            <w:tcW w:w="1276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1432"/>
        </w:trPr>
        <w:tc>
          <w:tcPr>
            <w:tcW w:w="7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Pripremljen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časove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razredima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škole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štetnim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posledicama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  <w:tc>
          <w:tcPr>
            <w:tcW w:w="1276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1269"/>
        </w:trPr>
        <w:tc>
          <w:tcPr>
            <w:tcW w:w="7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Održani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časovi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štetnim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posledicama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svim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razredima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osnovne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škole</w:t>
            </w:r>
          </w:p>
        </w:tc>
        <w:tc>
          <w:tcPr>
            <w:tcW w:w="1276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406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D0" w:rsidRPr="00BE7685" w:rsidRDefault="00753FD0" w:rsidP="004A3BCF">
            <w:pPr>
              <w:numPr>
                <w:ilvl w:val="0"/>
                <w:numId w:val="4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anketu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sivoj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njeno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suzbijanje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2017</w:t>
            </w:r>
            <w:r w:rsidR="0054374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753FD0" w:rsidRPr="00BE7685" w:rsidRDefault="00753FD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anketa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sivoj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merama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njeno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A37E7B" w:rsidP="00A37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753FD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A37E7B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MDULS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753FD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PKS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D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753FD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B16734" w:rsidRPr="00BE7685" w:rsidTr="00693F57">
        <w:trPr>
          <w:gridAfter w:val="5"/>
          <w:wAfter w:w="10199" w:type="dxa"/>
          <w:trHeight w:val="406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917" w:rsidRPr="00BE7685" w:rsidRDefault="00067917" w:rsidP="004A3BCF">
            <w:pPr>
              <w:numPr>
                <w:ilvl w:val="0"/>
                <w:numId w:val="45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Pripremljen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sprovedenim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merama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predlogom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067917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  <w:p w:rsidR="00067917" w:rsidRPr="00BE7685" w:rsidRDefault="00067917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067917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2017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Usvojen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sprovedenim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merama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borbu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protiv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usvojeni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predlozi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mera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unapređenje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Zaključak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067917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BE7685" w:rsidP="00067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067917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PKS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067917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17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067917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DE5436" w:rsidRPr="00BE7685" w:rsidTr="00693F57">
        <w:trPr>
          <w:gridAfter w:val="5"/>
          <w:wAfter w:w="10199" w:type="dxa"/>
        </w:trPr>
        <w:tc>
          <w:tcPr>
            <w:tcW w:w="3141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E46EC7" w:rsidRPr="00BE7685" w:rsidRDefault="00BE7685" w:rsidP="00E46E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Mera</w:t>
            </w:r>
            <w:r w:rsidR="00B10F09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4.2.</w:t>
            </w:r>
          </w:p>
          <w:p w:rsidR="00E46EC7" w:rsidRPr="00BE7685" w:rsidRDefault="00BE7685" w:rsidP="00E46EC7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Sprovođenje</w:t>
            </w:r>
            <w:r w:rsidR="00E46EC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nagradne</w:t>
            </w:r>
            <w:r w:rsidR="00E46EC7" w:rsidRPr="00BE768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igre</w:t>
            </w:r>
          </w:p>
          <w:p w:rsidR="00E46EC7" w:rsidRPr="00BE7685" w:rsidRDefault="00E46EC7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913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C7" w:rsidRPr="00BE7685" w:rsidRDefault="00E46EC7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 </w:t>
            </w:r>
          </w:p>
        </w:tc>
      </w:tr>
      <w:tr w:rsidR="00DE5436" w:rsidRPr="00BE7685" w:rsidTr="00693F57">
        <w:trPr>
          <w:gridAfter w:val="5"/>
          <w:wAfter w:w="10199" w:type="dxa"/>
        </w:trPr>
        <w:tc>
          <w:tcPr>
            <w:tcW w:w="3141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EC7" w:rsidRPr="00BE7685" w:rsidRDefault="00E46EC7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4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C7" w:rsidRPr="00BE7685" w:rsidRDefault="00BE7685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početna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C7" w:rsidRPr="00BE7685" w:rsidRDefault="00BE7685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Pokazatelj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rezultata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ciljana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vrednost</w:t>
            </w:r>
          </w:p>
        </w:tc>
      </w:tr>
      <w:tr w:rsidR="00DE5436" w:rsidRPr="00BE7685" w:rsidTr="00693F57">
        <w:trPr>
          <w:gridAfter w:val="5"/>
          <w:wAfter w:w="10199" w:type="dxa"/>
        </w:trPr>
        <w:tc>
          <w:tcPr>
            <w:tcW w:w="3141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6EC7" w:rsidRPr="00BE7685" w:rsidRDefault="00E46EC7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913" w:type="dxa"/>
            <w:gridSpan w:val="5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C7" w:rsidRPr="00BE7685" w:rsidRDefault="00E46EC7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E5436" w:rsidRPr="00BE7685" w:rsidTr="00693F57">
        <w:trPr>
          <w:gridAfter w:val="5"/>
          <w:wAfter w:w="10199" w:type="dxa"/>
          <w:trHeight w:val="430"/>
        </w:trPr>
        <w:tc>
          <w:tcPr>
            <w:tcW w:w="314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EC7" w:rsidRPr="00BE7685" w:rsidRDefault="00E46EC7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4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C7" w:rsidRPr="00BE7685" w:rsidRDefault="00BE7685" w:rsidP="00A65D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Naplata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PDV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2014.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godini</w:t>
            </w:r>
            <w:r w:rsidR="007E3B2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 409.564,2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miliona</w:t>
            </w:r>
            <w:r w:rsidR="007E3B2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dinara</w:t>
            </w:r>
            <w:r w:rsidR="007E3B2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66" w:type="dxa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EC7" w:rsidRPr="00BE7685" w:rsidRDefault="00BE7685" w:rsidP="007E3B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Naplata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PDV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uvećana</w:t>
            </w:r>
            <w:r w:rsidR="00E46EC7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za</w:t>
            </w:r>
            <w:r w:rsidR="007E3B2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10%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po</w:t>
            </w:r>
            <w:r w:rsidR="007E3B2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sprovođenju</w:t>
            </w:r>
            <w:r w:rsidR="007E3B2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mere</w:t>
            </w:r>
            <w:r w:rsidR="007E3B21"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46EC7" w:rsidRPr="00BE7685" w:rsidTr="00693F57">
        <w:trPr>
          <w:gridAfter w:val="5"/>
          <w:wAfter w:w="10199" w:type="dxa"/>
        </w:trPr>
        <w:tc>
          <w:tcPr>
            <w:tcW w:w="16054" w:type="dxa"/>
            <w:gridSpan w:val="5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6EC7" w:rsidRPr="00BE7685" w:rsidRDefault="00E46EC7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en-US"/>
              </w:rPr>
              <w:t> </w:t>
            </w:r>
          </w:p>
        </w:tc>
      </w:tr>
      <w:tr w:rsidR="00B16734" w:rsidRPr="00BE7685" w:rsidTr="00693F57">
        <w:trPr>
          <w:gridAfter w:val="5"/>
          <w:wAfter w:w="10199" w:type="dxa"/>
          <w:trHeight w:val="563"/>
        </w:trPr>
        <w:tc>
          <w:tcPr>
            <w:tcW w:w="3135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B16734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  <w:lastRenderedPageBreak/>
              <w:t>Aktivnosti</w:t>
            </w:r>
          </w:p>
        </w:tc>
        <w:tc>
          <w:tcPr>
            <w:tcW w:w="1140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Rok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2268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Pokazatelji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učinka</w:t>
            </w:r>
          </w:p>
        </w:tc>
        <w:tc>
          <w:tcPr>
            <w:tcW w:w="1276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verifikacije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Propis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kroz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sprovodi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Procenjena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finansijska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ind w:left="-108" w:firstLine="10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odgovorno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realizaciju</w:t>
            </w:r>
          </w:p>
        </w:tc>
        <w:tc>
          <w:tcPr>
            <w:tcW w:w="1423" w:type="dxa"/>
            <w:gridSpan w:val="9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Partner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realizaciji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16734" w:rsidRPr="00BE7685" w:rsidRDefault="00BE7685" w:rsidP="00B16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Prethodni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povezani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dokumenti</w:t>
            </w:r>
          </w:p>
        </w:tc>
      </w:tr>
      <w:tr w:rsidR="00B16734" w:rsidRPr="00BE7685" w:rsidTr="00693F57">
        <w:trPr>
          <w:gridAfter w:val="5"/>
          <w:wAfter w:w="10199" w:type="dxa"/>
          <w:trHeight w:val="562"/>
        </w:trPr>
        <w:tc>
          <w:tcPr>
            <w:tcW w:w="3135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B16734" w:rsidRPr="00BE7685" w:rsidRDefault="00B16734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Budžetska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Linija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programskog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budžeta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16734" w:rsidRPr="00BE7685" w:rsidRDefault="00BE7685" w:rsidP="007E3B21">
            <w:pPr>
              <w:spacing w:before="100" w:beforeAutospacing="1" w:after="100" w:afterAutospacing="1"/>
              <w:ind w:left="15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Ostali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izvori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finansiranja</w:t>
            </w:r>
          </w:p>
        </w:tc>
        <w:tc>
          <w:tcPr>
            <w:tcW w:w="1419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spacing w:before="100" w:beforeAutospacing="1" w:after="100" w:afterAutospacing="1"/>
              <w:ind w:left="-108" w:firstLine="108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16734" w:rsidRPr="00BE7685" w:rsidRDefault="00B16734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B16734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34" w:rsidRPr="00BE7685" w:rsidRDefault="00B16734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B16734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mehanizama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kola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dinamike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načina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izvlačenja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jedinice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lokalne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samouprave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16734" w:rsidP="00E46EC7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B16734" w:rsidRPr="00BE7685" w:rsidRDefault="00B16734" w:rsidP="00E46EC7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Sačinjen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dokument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definisanim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mehanizmima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kola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dinamike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načina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izvlačenja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16734" w:rsidP="00B167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16734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734" w:rsidRPr="00BE7685" w:rsidRDefault="00B16734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6734" w:rsidRPr="00BE7685" w:rsidRDefault="00BE7685" w:rsidP="00B16734">
            <w:pPr>
              <w:tabs>
                <w:tab w:val="left" w:pos="-284"/>
              </w:tabs>
              <w:spacing w:before="100" w:beforeAutospacing="1" w:after="100" w:afterAutospacing="1"/>
              <w:ind w:left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B16734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34" w:rsidRPr="00BE7685" w:rsidRDefault="00B16734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saradnje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između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nadležnih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institucija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B16734" w:rsidRPr="00BE7685" w:rsidRDefault="00B16734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Pripremljen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potpisan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Memorandum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saradnji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između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svih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nosilaca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Memorandum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saradnji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Memorandum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saradnji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B16734" w:rsidRPr="00BE7685" w:rsidRDefault="00B16734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JP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Pošta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Srbije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B16734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medijske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kuće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B16734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RSJP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B16734" w:rsidRPr="00BE7685" w:rsidRDefault="00B16734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734" w:rsidRPr="00BE7685" w:rsidRDefault="00BE7685" w:rsidP="00B16734">
            <w:pPr>
              <w:tabs>
                <w:tab w:val="left" w:pos="-176"/>
              </w:tabs>
              <w:spacing w:before="100" w:beforeAutospacing="1" w:after="100" w:afterAutospacing="1"/>
              <w:ind w:left="10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B16734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734" w:rsidRPr="00BE7685" w:rsidRDefault="00B16734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Identifikovanje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sponzora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Identifikovani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sponzori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Ugovori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donaciji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16734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4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734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  <w:p w:rsidR="00B16734" w:rsidRPr="00BE7685" w:rsidRDefault="00B16734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6734" w:rsidRPr="00BE7685" w:rsidRDefault="00BE7685" w:rsidP="00DE5436">
            <w:pPr>
              <w:tabs>
                <w:tab w:val="left" w:pos="-176"/>
              </w:tabs>
              <w:spacing w:before="100" w:beforeAutospacing="1" w:after="100" w:afterAutospacing="1"/>
              <w:ind w:left="10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B16734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DE5436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DE5436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Identifikovati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medijske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sponzore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potpisati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njima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memorandume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saradnji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DE5436" w:rsidRPr="00BE7685" w:rsidRDefault="00DE5436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Identifikovani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sponzori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kampanju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Memorandum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saradnji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4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3344DA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PU</w:t>
            </w:r>
            <w:r w:rsidR="003344DA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JP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Pošta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Srbije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5436" w:rsidRPr="00BE7685" w:rsidRDefault="00BE7685" w:rsidP="00DE5436">
            <w:pPr>
              <w:spacing w:before="100" w:beforeAutospacing="1" w:after="100" w:afterAutospacing="1"/>
              <w:ind w:left="10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DE5436" w:rsidRPr="00BE7685" w:rsidTr="00693F57">
        <w:trPr>
          <w:gridAfter w:val="5"/>
          <w:wAfter w:w="10199" w:type="dxa"/>
          <w:trHeight w:val="259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DE5436" w:rsidP="00DE5436">
            <w:pPr>
              <w:numPr>
                <w:ilvl w:val="0"/>
                <w:numId w:val="44"/>
              </w:num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DE54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Formiranje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fonda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B10F09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DE5436" w:rsidRPr="00BE7685" w:rsidRDefault="00DE5436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DE54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Formiran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fond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mehanizam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privlačenja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donatora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DE54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radu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DE54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formiranju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fonda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DE54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DE54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BE7685" w:rsidP="006169BC">
            <w:pPr>
              <w:ind w:left="10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DE5436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DE5436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priređivača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3344DA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  <w:p w:rsidR="00DE5436" w:rsidRPr="00BE7685" w:rsidRDefault="00DE5436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Usvojen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zaključak</w:t>
            </w:r>
            <w:r w:rsidR="003344DA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određuje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priređivač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zaključak</w:t>
            </w:r>
            <w:r w:rsidR="003344DA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određuje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priređivač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zaključak</w:t>
            </w:r>
            <w:r w:rsidR="003344DA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određuje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priređivač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</w:p>
        </w:tc>
        <w:tc>
          <w:tcPr>
            <w:tcW w:w="14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BE7685" w:rsidP="00DE5436">
            <w:pPr>
              <w:spacing w:before="100" w:beforeAutospacing="1" w:after="100" w:afterAutospacing="1"/>
              <w:ind w:left="14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DE5436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DE5436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DE54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3344DA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zaključkom</w:t>
            </w:r>
            <w:r w:rsidR="003344DA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određen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ili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organizacija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Pribavljena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saglasnost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Ministra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ukoliko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saglasnosti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Rešenje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utvrđuje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uslugama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Pripremljena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tehnička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uputstava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učesnike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Odluka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;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Akt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saglasnosti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Rešenje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utvrđuje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uslugama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Tehnička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uputstava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učesnike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Odluka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Pravila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Vlade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davanju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saglasnosti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Rešenje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kojim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utvrđuje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naknada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priređivanje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robi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uslugama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Redovna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Određeni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nosilac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</w:tc>
        <w:tc>
          <w:tcPr>
            <w:tcW w:w="142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Ministarstvo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finansija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DE5436" w:rsidRPr="00BE7685" w:rsidRDefault="002E692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NALED,</w:t>
            </w:r>
          </w:p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JP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Pošta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Srbije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MTS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RTS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BE7685" w:rsidP="00DE5436">
            <w:pPr>
              <w:spacing w:before="100" w:beforeAutospacing="1" w:after="100" w:afterAutospacing="1"/>
              <w:ind w:left="145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sive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  <w:p w:rsidR="00DE5436" w:rsidRPr="00BE7685" w:rsidRDefault="00DE5436" w:rsidP="00DE5436">
            <w:pPr>
              <w:ind w:left="14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E5436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DE5436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call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centra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sugestije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kritike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web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prezentacije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odgovorima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pitanja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svim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potrebnim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podacima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nagradnoj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takmičenju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5B208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  <w:p w:rsidR="00DE5436" w:rsidRPr="00BE7685" w:rsidRDefault="00DE5436" w:rsidP="005B208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Uspostavljen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funkcionalni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call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centar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web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prezentacija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nosioca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Određeni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nosilac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DE54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JP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Pošta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Srbije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</w:p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MTS</w:t>
            </w:r>
          </w:p>
          <w:p w:rsidR="00DE5436" w:rsidRPr="00BE7685" w:rsidRDefault="00DE5436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BE7685" w:rsidP="00DE5436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DE5436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DE5436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5B2080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poziv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kreatora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idejnih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rešenja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ključnih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5B208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2016.</w:t>
            </w:r>
          </w:p>
          <w:p w:rsidR="00DE5436" w:rsidRPr="00BE7685" w:rsidRDefault="00DE5436" w:rsidP="005B208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Definisana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poziv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kreatora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idejnih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rešenja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ključnih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  <w:p w:rsidR="00DE5436" w:rsidRPr="00BE7685" w:rsidRDefault="00DE5436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Javni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poziv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kreatora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idejnih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rešenja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ključnih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poruka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5B208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DE5436" w:rsidP="00DE54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  <w:p w:rsidR="00DE5436" w:rsidRPr="00BE7685" w:rsidRDefault="00DE5436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436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Određeni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nosilac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5436" w:rsidRPr="00BE7685" w:rsidRDefault="00BE7685" w:rsidP="005B2080">
            <w:pPr>
              <w:spacing w:before="100" w:beforeAutospacing="1" w:after="100" w:afterAutospacing="1"/>
              <w:ind w:left="16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DE5436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080" w:rsidRPr="00BE7685" w:rsidRDefault="005B2080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Pripremiti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operacioni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unapred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predviđenim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odgovorima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probleme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5B2080" w:rsidRPr="00BE7685" w:rsidRDefault="005B208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5B208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2016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Donet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operacionalni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unapred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predviđenim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odgovorima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probleme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5B208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kampanja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</w:p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Obavljene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medijske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pojavljivanje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medijima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reklame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namenske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emisije</w:t>
            </w:r>
          </w:p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Promocije</w:t>
            </w:r>
          </w:p>
          <w:p w:rsidR="005B208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Pripremljen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plasiran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promotivni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materijal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džingl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spot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reklama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posteri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brošure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bilbordi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....</w:t>
            </w:r>
          </w:p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</w:p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Emitovanja</w:t>
            </w:r>
          </w:p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Postavljeni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bilbordi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2E692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posteri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njihova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ravnomerna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rasprostranjenost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>Izveštaj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  <w:p w:rsidR="005B2080" w:rsidRPr="00BE7685" w:rsidRDefault="005B208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NALED </w:t>
            </w:r>
          </w:p>
        </w:tc>
        <w:tc>
          <w:tcPr>
            <w:tcW w:w="13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Određeni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nosilac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</w:p>
        </w:tc>
        <w:tc>
          <w:tcPr>
            <w:tcW w:w="13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080" w:rsidRPr="00BE7685" w:rsidRDefault="00BE7685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Odluka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obrazovanju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usmeravanje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aktivnosti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suzbijanju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sive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ekonomije</w:t>
            </w:r>
          </w:p>
          <w:p w:rsidR="005B2080" w:rsidRPr="00BE7685" w:rsidRDefault="005B2080" w:rsidP="00C64C3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B2080" w:rsidRPr="00BE7685" w:rsidTr="00693F57">
        <w:trPr>
          <w:gridAfter w:val="5"/>
          <w:wAfter w:w="10199" w:type="dxa"/>
          <w:trHeight w:val="1841"/>
        </w:trPr>
        <w:tc>
          <w:tcPr>
            <w:tcW w:w="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080" w:rsidRPr="00BE7685" w:rsidRDefault="005B2080" w:rsidP="004A3BCF">
            <w:pPr>
              <w:numPr>
                <w:ilvl w:val="0"/>
                <w:numId w:val="4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Sprovođenje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5B2080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2016. </w:t>
            </w:r>
            <w:r w:rsid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2017.</w:t>
            </w: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sprovedeni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minimum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jedan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ciklus</w:t>
            </w:r>
          </w:p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Formiran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tim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utvrđen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plan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organizovanja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emisija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izvlačenja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u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nagradnoj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građane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takmičenja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za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JLS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Izveštaj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Koordinacionog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tela</w:t>
            </w:r>
          </w:p>
          <w:p w:rsidR="005B2080" w:rsidRPr="00BE7685" w:rsidRDefault="005B208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Redovna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N/</w:t>
            </w:r>
            <w:r w:rsidR="00BE7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BE7685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Određeni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nosilac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nagradne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igre</w:t>
            </w:r>
            <w:r w:rsidR="005B2080" w:rsidRPr="00BE7685" w:rsidDel="000F68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8DA" w:rsidRPr="00BE7685" w:rsidRDefault="00CB68DA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NALED</w:t>
            </w:r>
            <w:r w:rsidR="007039B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,</w:t>
            </w:r>
            <w:r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5B2080" w:rsidRPr="00BE7685" w:rsidRDefault="00BE7685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JP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Pošta</w:t>
            </w:r>
            <w:r w:rsidR="005B2080" w:rsidRPr="00BE76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Srbije</w:t>
            </w:r>
          </w:p>
          <w:p w:rsidR="005B2080" w:rsidRPr="00BE7685" w:rsidRDefault="005B208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2080" w:rsidRPr="00BE7685" w:rsidRDefault="005B2080" w:rsidP="00C64C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B2080" w:rsidRPr="00BE7685" w:rsidTr="00693F57">
        <w:trPr>
          <w:trHeight w:val="60"/>
        </w:trPr>
        <w:tc>
          <w:tcPr>
            <w:tcW w:w="734" w:type="dxa"/>
            <w:gridSpan w:val="3"/>
            <w:tcBorders>
              <w:top w:val="nil"/>
            </w:tcBorders>
          </w:tcPr>
          <w:p w:rsidR="005B2080" w:rsidRPr="00BE7685" w:rsidRDefault="005B2080" w:rsidP="00E419CE">
            <w:pPr>
              <w:spacing w:before="100" w:beforeAutospacing="1"/>
              <w:ind w:left="3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407" w:type="dxa"/>
            <w:gridSpan w:val="5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8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7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9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6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706" w:type="dxa"/>
            <w:gridSpan w:val="10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080" w:rsidRPr="00BE7685" w:rsidRDefault="005B2080" w:rsidP="00E419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0199" w:type="dxa"/>
            <w:gridSpan w:val="5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080" w:rsidRPr="00BE7685" w:rsidRDefault="005B2080" w:rsidP="00E41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D43D68" w:rsidRPr="00BE7685" w:rsidRDefault="00D43D68" w:rsidP="00D43D68">
      <w:pPr>
        <w:rPr>
          <w:rFonts w:ascii="Times New Roman" w:hAnsi="Times New Roman" w:cs="Times New Roman"/>
          <w:strike/>
          <w:noProof/>
          <w:sz w:val="24"/>
          <w:szCs w:val="24"/>
        </w:rPr>
      </w:pPr>
    </w:p>
    <w:p w:rsidR="00221ED8" w:rsidRPr="00BE7685" w:rsidRDefault="00221ED8" w:rsidP="00A95594">
      <w:pPr>
        <w:rPr>
          <w:rFonts w:ascii="Times New Roman" w:hAnsi="Times New Roman" w:cs="Times New Roman"/>
          <w:strike/>
          <w:noProof/>
          <w:sz w:val="24"/>
          <w:szCs w:val="24"/>
        </w:rPr>
      </w:pPr>
    </w:p>
    <w:sectPr w:rsidR="00221ED8" w:rsidRPr="00BE7685" w:rsidSect="00224E9A">
      <w:pgSz w:w="16838" w:h="11906" w:orient="landscape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DF" w:rsidRDefault="00CF78DF" w:rsidP="00BC526A">
      <w:r>
        <w:separator/>
      </w:r>
    </w:p>
  </w:endnote>
  <w:endnote w:type="continuationSeparator" w:id="0">
    <w:p w:rsidR="00CF78DF" w:rsidRDefault="00CF78DF" w:rsidP="00BC526A">
      <w:r>
        <w:continuationSeparator/>
      </w:r>
    </w:p>
  </w:endnote>
  <w:endnote w:type="continuationNotice" w:id="1">
    <w:p w:rsidR="00CF78DF" w:rsidRDefault="00CF7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310555101"/>
      <w:docPartObj>
        <w:docPartGallery w:val="Page Numbers (Bottom of Page)"/>
        <w:docPartUnique/>
      </w:docPartObj>
    </w:sdtPr>
    <w:sdtEndPr/>
    <w:sdtContent>
      <w:p w:rsidR="006C2745" w:rsidRPr="00BE7685" w:rsidRDefault="006C2745">
        <w:pPr>
          <w:pStyle w:val="Footer"/>
          <w:jc w:val="right"/>
          <w:rPr>
            <w:noProof/>
          </w:rPr>
        </w:pPr>
        <w:r w:rsidRPr="00BE7685">
          <w:rPr>
            <w:noProof/>
          </w:rPr>
          <w:fldChar w:fldCharType="begin"/>
        </w:r>
        <w:r w:rsidRPr="00BE7685">
          <w:rPr>
            <w:noProof/>
          </w:rPr>
          <w:instrText xml:space="preserve"> PAGE   \* MERGEFORMAT </w:instrText>
        </w:r>
        <w:r w:rsidRPr="00BE7685">
          <w:rPr>
            <w:noProof/>
          </w:rPr>
          <w:fldChar w:fldCharType="separate"/>
        </w:r>
        <w:r w:rsidR="00BE7685" w:rsidRPr="00BE7685">
          <w:rPr>
            <w:noProof/>
          </w:rPr>
          <w:t>2</w:t>
        </w:r>
        <w:r w:rsidRPr="00BE7685">
          <w:rPr>
            <w:noProof/>
          </w:rPr>
          <w:fldChar w:fldCharType="end"/>
        </w:r>
      </w:p>
    </w:sdtContent>
  </w:sdt>
  <w:p w:rsidR="006C2745" w:rsidRPr="00BE7685" w:rsidRDefault="006C2745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525715294"/>
      <w:docPartObj>
        <w:docPartGallery w:val="Page Numbers (Bottom of Page)"/>
        <w:docPartUnique/>
      </w:docPartObj>
    </w:sdtPr>
    <w:sdtEndPr/>
    <w:sdtContent>
      <w:p w:rsidR="006C2745" w:rsidRPr="00BE7685" w:rsidRDefault="006C2745">
        <w:pPr>
          <w:pStyle w:val="Footer"/>
          <w:jc w:val="right"/>
          <w:rPr>
            <w:noProof/>
          </w:rPr>
        </w:pPr>
        <w:r w:rsidRPr="00BE7685">
          <w:rPr>
            <w:noProof/>
          </w:rPr>
          <w:fldChar w:fldCharType="begin"/>
        </w:r>
        <w:r w:rsidRPr="00BE7685">
          <w:rPr>
            <w:noProof/>
          </w:rPr>
          <w:instrText xml:space="preserve"> PAGE   \* MERGEFORMAT </w:instrText>
        </w:r>
        <w:r w:rsidRPr="00BE7685">
          <w:rPr>
            <w:noProof/>
          </w:rPr>
          <w:fldChar w:fldCharType="separate"/>
        </w:r>
        <w:r w:rsidR="006619B4">
          <w:rPr>
            <w:noProof/>
          </w:rPr>
          <w:t>2</w:t>
        </w:r>
        <w:r w:rsidRPr="00BE7685">
          <w:rPr>
            <w:noProof/>
          </w:rPr>
          <w:fldChar w:fldCharType="end"/>
        </w:r>
      </w:p>
    </w:sdtContent>
  </w:sdt>
  <w:p w:rsidR="006C2745" w:rsidRPr="00BE7685" w:rsidRDefault="006C274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45" w:rsidRPr="00BE7685" w:rsidRDefault="006C2745">
    <w:pPr>
      <w:pStyle w:val="Footer"/>
      <w:jc w:val="right"/>
      <w:rPr>
        <w:noProof/>
      </w:rPr>
    </w:pPr>
    <w:r w:rsidRPr="00BE7685">
      <w:rPr>
        <w:noProof/>
      </w:rPr>
      <w:fldChar w:fldCharType="begin"/>
    </w:r>
    <w:r w:rsidRPr="00BE7685">
      <w:rPr>
        <w:noProof/>
      </w:rPr>
      <w:instrText xml:space="preserve"> PAGE   \* MERGEFORMAT </w:instrText>
    </w:r>
    <w:r w:rsidRPr="00BE7685">
      <w:rPr>
        <w:noProof/>
      </w:rPr>
      <w:fldChar w:fldCharType="separate"/>
    </w:r>
    <w:r w:rsidR="006619B4">
      <w:rPr>
        <w:noProof/>
      </w:rPr>
      <w:t>21</w:t>
    </w:r>
    <w:r w:rsidRPr="00BE7685">
      <w:rPr>
        <w:noProof/>
      </w:rPr>
      <w:fldChar w:fldCharType="end"/>
    </w:r>
  </w:p>
  <w:p w:rsidR="006C2745" w:rsidRPr="00BE7685" w:rsidRDefault="006C2745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DF" w:rsidRDefault="00CF78DF" w:rsidP="00BC526A">
      <w:r>
        <w:separator/>
      </w:r>
    </w:p>
  </w:footnote>
  <w:footnote w:type="continuationSeparator" w:id="0">
    <w:p w:rsidR="00CF78DF" w:rsidRDefault="00CF78DF" w:rsidP="00BC526A">
      <w:r>
        <w:continuationSeparator/>
      </w:r>
    </w:p>
  </w:footnote>
  <w:footnote w:type="continuationNotice" w:id="1">
    <w:p w:rsidR="00CF78DF" w:rsidRDefault="00CF78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45" w:rsidRDefault="006C2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887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913"/>
    <w:multiLevelType w:val="hybridMultilevel"/>
    <w:tmpl w:val="2BC47A08"/>
    <w:lvl w:ilvl="0" w:tplc="97C602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0430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F7B19"/>
    <w:multiLevelType w:val="hybridMultilevel"/>
    <w:tmpl w:val="722C65C0"/>
    <w:lvl w:ilvl="0" w:tplc="1348F47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5612"/>
    <w:multiLevelType w:val="hybridMultilevel"/>
    <w:tmpl w:val="8A66F8E0"/>
    <w:lvl w:ilvl="0" w:tplc="FDCC0E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F5244"/>
    <w:multiLevelType w:val="hybridMultilevel"/>
    <w:tmpl w:val="F1FE4C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72B5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3700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C39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48F8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0044D"/>
    <w:multiLevelType w:val="multilevel"/>
    <w:tmpl w:val="B614B8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255468A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77AE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C154B"/>
    <w:multiLevelType w:val="multilevel"/>
    <w:tmpl w:val="3836E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CE0E52"/>
    <w:multiLevelType w:val="hybridMultilevel"/>
    <w:tmpl w:val="F31CF896"/>
    <w:lvl w:ilvl="0" w:tplc="4F1C6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422219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6602"/>
    <w:multiLevelType w:val="hybridMultilevel"/>
    <w:tmpl w:val="82161F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B70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66C9F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12708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F406A"/>
    <w:multiLevelType w:val="multilevel"/>
    <w:tmpl w:val="099E7376"/>
    <w:lvl w:ilvl="0">
      <w:start w:val="1"/>
      <w:numFmt w:val="upperRoman"/>
      <w:lvlText w:val="%1."/>
      <w:lvlJc w:val="left"/>
      <w:pPr>
        <w:ind w:left="306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21" w15:restartNumberingAfterBreak="0">
    <w:nsid w:val="31DE6194"/>
    <w:multiLevelType w:val="hybridMultilevel"/>
    <w:tmpl w:val="5F5015B4"/>
    <w:lvl w:ilvl="0" w:tplc="0742EC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01DDD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96233"/>
    <w:multiLevelType w:val="hybridMultilevel"/>
    <w:tmpl w:val="C89ED0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C5D35"/>
    <w:multiLevelType w:val="hybridMultilevel"/>
    <w:tmpl w:val="E0442C8E"/>
    <w:lvl w:ilvl="0" w:tplc="BA7840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35" w:hanging="360"/>
      </w:pPr>
    </w:lvl>
    <w:lvl w:ilvl="2" w:tplc="081A001B" w:tentative="1">
      <w:start w:val="1"/>
      <w:numFmt w:val="lowerRoman"/>
      <w:lvlText w:val="%3."/>
      <w:lvlJc w:val="right"/>
      <w:pPr>
        <w:ind w:left="2355" w:hanging="180"/>
      </w:pPr>
    </w:lvl>
    <w:lvl w:ilvl="3" w:tplc="081A000F" w:tentative="1">
      <w:start w:val="1"/>
      <w:numFmt w:val="decimal"/>
      <w:lvlText w:val="%4."/>
      <w:lvlJc w:val="left"/>
      <w:pPr>
        <w:ind w:left="3075" w:hanging="360"/>
      </w:pPr>
    </w:lvl>
    <w:lvl w:ilvl="4" w:tplc="081A0019" w:tentative="1">
      <w:start w:val="1"/>
      <w:numFmt w:val="lowerLetter"/>
      <w:lvlText w:val="%5."/>
      <w:lvlJc w:val="left"/>
      <w:pPr>
        <w:ind w:left="3795" w:hanging="360"/>
      </w:pPr>
    </w:lvl>
    <w:lvl w:ilvl="5" w:tplc="081A001B" w:tentative="1">
      <w:start w:val="1"/>
      <w:numFmt w:val="lowerRoman"/>
      <w:lvlText w:val="%6."/>
      <w:lvlJc w:val="right"/>
      <w:pPr>
        <w:ind w:left="4515" w:hanging="180"/>
      </w:pPr>
    </w:lvl>
    <w:lvl w:ilvl="6" w:tplc="081A000F" w:tentative="1">
      <w:start w:val="1"/>
      <w:numFmt w:val="decimal"/>
      <w:lvlText w:val="%7."/>
      <w:lvlJc w:val="left"/>
      <w:pPr>
        <w:ind w:left="5235" w:hanging="360"/>
      </w:pPr>
    </w:lvl>
    <w:lvl w:ilvl="7" w:tplc="081A0019" w:tentative="1">
      <w:start w:val="1"/>
      <w:numFmt w:val="lowerLetter"/>
      <w:lvlText w:val="%8."/>
      <w:lvlJc w:val="left"/>
      <w:pPr>
        <w:ind w:left="5955" w:hanging="360"/>
      </w:pPr>
    </w:lvl>
    <w:lvl w:ilvl="8" w:tplc="08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3E383485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61F98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E780F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76812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D2AF3"/>
    <w:multiLevelType w:val="hybridMultilevel"/>
    <w:tmpl w:val="7CD699D8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8F23220"/>
    <w:multiLevelType w:val="multilevel"/>
    <w:tmpl w:val="6C00C198"/>
    <w:lvl w:ilvl="0">
      <w:start w:val="1"/>
      <w:numFmt w:val="upperRoman"/>
      <w:lvlText w:val="%1."/>
      <w:lvlJc w:val="right"/>
      <w:pPr>
        <w:ind w:left="900" w:hanging="720"/>
      </w:pPr>
      <w:rPr>
        <w:rFonts w:hint="default"/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31" w15:restartNumberingAfterBreak="0">
    <w:nsid w:val="492A14DB"/>
    <w:multiLevelType w:val="hybridMultilevel"/>
    <w:tmpl w:val="F63A9814"/>
    <w:lvl w:ilvl="0" w:tplc="FA0E9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6E673A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0132D"/>
    <w:multiLevelType w:val="hybridMultilevel"/>
    <w:tmpl w:val="43A20914"/>
    <w:lvl w:ilvl="0" w:tplc="A9349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D70938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15B5A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728EF"/>
    <w:multiLevelType w:val="hybridMultilevel"/>
    <w:tmpl w:val="B9C2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D56D6"/>
    <w:multiLevelType w:val="hybridMultilevel"/>
    <w:tmpl w:val="4E0EC0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0168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554EA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23C05"/>
    <w:multiLevelType w:val="hybridMultilevel"/>
    <w:tmpl w:val="D740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62B53"/>
    <w:multiLevelType w:val="hybridMultilevel"/>
    <w:tmpl w:val="5F5015B4"/>
    <w:lvl w:ilvl="0" w:tplc="0742EC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3E0A"/>
    <w:multiLevelType w:val="hybridMultilevel"/>
    <w:tmpl w:val="3C144FF6"/>
    <w:lvl w:ilvl="0" w:tplc="FD9A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474D26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A7D41"/>
    <w:multiLevelType w:val="hybridMultilevel"/>
    <w:tmpl w:val="F26EFD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56278"/>
    <w:multiLevelType w:val="hybridMultilevel"/>
    <w:tmpl w:val="4372E324"/>
    <w:lvl w:ilvl="0" w:tplc="527025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4"/>
  </w:num>
  <w:num w:numId="4">
    <w:abstractNumId w:val="10"/>
  </w:num>
  <w:num w:numId="5">
    <w:abstractNumId w:val="45"/>
  </w:num>
  <w:num w:numId="6">
    <w:abstractNumId w:val="41"/>
  </w:num>
  <w:num w:numId="7">
    <w:abstractNumId w:val="28"/>
  </w:num>
  <w:num w:numId="8">
    <w:abstractNumId w:val="37"/>
  </w:num>
  <w:num w:numId="9">
    <w:abstractNumId w:val="38"/>
  </w:num>
  <w:num w:numId="10">
    <w:abstractNumId w:val="9"/>
  </w:num>
  <w:num w:numId="11">
    <w:abstractNumId w:val="8"/>
  </w:num>
  <w:num w:numId="12">
    <w:abstractNumId w:val="39"/>
  </w:num>
  <w:num w:numId="13">
    <w:abstractNumId w:val="26"/>
  </w:num>
  <w:num w:numId="14">
    <w:abstractNumId w:val="15"/>
  </w:num>
  <w:num w:numId="15">
    <w:abstractNumId w:val="22"/>
  </w:num>
  <w:num w:numId="16">
    <w:abstractNumId w:val="35"/>
  </w:num>
  <w:num w:numId="17">
    <w:abstractNumId w:val="32"/>
  </w:num>
  <w:num w:numId="18">
    <w:abstractNumId w:val="14"/>
  </w:num>
  <w:num w:numId="19">
    <w:abstractNumId w:val="7"/>
  </w:num>
  <w:num w:numId="20">
    <w:abstractNumId w:val="1"/>
  </w:num>
  <w:num w:numId="21">
    <w:abstractNumId w:val="33"/>
  </w:num>
  <w:num w:numId="22">
    <w:abstractNumId w:val="13"/>
  </w:num>
  <w:num w:numId="23">
    <w:abstractNumId w:val="31"/>
  </w:num>
  <w:num w:numId="24">
    <w:abstractNumId w:val="12"/>
  </w:num>
  <w:num w:numId="25">
    <w:abstractNumId w:val="42"/>
  </w:num>
  <w:num w:numId="26">
    <w:abstractNumId w:val="27"/>
  </w:num>
  <w:num w:numId="27">
    <w:abstractNumId w:val="18"/>
  </w:num>
  <w:num w:numId="28">
    <w:abstractNumId w:val="25"/>
  </w:num>
  <w:num w:numId="29">
    <w:abstractNumId w:val="44"/>
  </w:num>
  <w:num w:numId="30">
    <w:abstractNumId w:val="16"/>
  </w:num>
  <w:num w:numId="31">
    <w:abstractNumId w:val="5"/>
  </w:num>
  <w:num w:numId="32">
    <w:abstractNumId w:val="43"/>
  </w:num>
  <w:num w:numId="33">
    <w:abstractNumId w:val="21"/>
  </w:num>
  <w:num w:numId="34">
    <w:abstractNumId w:val="17"/>
  </w:num>
  <w:num w:numId="35">
    <w:abstractNumId w:val="6"/>
  </w:num>
  <w:num w:numId="36">
    <w:abstractNumId w:val="34"/>
  </w:num>
  <w:num w:numId="37">
    <w:abstractNumId w:val="0"/>
  </w:num>
  <w:num w:numId="38">
    <w:abstractNumId w:val="2"/>
  </w:num>
  <w:num w:numId="39">
    <w:abstractNumId w:val="30"/>
  </w:num>
  <w:num w:numId="40">
    <w:abstractNumId w:val="19"/>
  </w:num>
  <w:num w:numId="41">
    <w:abstractNumId w:val="23"/>
  </w:num>
  <w:num w:numId="42">
    <w:abstractNumId w:val="40"/>
  </w:num>
  <w:num w:numId="43">
    <w:abstractNumId w:val="36"/>
  </w:num>
  <w:num w:numId="44">
    <w:abstractNumId w:val="11"/>
  </w:num>
  <w:num w:numId="45">
    <w:abstractNumId w:val="3"/>
  </w:num>
  <w:num w:numId="4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1D"/>
    <w:rsid w:val="0000022C"/>
    <w:rsid w:val="00000897"/>
    <w:rsid w:val="000008C8"/>
    <w:rsid w:val="00000A60"/>
    <w:rsid w:val="00000C10"/>
    <w:rsid w:val="00000CCF"/>
    <w:rsid w:val="0000168F"/>
    <w:rsid w:val="00001BE9"/>
    <w:rsid w:val="000027FB"/>
    <w:rsid w:val="00004BA4"/>
    <w:rsid w:val="000058B7"/>
    <w:rsid w:val="00005FA4"/>
    <w:rsid w:val="0000750D"/>
    <w:rsid w:val="000108A6"/>
    <w:rsid w:val="00011A04"/>
    <w:rsid w:val="000136CB"/>
    <w:rsid w:val="000137CA"/>
    <w:rsid w:val="00013F98"/>
    <w:rsid w:val="000147E0"/>
    <w:rsid w:val="00014F76"/>
    <w:rsid w:val="000154AD"/>
    <w:rsid w:val="00015DA4"/>
    <w:rsid w:val="00016773"/>
    <w:rsid w:val="00016CF0"/>
    <w:rsid w:val="00017794"/>
    <w:rsid w:val="000179B5"/>
    <w:rsid w:val="0002067E"/>
    <w:rsid w:val="000207B3"/>
    <w:rsid w:val="0002274B"/>
    <w:rsid w:val="000229CA"/>
    <w:rsid w:val="00024030"/>
    <w:rsid w:val="000266FD"/>
    <w:rsid w:val="00031065"/>
    <w:rsid w:val="00032E75"/>
    <w:rsid w:val="00034988"/>
    <w:rsid w:val="00035078"/>
    <w:rsid w:val="0003527F"/>
    <w:rsid w:val="0003584A"/>
    <w:rsid w:val="0003683E"/>
    <w:rsid w:val="0003690B"/>
    <w:rsid w:val="00036A52"/>
    <w:rsid w:val="00040CE4"/>
    <w:rsid w:val="00042C56"/>
    <w:rsid w:val="00042E60"/>
    <w:rsid w:val="00043CAB"/>
    <w:rsid w:val="00047E6E"/>
    <w:rsid w:val="00051EE0"/>
    <w:rsid w:val="00052D52"/>
    <w:rsid w:val="000534AF"/>
    <w:rsid w:val="00061395"/>
    <w:rsid w:val="0006294B"/>
    <w:rsid w:val="00062BB3"/>
    <w:rsid w:val="000635FF"/>
    <w:rsid w:val="00066E08"/>
    <w:rsid w:val="00067917"/>
    <w:rsid w:val="0007001B"/>
    <w:rsid w:val="00070607"/>
    <w:rsid w:val="000720E6"/>
    <w:rsid w:val="00075492"/>
    <w:rsid w:val="00075E34"/>
    <w:rsid w:val="0007613E"/>
    <w:rsid w:val="000761BD"/>
    <w:rsid w:val="000764C2"/>
    <w:rsid w:val="000803D9"/>
    <w:rsid w:val="0008059F"/>
    <w:rsid w:val="000818BF"/>
    <w:rsid w:val="000832CB"/>
    <w:rsid w:val="0008537C"/>
    <w:rsid w:val="00085753"/>
    <w:rsid w:val="00086BC1"/>
    <w:rsid w:val="00087736"/>
    <w:rsid w:val="0009166F"/>
    <w:rsid w:val="00091E44"/>
    <w:rsid w:val="000935DF"/>
    <w:rsid w:val="000937A3"/>
    <w:rsid w:val="000940EC"/>
    <w:rsid w:val="00094283"/>
    <w:rsid w:val="0009460F"/>
    <w:rsid w:val="00094765"/>
    <w:rsid w:val="00095FB4"/>
    <w:rsid w:val="00095FEB"/>
    <w:rsid w:val="00096A7A"/>
    <w:rsid w:val="00096C28"/>
    <w:rsid w:val="0009727C"/>
    <w:rsid w:val="000A0D9B"/>
    <w:rsid w:val="000A10EF"/>
    <w:rsid w:val="000A1E2C"/>
    <w:rsid w:val="000A4BC7"/>
    <w:rsid w:val="000A7E1B"/>
    <w:rsid w:val="000B0882"/>
    <w:rsid w:val="000B16F2"/>
    <w:rsid w:val="000B1AB5"/>
    <w:rsid w:val="000B2FAF"/>
    <w:rsid w:val="000B4C28"/>
    <w:rsid w:val="000B5279"/>
    <w:rsid w:val="000B591D"/>
    <w:rsid w:val="000B69BC"/>
    <w:rsid w:val="000B6EE7"/>
    <w:rsid w:val="000B6F80"/>
    <w:rsid w:val="000C2BAA"/>
    <w:rsid w:val="000C38CE"/>
    <w:rsid w:val="000C4AC4"/>
    <w:rsid w:val="000C55B3"/>
    <w:rsid w:val="000C5AB6"/>
    <w:rsid w:val="000C5BF0"/>
    <w:rsid w:val="000C6A2D"/>
    <w:rsid w:val="000C6C99"/>
    <w:rsid w:val="000C74EB"/>
    <w:rsid w:val="000C77D6"/>
    <w:rsid w:val="000C7850"/>
    <w:rsid w:val="000D0B6C"/>
    <w:rsid w:val="000D1647"/>
    <w:rsid w:val="000D209A"/>
    <w:rsid w:val="000D2A4A"/>
    <w:rsid w:val="000D3D85"/>
    <w:rsid w:val="000D427F"/>
    <w:rsid w:val="000D4BEF"/>
    <w:rsid w:val="000D623E"/>
    <w:rsid w:val="000D7E77"/>
    <w:rsid w:val="000D7F17"/>
    <w:rsid w:val="000E0BB5"/>
    <w:rsid w:val="000E2009"/>
    <w:rsid w:val="000E3489"/>
    <w:rsid w:val="000E4A5C"/>
    <w:rsid w:val="000E541B"/>
    <w:rsid w:val="000E66FA"/>
    <w:rsid w:val="000E72E9"/>
    <w:rsid w:val="000F15F8"/>
    <w:rsid w:val="000F2126"/>
    <w:rsid w:val="000F5578"/>
    <w:rsid w:val="000F6086"/>
    <w:rsid w:val="000F70C6"/>
    <w:rsid w:val="00101FB3"/>
    <w:rsid w:val="00103CA1"/>
    <w:rsid w:val="00104E56"/>
    <w:rsid w:val="00104F9F"/>
    <w:rsid w:val="001050FF"/>
    <w:rsid w:val="00105875"/>
    <w:rsid w:val="00105F11"/>
    <w:rsid w:val="00106873"/>
    <w:rsid w:val="00106F5A"/>
    <w:rsid w:val="00107884"/>
    <w:rsid w:val="00110246"/>
    <w:rsid w:val="001105CF"/>
    <w:rsid w:val="00113E45"/>
    <w:rsid w:val="00116300"/>
    <w:rsid w:val="00116F97"/>
    <w:rsid w:val="00117B70"/>
    <w:rsid w:val="001225AF"/>
    <w:rsid w:val="00122635"/>
    <w:rsid w:val="00123660"/>
    <w:rsid w:val="00124A47"/>
    <w:rsid w:val="001254C5"/>
    <w:rsid w:val="001255A4"/>
    <w:rsid w:val="00126B51"/>
    <w:rsid w:val="001273DB"/>
    <w:rsid w:val="00127E94"/>
    <w:rsid w:val="001303FB"/>
    <w:rsid w:val="00131507"/>
    <w:rsid w:val="00133622"/>
    <w:rsid w:val="001344C4"/>
    <w:rsid w:val="001350DA"/>
    <w:rsid w:val="0013686D"/>
    <w:rsid w:val="00136C03"/>
    <w:rsid w:val="00136CA0"/>
    <w:rsid w:val="00137A47"/>
    <w:rsid w:val="00137C46"/>
    <w:rsid w:val="00137E6C"/>
    <w:rsid w:val="0014042A"/>
    <w:rsid w:val="0014070D"/>
    <w:rsid w:val="00141131"/>
    <w:rsid w:val="00141589"/>
    <w:rsid w:val="00142580"/>
    <w:rsid w:val="00142974"/>
    <w:rsid w:val="00144A1E"/>
    <w:rsid w:val="00145A64"/>
    <w:rsid w:val="00145AC5"/>
    <w:rsid w:val="0014651B"/>
    <w:rsid w:val="001469B7"/>
    <w:rsid w:val="00147C10"/>
    <w:rsid w:val="0015127D"/>
    <w:rsid w:val="0015249F"/>
    <w:rsid w:val="001535E7"/>
    <w:rsid w:val="00153A95"/>
    <w:rsid w:val="00154654"/>
    <w:rsid w:val="00155155"/>
    <w:rsid w:val="00155257"/>
    <w:rsid w:val="0015553D"/>
    <w:rsid w:val="001557B4"/>
    <w:rsid w:val="00155A5C"/>
    <w:rsid w:val="00156548"/>
    <w:rsid w:val="00156C15"/>
    <w:rsid w:val="00160740"/>
    <w:rsid w:val="00160A80"/>
    <w:rsid w:val="001617A5"/>
    <w:rsid w:val="0016262E"/>
    <w:rsid w:val="001628DF"/>
    <w:rsid w:val="00163659"/>
    <w:rsid w:val="0016396D"/>
    <w:rsid w:val="001640FF"/>
    <w:rsid w:val="00164125"/>
    <w:rsid w:val="001663D2"/>
    <w:rsid w:val="0017226F"/>
    <w:rsid w:val="0017274E"/>
    <w:rsid w:val="0017293F"/>
    <w:rsid w:val="00172D77"/>
    <w:rsid w:val="00173B48"/>
    <w:rsid w:val="00174440"/>
    <w:rsid w:val="00174584"/>
    <w:rsid w:val="00174C2B"/>
    <w:rsid w:val="001763BB"/>
    <w:rsid w:val="00177064"/>
    <w:rsid w:val="0017723C"/>
    <w:rsid w:val="00180DB5"/>
    <w:rsid w:val="00181FDD"/>
    <w:rsid w:val="001826AE"/>
    <w:rsid w:val="001828EE"/>
    <w:rsid w:val="00183CFB"/>
    <w:rsid w:val="001860F0"/>
    <w:rsid w:val="001873CE"/>
    <w:rsid w:val="00192B2A"/>
    <w:rsid w:val="0019308D"/>
    <w:rsid w:val="0019410F"/>
    <w:rsid w:val="00196968"/>
    <w:rsid w:val="001A04D1"/>
    <w:rsid w:val="001A3B6A"/>
    <w:rsid w:val="001A463F"/>
    <w:rsid w:val="001A54AB"/>
    <w:rsid w:val="001B0FFF"/>
    <w:rsid w:val="001B17DE"/>
    <w:rsid w:val="001B28FC"/>
    <w:rsid w:val="001B35D9"/>
    <w:rsid w:val="001B69B5"/>
    <w:rsid w:val="001B73EA"/>
    <w:rsid w:val="001B7A67"/>
    <w:rsid w:val="001C1A01"/>
    <w:rsid w:val="001C350F"/>
    <w:rsid w:val="001C3E09"/>
    <w:rsid w:val="001C58B0"/>
    <w:rsid w:val="001C614F"/>
    <w:rsid w:val="001C63A3"/>
    <w:rsid w:val="001C6488"/>
    <w:rsid w:val="001D0F58"/>
    <w:rsid w:val="001D23A3"/>
    <w:rsid w:val="001D3DE2"/>
    <w:rsid w:val="001D464B"/>
    <w:rsid w:val="001D60B0"/>
    <w:rsid w:val="001D6DC2"/>
    <w:rsid w:val="001D70D9"/>
    <w:rsid w:val="001E06CB"/>
    <w:rsid w:val="001E3909"/>
    <w:rsid w:val="001E44BE"/>
    <w:rsid w:val="001E584A"/>
    <w:rsid w:val="001E6BBD"/>
    <w:rsid w:val="001E6D1F"/>
    <w:rsid w:val="001E78E9"/>
    <w:rsid w:val="001F0B66"/>
    <w:rsid w:val="001F4EBA"/>
    <w:rsid w:val="001F6523"/>
    <w:rsid w:val="001F69A2"/>
    <w:rsid w:val="001F6A25"/>
    <w:rsid w:val="001F6DDE"/>
    <w:rsid w:val="001F7440"/>
    <w:rsid w:val="002026A8"/>
    <w:rsid w:val="00202CC9"/>
    <w:rsid w:val="00202F5C"/>
    <w:rsid w:val="002038E1"/>
    <w:rsid w:val="002040FD"/>
    <w:rsid w:val="0020454F"/>
    <w:rsid w:val="00204B26"/>
    <w:rsid w:val="00206DF0"/>
    <w:rsid w:val="00207D55"/>
    <w:rsid w:val="00213421"/>
    <w:rsid w:val="0021352B"/>
    <w:rsid w:val="00213D7F"/>
    <w:rsid w:val="002144B4"/>
    <w:rsid w:val="00215596"/>
    <w:rsid w:val="002161E1"/>
    <w:rsid w:val="002164C8"/>
    <w:rsid w:val="0021741D"/>
    <w:rsid w:val="0022098F"/>
    <w:rsid w:val="002209D5"/>
    <w:rsid w:val="00221ED8"/>
    <w:rsid w:val="00222493"/>
    <w:rsid w:val="00224E9A"/>
    <w:rsid w:val="0022533B"/>
    <w:rsid w:val="00225C46"/>
    <w:rsid w:val="00226217"/>
    <w:rsid w:val="002278B1"/>
    <w:rsid w:val="002306EE"/>
    <w:rsid w:val="002309E6"/>
    <w:rsid w:val="0023289C"/>
    <w:rsid w:val="00234446"/>
    <w:rsid w:val="00234B99"/>
    <w:rsid w:val="00250290"/>
    <w:rsid w:val="00251105"/>
    <w:rsid w:val="00251781"/>
    <w:rsid w:val="00252244"/>
    <w:rsid w:val="002525B1"/>
    <w:rsid w:val="00253039"/>
    <w:rsid w:val="0025456E"/>
    <w:rsid w:val="00255017"/>
    <w:rsid w:val="0025566F"/>
    <w:rsid w:val="00255CC8"/>
    <w:rsid w:val="00255E17"/>
    <w:rsid w:val="00256548"/>
    <w:rsid w:val="0026035F"/>
    <w:rsid w:val="002606FB"/>
    <w:rsid w:val="002638B5"/>
    <w:rsid w:val="00263F34"/>
    <w:rsid w:val="0027182E"/>
    <w:rsid w:val="00272822"/>
    <w:rsid w:val="00273DA3"/>
    <w:rsid w:val="00280BA9"/>
    <w:rsid w:val="00281975"/>
    <w:rsid w:val="00281BCD"/>
    <w:rsid w:val="00283A3D"/>
    <w:rsid w:val="00285DF6"/>
    <w:rsid w:val="00287F5C"/>
    <w:rsid w:val="00290E64"/>
    <w:rsid w:val="002915DB"/>
    <w:rsid w:val="002925A3"/>
    <w:rsid w:val="00292B77"/>
    <w:rsid w:val="00293087"/>
    <w:rsid w:val="00295216"/>
    <w:rsid w:val="00296208"/>
    <w:rsid w:val="00296C88"/>
    <w:rsid w:val="002A1670"/>
    <w:rsid w:val="002A2B49"/>
    <w:rsid w:val="002A2D2B"/>
    <w:rsid w:val="002A5D20"/>
    <w:rsid w:val="002A61C9"/>
    <w:rsid w:val="002A6317"/>
    <w:rsid w:val="002A7DCB"/>
    <w:rsid w:val="002A7DDF"/>
    <w:rsid w:val="002B0152"/>
    <w:rsid w:val="002B1F06"/>
    <w:rsid w:val="002B2BBD"/>
    <w:rsid w:val="002B2C35"/>
    <w:rsid w:val="002B4F2B"/>
    <w:rsid w:val="002B564E"/>
    <w:rsid w:val="002B5871"/>
    <w:rsid w:val="002B7458"/>
    <w:rsid w:val="002B7DDC"/>
    <w:rsid w:val="002C09CD"/>
    <w:rsid w:val="002C0A6E"/>
    <w:rsid w:val="002C194B"/>
    <w:rsid w:val="002C2045"/>
    <w:rsid w:val="002C374B"/>
    <w:rsid w:val="002C429E"/>
    <w:rsid w:val="002C483B"/>
    <w:rsid w:val="002C4B71"/>
    <w:rsid w:val="002C5FCA"/>
    <w:rsid w:val="002C6335"/>
    <w:rsid w:val="002C6519"/>
    <w:rsid w:val="002C65C3"/>
    <w:rsid w:val="002D1052"/>
    <w:rsid w:val="002D2F58"/>
    <w:rsid w:val="002D472E"/>
    <w:rsid w:val="002D527F"/>
    <w:rsid w:val="002D5DAC"/>
    <w:rsid w:val="002D640F"/>
    <w:rsid w:val="002D7D75"/>
    <w:rsid w:val="002E440F"/>
    <w:rsid w:val="002E4581"/>
    <w:rsid w:val="002E4969"/>
    <w:rsid w:val="002E4BA4"/>
    <w:rsid w:val="002E4E35"/>
    <w:rsid w:val="002E6920"/>
    <w:rsid w:val="002F1611"/>
    <w:rsid w:val="002F1821"/>
    <w:rsid w:val="002F2DDA"/>
    <w:rsid w:val="002F53D4"/>
    <w:rsid w:val="002F5947"/>
    <w:rsid w:val="002F5E0C"/>
    <w:rsid w:val="002F73AB"/>
    <w:rsid w:val="00304E24"/>
    <w:rsid w:val="003056EB"/>
    <w:rsid w:val="0030610F"/>
    <w:rsid w:val="00307336"/>
    <w:rsid w:val="00307FEF"/>
    <w:rsid w:val="0031397F"/>
    <w:rsid w:val="003149D1"/>
    <w:rsid w:val="00314AA0"/>
    <w:rsid w:val="00315B1B"/>
    <w:rsid w:val="0031792E"/>
    <w:rsid w:val="00317F31"/>
    <w:rsid w:val="00320E4D"/>
    <w:rsid w:val="00321840"/>
    <w:rsid w:val="0032300E"/>
    <w:rsid w:val="00323803"/>
    <w:rsid w:val="0032570F"/>
    <w:rsid w:val="00325E4A"/>
    <w:rsid w:val="00326B30"/>
    <w:rsid w:val="003344DA"/>
    <w:rsid w:val="00334A87"/>
    <w:rsid w:val="00334F3B"/>
    <w:rsid w:val="00335802"/>
    <w:rsid w:val="0033710D"/>
    <w:rsid w:val="00340D20"/>
    <w:rsid w:val="003414E0"/>
    <w:rsid w:val="003426B2"/>
    <w:rsid w:val="00343ABF"/>
    <w:rsid w:val="00344DC8"/>
    <w:rsid w:val="00347B24"/>
    <w:rsid w:val="00350008"/>
    <w:rsid w:val="00350B23"/>
    <w:rsid w:val="00351851"/>
    <w:rsid w:val="0035378C"/>
    <w:rsid w:val="00353C90"/>
    <w:rsid w:val="003561B7"/>
    <w:rsid w:val="00361214"/>
    <w:rsid w:val="00362C44"/>
    <w:rsid w:val="00364E57"/>
    <w:rsid w:val="00364F8A"/>
    <w:rsid w:val="0036505A"/>
    <w:rsid w:val="0036617A"/>
    <w:rsid w:val="003720F7"/>
    <w:rsid w:val="003728DF"/>
    <w:rsid w:val="00372BC0"/>
    <w:rsid w:val="00373AAE"/>
    <w:rsid w:val="00376B62"/>
    <w:rsid w:val="00380060"/>
    <w:rsid w:val="0038085F"/>
    <w:rsid w:val="003808D1"/>
    <w:rsid w:val="0038120D"/>
    <w:rsid w:val="00382077"/>
    <w:rsid w:val="003830D6"/>
    <w:rsid w:val="00384167"/>
    <w:rsid w:val="00387643"/>
    <w:rsid w:val="003906AE"/>
    <w:rsid w:val="00390C2F"/>
    <w:rsid w:val="003911AB"/>
    <w:rsid w:val="00391FD2"/>
    <w:rsid w:val="00394A6B"/>
    <w:rsid w:val="00396493"/>
    <w:rsid w:val="0039684D"/>
    <w:rsid w:val="0039723C"/>
    <w:rsid w:val="003A0653"/>
    <w:rsid w:val="003A2F5F"/>
    <w:rsid w:val="003A49D0"/>
    <w:rsid w:val="003A5CB6"/>
    <w:rsid w:val="003A7F6F"/>
    <w:rsid w:val="003B1566"/>
    <w:rsid w:val="003B1576"/>
    <w:rsid w:val="003B4005"/>
    <w:rsid w:val="003B59D8"/>
    <w:rsid w:val="003B6A1A"/>
    <w:rsid w:val="003B6CB4"/>
    <w:rsid w:val="003C1DD0"/>
    <w:rsid w:val="003C37F5"/>
    <w:rsid w:val="003C3F4C"/>
    <w:rsid w:val="003C564F"/>
    <w:rsid w:val="003C5660"/>
    <w:rsid w:val="003C608D"/>
    <w:rsid w:val="003C72C1"/>
    <w:rsid w:val="003D01B8"/>
    <w:rsid w:val="003D0409"/>
    <w:rsid w:val="003D0FFC"/>
    <w:rsid w:val="003D284E"/>
    <w:rsid w:val="003D37BE"/>
    <w:rsid w:val="003D6E39"/>
    <w:rsid w:val="003D71D3"/>
    <w:rsid w:val="003E23BE"/>
    <w:rsid w:val="003E3084"/>
    <w:rsid w:val="003E64FC"/>
    <w:rsid w:val="003E6E0B"/>
    <w:rsid w:val="003E71BE"/>
    <w:rsid w:val="003E7649"/>
    <w:rsid w:val="003F2518"/>
    <w:rsid w:val="003F30A5"/>
    <w:rsid w:val="004013BB"/>
    <w:rsid w:val="0040207C"/>
    <w:rsid w:val="0040278F"/>
    <w:rsid w:val="00404A21"/>
    <w:rsid w:val="00405A47"/>
    <w:rsid w:val="00406EDD"/>
    <w:rsid w:val="00407360"/>
    <w:rsid w:val="004103B2"/>
    <w:rsid w:val="00411987"/>
    <w:rsid w:val="00414A6A"/>
    <w:rsid w:val="00414E7C"/>
    <w:rsid w:val="00415931"/>
    <w:rsid w:val="00417CF1"/>
    <w:rsid w:val="0042011E"/>
    <w:rsid w:val="00420581"/>
    <w:rsid w:val="0042264F"/>
    <w:rsid w:val="00423CD0"/>
    <w:rsid w:val="00424177"/>
    <w:rsid w:val="0042622B"/>
    <w:rsid w:val="00427572"/>
    <w:rsid w:val="00430639"/>
    <w:rsid w:val="00431498"/>
    <w:rsid w:val="00432505"/>
    <w:rsid w:val="004337E8"/>
    <w:rsid w:val="004352C3"/>
    <w:rsid w:val="00436A17"/>
    <w:rsid w:val="00437D95"/>
    <w:rsid w:val="00437DDF"/>
    <w:rsid w:val="00441509"/>
    <w:rsid w:val="0044521F"/>
    <w:rsid w:val="00445360"/>
    <w:rsid w:val="00446297"/>
    <w:rsid w:val="004476B3"/>
    <w:rsid w:val="004476BF"/>
    <w:rsid w:val="00450754"/>
    <w:rsid w:val="0045185A"/>
    <w:rsid w:val="00451BDB"/>
    <w:rsid w:val="00456630"/>
    <w:rsid w:val="00456CCD"/>
    <w:rsid w:val="004608FD"/>
    <w:rsid w:val="0046182C"/>
    <w:rsid w:val="00462FBD"/>
    <w:rsid w:val="0046544F"/>
    <w:rsid w:val="00467E1D"/>
    <w:rsid w:val="0047513E"/>
    <w:rsid w:val="004751B8"/>
    <w:rsid w:val="00475A2E"/>
    <w:rsid w:val="00476F46"/>
    <w:rsid w:val="00476FE1"/>
    <w:rsid w:val="0047771F"/>
    <w:rsid w:val="004800A1"/>
    <w:rsid w:val="0048081B"/>
    <w:rsid w:val="0048174A"/>
    <w:rsid w:val="0048235F"/>
    <w:rsid w:val="00482A8C"/>
    <w:rsid w:val="00482B42"/>
    <w:rsid w:val="0048516D"/>
    <w:rsid w:val="004867B7"/>
    <w:rsid w:val="0048687C"/>
    <w:rsid w:val="00487ADA"/>
    <w:rsid w:val="00487DE8"/>
    <w:rsid w:val="00487E90"/>
    <w:rsid w:val="004907E6"/>
    <w:rsid w:val="00490860"/>
    <w:rsid w:val="00491A86"/>
    <w:rsid w:val="004923FB"/>
    <w:rsid w:val="0049240E"/>
    <w:rsid w:val="00493164"/>
    <w:rsid w:val="004943BA"/>
    <w:rsid w:val="00496A41"/>
    <w:rsid w:val="00496B4B"/>
    <w:rsid w:val="00497F97"/>
    <w:rsid w:val="004A05B3"/>
    <w:rsid w:val="004A0EB5"/>
    <w:rsid w:val="004A27C3"/>
    <w:rsid w:val="004A3BCF"/>
    <w:rsid w:val="004A68F9"/>
    <w:rsid w:val="004A7BFE"/>
    <w:rsid w:val="004B0CD2"/>
    <w:rsid w:val="004B2208"/>
    <w:rsid w:val="004B775A"/>
    <w:rsid w:val="004C049D"/>
    <w:rsid w:val="004C181C"/>
    <w:rsid w:val="004C1E6D"/>
    <w:rsid w:val="004C20E7"/>
    <w:rsid w:val="004C3AFE"/>
    <w:rsid w:val="004C44BE"/>
    <w:rsid w:val="004C6314"/>
    <w:rsid w:val="004C6B00"/>
    <w:rsid w:val="004D42EF"/>
    <w:rsid w:val="004D44EC"/>
    <w:rsid w:val="004D4778"/>
    <w:rsid w:val="004D6FB9"/>
    <w:rsid w:val="004D7C60"/>
    <w:rsid w:val="004E15DB"/>
    <w:rsid w:val="004E6EF5"/>
    <w:rsid w:val="004E751A"/>
    <w:rsid w:val="004E7551"/>
    <w:rsid w:val="004F017B"/>
    <w:rsid w:val="004F4F65"/>
    <w:rsid w:val="004F60E4"/>
    <w:rsid w:val="00500773"/>
    <w:rsid w:val="005019C2"/>
    <w:rsid w:val="00501C0B"/>
    <w:rsid w:val="0050227E"/>
    <w:rsid w:val="00504070"/>
    <w:rsid w:val="00504E4F"/>
    <w:rsid w:val="00505E7F"/>
    <w:rsid w:val="0050656B"/>
    <w:rsid w:val="005073D6"/>
    <w:rsid w:val="005104E2"/>
    <w:rsid w:val="00511E27"/>
    <w:rsid w:val="00513B01"/>
    <w:rsid w:val="005175A0"/>
    <w:rsid w:val="00517F96"/>
    <w:rsid w:val="005203C6"/>
    <w:rsid w:val="005209E9"/>
    <w:rsid w:val="00522414"/>
    <w:rsid w:val="00522677"/>
    <w:rsid w:val="00522679"/>
    <w:rsid w:val="00523705"/>
    <w:rsid w:val="00524D50"/>
    <w:rsid w:val="00524F66"/>
    <w:rsid w:val="00525B76"/>
    <w:rsid w:val="0053105C"/>
    <w:rsid w:val="00533A5C"/>
    <w:rsid w:val="00533BA0"/>
    <w:rsid w:val="005358FD"/>
    <w:rsid w:val="00535D71"/>
    <w:rsid w:val="00536763"/>
    <w:rsid w:val="00537A5C"/>
    <w:rsid w:val="00537F30"/>
    <w:rsid w:val="00540529"/>
    <w:rsid w:val="00540944"/>
    <w:rsid w:val="005416FE"/>
    <w:rsid w:val="00541795"/>
    <w:rsid w:val="005435A1"/>
    <w:rsid w:val="00543747"/>
    <w:rsid w:val="00544188"/>
    <w:rsid w:val="005450B3"/>
    <w:rsid w:val="00546270"/>
    <w:rsid w:val="00547086"/>
    <w:rsid w:val="00547782"/>
    <w:rsid w:val="00547EEB"/>
    <w:rsid w:val="00547FDA"/>
    <w:rsid w:val="00550AC4"/>
    <w:rsid w:val="00551A53"/>
    <w:rsid w:val="00552376"/>
    <w:rsid w:val="00553633"/>
    <w:rsid w:val="0055376B"/>
    <w:rsid w:val="00553BAC"/>
    <w:rsid w:val="00553C88"/>
    <w:rsid w:val="005542BB"/>
    <w:rsid w:val="00554A3A"/>
    <w:rsid w:val="00556348"/>
    <w:rsid w:val="00556925"/>
    <w:rsid w:val="005571AC"/>
    <w:rsid w:val="0056051E"/>
    <w:rsid w:val="00561368"/>
    <w:rsid w:val="0056202B"/>
    <w:rsid w:val="00562189"/>
    <w:rsid w:val="0056240E"/>
    <w:rsid w:val="0056469E"/>
    <w:rsid w:val="00565A82"/>
    <w:rsid w:val="00566F67"/>
    <w:rsid w:val="0056705F"/>
    <w:rsid w:val="00570FD5"/>
    <w:rsid w:val="0058269D"/>
    <w:rsid w:val="00582B31"/>
    <w:rsid w:val="005853DF"/>
    <w:rsid w:val="00585757"/>
    <w:rsid w:val="0058737C"/>
    <w:rsid w:val="00591897"/>
    <w:rsid w:val="00591CA9"/>
    <w:rsid w:val="005923FF"/>
    <w:rsid w:val="00592DD5"/>
    <w:rsid w:val="00593DE0"/>
    <w:rsid w:val="0059546E"/>
    <w:rsid w:val="00595B5D"/>
    <w:rsid w:val="00597481"/>
    <w:rsid w:val="00597742"/>
    <w:rsid w:val="005A04CE"/>
    <w:rsid w:val="005A079B"/>
    <w:rsid w:val="005A0DE8"/>
    <w:rsid w:val="005A1332"/>
    <w:rsid w:val="005A1F3F"/>
    <w:rsid w:val="005A2826"/>
    <w:rsid w:val="005A3090"/>
    <w:rsid w:val="005A40D6"/>
    <w:rsid w:val="005A4E8B"/>
    <w:rsid w:val="005A4FE8"/>
    <w:rsid w:val="005A5881"/>
    <w:rsid w:val="005B0235"/>
    <w:rsid w:val="005B09A8"/>
    <w:rsid w:val="005B2080"/>
    <w:rsid w:val="005B324A"/>
    <w:rsid w:val="005B46C6"/>
    <w:rsid w:val="005B47AB"/>
    <w:rsid w:val="005B5A21"/>
    <w:rsid w:val="005B696C"/>
    <w:rsid w:val="005B7075"/>
    <w:rsid w:val="005C09FB"/>
    <w:rsid w:val="005C0EED"/>
    <w:rsid w:val="005C105E"/>
    <w:rsid w:val="005C2849"/>
    <w:rsid w:val="005C32D9"/>
    <w:rsid w:val="005C37E2"/>
    <w:rsid w:val="005C408E"/>
    <w:rsid w:val="005C45A3"/>
    <w:rsid w:val="005C4EB8"/>
    <w:rsid w:val="005C5C1A"/>
    <w:rsid w:val="005C6622"/>
    <w:rsid w:val="005C74DD"/>
    <w:rsid w:val="005D0862"/>
    <w:rsid w:val="005D1C9B"/>
    <w:rsid w:val="005D21B2"/>
    <w:rsid w:val="005D5A8C"/>
    <w:rsid w:val="005D6998"/>
    <w:rsid w:val="005E06AB"/>
    <w:rsid w:val="005E0DAA"/>
    <w:rsid w:val="005E2252"/>
    <w:rsid w:val="005E2677"/>
    <w:rsid w:val="005E2FF5"/>
    <w:rsid w:val="005E329D"/>
    <w:rsid w:val="005E3C00"/>
    <w:rsid w:val="005E3D39"/>
    <w:rsid w:val="005E4BAD"/>
    <w:rsid w:val="005E4DEB"/>
    <w:rsid w:val="005E68EE"/>
    <w:rsid w:val="005E77ED"/>
    <w:rsid w:val="005F0F85"/>
    <w:rsid w:val="005F14B0"/>
    <w:rsid w:val="005F2890"/>
    <w:rsid w:val="005F2DB5"/>
    <w:rsid w:val="005F3CC5"/>
    <w:rsid w:val="005F4FCC"/>
    <w:rsid w:val="005F5133"/>
    <w:rsid w:val="005F6CA9"/>
    <w:rsid w:val="005F77CF"/>
    <w:rsid w:val="005F7B1E"/>
    <w:rsid w:val="005F7C3C"/>
    <w:rsid w:val="00600058"/>
    <w:rsid w:val="00600346"/>
    <w:rsid w:val="00600B7C"/>
    <w:rsid w:val="00601125"/>
    <w:rsid w:val="00601DA1"/>
    <w:rsid w:val="00602E09"/>
    <w:rsid w:val="00603063"/>
    <w:rsid w:val="006053EA"/>
    <w:rsid w:val="00605655"/>
    <w:rsid w:val="0060582D"/>
    <w:rsid w:val="00607134"/>
    <w:rsid w:val="006110BB"/>
    <w:rsid w:val="00611289"/>
    <w:rsid w:val="00612537"/>
    <w:rsid w:val="00613751"/>
    <w:rsid w:val="00613974"/>
    <w:rsid w:val="0061455B"/>
    <w:rsid w:val="00614A16"/>
    <w:rsid w:val="00614D91"/>
    <w:rsid w:val="00615328"/>
    <w:rsid w:val="006169BC"/>
    <w:rsid w:val="00616DC1"/>
    <w:rsid w:val="00620325"/>
    <w:rsid w:val="00621010"/>
    <w:rsid w:val="006210F1"/>
    <w:rsid w:val="006212DB"/>
    <w:rsid w:val="0062288F"/>
    <w:rsid w:val="00624CBC"/>
    <w:rsid w:val="00625D38"/>
    <w:rsid w:val="006260F7"/>
    <w:rsid w:val="00626145"/>
    <w:rsid w:val="006315B9"/>
    <w:rsid w:val="006326D4"/>
    <w:rsid w:val="00633971"/>
    <w:rsid w:val="00633999"/>
    <w:rsid w:val="00634613"/>
    <w:rsid w:val="00635157"/>
    <w:rsid w:val="00637776"/>
    <w:rsid w:val="0064010A"/>
    <w:rsid w:val="00643980"/>
    <w:rsid w:val="00643A0C"/>
    <w:rsid w:val="0064564A"/>
    <w:rsid w:val="00646D5D"/>
    <w:rsid w:val="00650668"/>
    <w:rsid w:val="00650DC1"/>
    <w:rsid w:val="00653051"/>
    <w:rsid w:val="00654F6B"/>
    <w:rsid w:val="00660274"/>
    <w:rsid w:val="00660743"/>
    <w:rsid w:val="00661183"/>
    <w:rsid w:val="006619B4"/>
    <w:rsid w:val="00662FB8"/>
    <w:rsid w:val="0066359D"/>
    <w:rsid w:val="00664597"/>
    <w:rsid w:val="00665661"/>
    <w:rsid w:val="00667411"/>
    <w:rsid w:val="00667B03"/>
    <w:rsid w:val="00670311"/>
    <w:rsid w:val="006711A1"/>
    <w:rsid w:val="0067256F"/>
    <w:rsid w:val="00674263"/>
    <w:rsid w:val="0067610F"/>
    <w:rsid w:val="0068080F"/>
    <w:rsid w:val="006827F7"/>
    <w:rsid w:val="006833A6"/>
    <w:rsid w:val="0068446E"/>
    <w:rsid w:val="00684C85"/>
    <w:rsid w:val="00686AD9"/>
    <w:rsid w:val="00686C99"/>
    <w:rsid w:val="00690939"/>
    <w:rsid w:val="00692E64"/>
    <w:rsid w:val="00692FAF"/>
    <w:rsid w:val="00693F57"/>
    <w:rsid w:val="0069463D"/>
    <w:rsid w:val="00694865"/>
    <w:rsid w:val="00695067"/>
    <w:rsid w:val="00696523"/>
    <w:rsid w:val="00697907"/>
    <w:rsid w:val="006A011F"/>
    <w:rsid w:val="006A03D6"/>
    <w:rsid w:val="006A0520"/>
    <w:rsid w:val="006A097A"/>
    <w:rsid w:val="006A0ADC"/>
    <w:rsid w:val="006A31D5"/>
    <w:rsid w:val="006A46F8"/>
    <w:rsid w:val="006A49C1"/>
    <w:rsid w:val="006A6DBE"/>
    <w:rsid w:val="006A6DDD"/>
    <w:rsid w:val="006B091E"/>
    <w:rsid w:val="006B0E5C"/>
    <w:rsid w:val="006B398C"/>
    <w:rsid w:val="006B4BB9"/>
    <w:rsid w:val="006B7268"/>
    <w:rsid w:val="006B7738"/>
    <w:rsid w:val="006B77FB"/>
    <w:rsid w:val="006C0524"/>
    <w:rsid w:val="006C2745"/>
    <w:rsid w:val="006C3459"/>
    <w:rsid w:val="006C3CCF"/>
    <w:rsid w:val="006C4119"/>
    <w:rsid w:val="006C4811"/>
    <w:rsid w:val="006C4DC2"/>
    <w:rsid w:val="006C75AF"/>
    <w:rsid w:val="006D09FF"/>
    <w:rsid w:val="006D1D94"/>
    <w:rsid w:val="006D23C4"/>
    <w:rsid w:val="006D370C"/>
    <w:rsid w:val="006D3865"/>
    <w:rsid w:val="006D3F45"/>
    <w:rsid w:val="006D729B"/>
    <w:rsid w:val="006D7FC4"/>
    <w:rsid w:val="006E06F7"/>
    <w:rsid w:val="006E271E"/>
    <w:rsid w:val="006E2F98"/>
    <w:rsid w:val="006E32A9"/>
    <w:rsid w:val="006E3BC5"/>
    <w:rsid w:val="006E6E61"/>
    <w:rsid w:val="006F07E1"/>
    <w:rsid w:val="006F293C"/>
    <w:rsid w:val="006F58EC"/>
    <w:rsid w:val="006F63F1"/>
    <w:rsid w:val="006F6BF8"/>
    <w:rsid w:val="00701956"/>
    <w:rsid w:val="007039B0"/>
    <w:rsid w:val="007044C7"/>
    <w:rsid w:val="00705028"/>
    <w:rsid w:val="007061D7"/>
    <w:rsid w:val="00707FF8"/>
    <w:rsid w:val="00712109"/>
    <w:rsid w:val="00714A2B"/>
    <w:rsid w:val="00714C90"/>
    <w:rsid w:val="007150BA"/>
    <w:rsid w:val="007175C0"/>
    <w:rsid w:val="00722538"/>
    <w:rsid w:val="007258B2"/>
    <w:rsid w:val="00725D07"/>
    <w:rsid w:val="0073111B"/>
    <w:rsid w:val="00731B00"/>
    <w:rsid w:val="00732C47"/>
    <w:rsid w:val="007330C0"/>
    <w:rsid w:val="00734546"/>
    <w:rsid w:val="007347F3"/>
    <w:rsid w:val="0073564F"/>
    <w:rsid w:val="00735F1A"/>
    <w:rsid w:val="00736480"/>
    <w:rsid w:val="00740185"/>
    <w:rsid w:val="0074074B"/>
    <w:rsid w:val="007441FD"/>
    <w:rsid w:val="00746849"/>
    <w:rsid w:val="007468F8"/>
    <w:rsid w:val="007500E6"/>
    <w:rsid w:val="00751ECD"/>
    <w:rsid w:val="007529FD"/>
    <w:rsid w:val="007533B1"/>
    <w:rsid w:val="00753549"/>
    <w:rsid w:val="00753FD0"/>
    <w:rsid w:val="0075555D"/>
    <w:rsid w:val="007557F6"/>
    <w:rsid w:val="0076001B"/>
    <w:rsid w:val="00760A66"/>
    <w:rsid w:val="00760ACD"/>
    <w:rsid w:val="00760BBB"/>
    <w:rsid w:val="00762A1A"/>
    <w:rsid w:val="00763003"/>
    <w:rsid w:val="00763A2A"/>
    <w:rsid w:val="007654AA"/>
    <w:rsid w:val="00765C3B"/>
    <w:rsid w:val="00765E28"/>
    <w:rsid w:val="00767244"/>
    <w:rsid w:val="00773C3B"/>
    <w:rsid w:val="00773F08"/>
    <w:rsid w:val="00774C73"/>
    <w:rsid w:val="00777710"/>
    <w:rsid w:val="00777FB7"/>
    <w:rsid w:val="007803BE"/>
    <w:rsid w:val="0078104B"/>
    <w:rsid w:val="00781086"/>
    <w:rsid w:val="00781C57"/>
    <w:rsid w:val="00782288"/>
    <w:rsid w:val="007825A3"/>
    <w:rsid w:val="00782EF6"/>
    <w:rsid w:val="00784659"/>
    <w:rsid w:val="00784983"/>
    <w:rsid w:val="00791367"/>
    <w:rsid w:val="00791C8B"/>
    <w:rsid w:val="007933F4"/>
    <w:rsid w:val="007954A7"/>
    <w:rsid w:val="0079715A"/>
    <w:rsid w:val="007971B5"/>
    <w:rsid w:val="007977DE"/>
    <w:rsid w:val="007978DD"/>
    <w:rsid w:val="00797ADA"/>
    <w:rsid w:val="007A10E5"/>
    <w:rsid w:val="007A28FD"/>
    <w:rsid w:val="007A2E27"/>
    <w:rsid w:val="007A3838"/>
    <w:rsid w:val="007A390C"/>
    <w:rsid w:val="007A4F02"/>
    <w:rsid w:val="007A59A1"/>
    <w:rsid w:val="007A6E51"/>
    <w:rsid w:val="007A717E"/>
    <w:rsid w:val="007A790C"/>
    <w:rsid w:val="007B0DCF"/>
    <w:rsid w:val="007B3DE6"/>
    <w:rsid w:val="007B4929"/>
    <w:rsid w:val="007B59FA"/>
    <w:rsid w:val="007B690C"/>
    <w:rsid w:val="007C1020"/>
    <w:rsid w:val="007C1750"/>
    <w:rsid w:val="007C2099"/>
    <w:rsid w:val="007C320B"/>
    <w:rsid w:val="007C3CEB"/>
    <w:rsid w:val="007C6361"/>
    <w:rsid w:val="007C6573"/>
    <w:rsid w:val="007D0147"/>
    <w:rsid w:val="007D0887"/>
    <w:rsid w:val="007D16C6"/>
    <w:rsid w:val="007D29C8"/>
    <w:rsid w:val="007D34D9"/>
    <w:rsid w:val="007D398C"/>
    <w:rsid w:val="007D61A3"/>
    <w:rsid w:val="007D666F"/>
    <w:rsid w:val="007D686D"/>
    <w:rsid w:val="007D6A0A"/>
    <w:rsid w:val="007D6C80"/>
    <w:rsid w:val="007E1A95"/>
    <w:rsid w:val="007E1BD7"/>
    <w:rsid w:val="007E1F7B"/>
    <w:rsid w:val="007E224E"/>
    <w:rsid w:val="007E3B21"/>
    <w:rsid w:val="007F0BE7"/>
    <w:rsid w:val="007F4C59"/>
    <w:rsid w:val="007F5443"/>
    <w:rsid w:val="007F5B89"/>
    <w:rsid w:val="007F69E2"/>
    <w:rsid w:val="00800EDD"/>
    <w:rsid w:val="00802166"/>
    <w:rsid w:val="00803714"/>
    <w:rsid w:val="00807DC0"/>
    <w:rsid w:val="00810DA6"/>
    <w:rsid w:val="00810DC1"/>
    <w:rsid w:val="0081552C"/>
    <w:rsid w:val="00823CD3"/>
    <w:rsid w:val="00824B09"/>
    <w:rsid w:val="00825768"/>
    <w:rsid w:val="00827C1E"/>
    <w:rsid w:val="00830B0E"/>
    <w:rsid w:val="00830DC2"/>
    <w:rsid w:val="0083123D"/>
    <w:rsid w:val="00836211"/>
    <w:rsid w:val="0083687F"/>
    <w:rsid w:val="00836FE4"/>
    <w:rsid w:val="00841488"/>
    <w:rsid w:val="0084364A"/>
    <w:rsid w:val="00843DF5"/>
    <w:rsid w:val="0084438F"/>
    <w:rsid w:val="008446C6"/>
    <w:rsid w:val="00845E8F"/>
    <w:rsid w:val="00850741"/>
    <w:rsid w:val="00850879"/>
    <w:rsid w:val="00853D37"/>
    <w:rsid w:val="008547C4"/>
    <w:rsid w:val="008609E6"/>
    <w:rsid w:val="00862809"/>
    <w:rsid w:val="00863AC8"/>
    <w:rsid w:val="00864C2B"/>
    <w:rsid w:val="00865F27"/>
    <w:rsid w:val="008666B8"/>
    <w:rsid w:val="00866AC4"/>
    <w:rsid w:val="0086719B"/>
    <w:rsid w:val="0087170E"/>
    <w:rsid w:val="00873702"/>
    <w:rsid w:val="00873B91"/>
    <w:rsid w:val="00873CBE"/>
    <w:rsid w:val="00875344"/>
    <w:rsid w:val="00880454"/>
    <w:rsid w:val="00880C0C"/>
    <w:rsid w:val="00882C40"/>
    <w:rsid w:val="00883078"/>
    <w:rsid w:val="00883C9F"/>
    <w:rsid w:val="008847B9"/>
    <w:rsid w:val="0088500D"/>
    <w:rsid w:val="00885293"/>
    <w:rsid w:val="008870C1"/>
    <w:rsid w:val="00887BA1"/>
    <w:rsid w:val="0089081B"/>
    <w:rsid w:val="00890EB9"/>
    <w:rsid w:val="008910F7"/>
    <w:rsid w:val="0089373A"/>
    <w:rsid w:val="00894BDB"/>
    <w:rsid w:val="00896306"/>
    <w:rsid w:val="008966C7"/>
    <w:rsid w:val="00896FB1"/>
    <w:rsid w:val="0089704E"/>
    <w:rsid w:val="008972FF"/>
    <w:rsid w:val="00897460"/>
    <w:rsid w:val="00897F85"/>
    <w:rsid w:val="008A0A3F"/>
    <w:rsid w:val="008A18B5"/>
    <w:rsid w:val="008A39AD"/>
    <w:rsid w:val="008A7450"/>
    <w:rsid w:val="008B0312"/>
    <w:rsid w:val="008B03FB"/>
    <w:rsid w:val="008B135A"/>
    <w:rsid w:val="008B1DA9"/>
    <w:rsid w:val="008B2683"/>
    <w:rsid w:val="008B3C9F"/>
    <w:rsid w:val="008B4998"/>
    <w:rsid w:val="008B5A35"/>
    <w:rsid w:val="008B6056"/>
    <w:rsid w:val="008B6624"/>
    <w:rsid w:val="008B6E86"/>
    <w:rsid w:val="008B72FB"/>
    <w:rsid w:val="008B7A75"/>
    <w:rsid w:val="008C0EC0"/>
    <w:rsid w:val="008C3341"/>
    <w:rsid w:val="008C5ACA"/>
    <w:rsid w:val="008C5EE5"/>
    <w:rsid w:val="008C70E0"/>
    <w:rsid w:val="008D1B43"/>
    <w:rsid w:val="008D1D2E"/>
    <w:rsid w:val="008D206A"/>
    <w:rsid w:val="008D2739"/>
    <w:rsid w:val="008D2ED4"/>
    <w:rsid w:val="008D37BA"/>
    <w:rsid w:val="008D50A8"/>
    <w:rsid w:val="008D7D95"/>
    <w:rsid w:val="008E2B79"/>
    <w:rsid w:val="008E529C"/>
    <w:rsid w:val="008E5814"/>
    <w:rsid w:val="008E5E62"/>
    <w:rsid w:val="008E63EB"/>
    <w:rsid w:val="008E66E8"/>
    <w:rsid w:val="008E6CE0"/>
    <w:rsid w:val="008E776C"/>
    <w:rsid w:val="008F1D8E"/>
    <w:rsid w:val="008F4F51"/>
    <w:rsid w:val="008F5F96"/>
    <w:rsid w:val="00900350"/>
    <w:rsid w:val="00901696"/>
    <w:rsid w:val="0090264B"/>
    <w:rsid w:val="00902B53"/>
    <w:rsid w:val="00902D96"/>
    <w:rsid w:val="00903438"/>
    <w:rsid w:val="00903C65"/>
    <w:rsid w:val="00903FD8"/>
    <w:rsid w:val="00906294"/>
    <w:rsid w:val="00906E78"/>
    <w:rsid w:val="00907639"/>
    <w:rsid w:val="00910819"/>
    <w:rsid w:val="00910D6B"/>
    <w:rsid w:val="00910D74"/>
    <w:rsid w:val="00911D9E"/>
    <w:rsid w:val="0091397A"/>
    <w:rsid w:val="00914282"/>
    <w:rsid w:val="00914F43"/>
    <w:rsid w:val="009155C6"/>
    <w:rsid w:val="00917E17"/>
    <w:rsid w:val="00923A83"/>
    <w:rsid w:val="00923C1C"/>
    <w:rsid w:val="0092419D"/>
    <w:rsid w:val="00925C0F"/>
    <w:rsid w:val="00926296"/>
    <w:rsid w:val="009301E9"/>
    <w:rsid w:val="00930302"/>
    <w:rsid w:val="00931883"/>
    <w:rsid w:val="009328A8"/>
    <w:rsid w:val="0093313D"/>
    <w:rsid w:val="0093349A"/>
    <w:rsid w:val="00933648"/>
    <w:rsid w:val="009337FF"/>
    <w:rsid w:val="00934165"/>
    <w:rsid w:val="0093420E"/>
    <w:rsid w:val="0093427E"/>
    <w:rsid w:val="009343E1"/>
    <w:rsid w:val="009351A0"/>
    <w:rsid w:val="009355A8"/>
    <w:rsid w:val="009418B1"/>
    <w:rsid w:val="00942493"/>
    <w:rsid w:val="00944B1A"/>
    <w:rsid w:val="009453FE"/>
    <w:rsid w:val="00945CFF"/>
    <w:rsid w:val="00945F45"/>
    <w:rsid w:val="00946925"/>
    <w:rsid w:val="00946C8E"/>
    <w:rsid w:val="009504BF"/>
    <w:rsid w:val="00950871"/>
    <w:rsid w:val="00950FFF"/>
    <w:rsid w:val="0095183C"/>
    <w:rsid w:val="009519D6"/>
    <w:rsid w:val="00951B5D"/>
    <w:rsid w:val="00952767"/>
    <w:rsid w:val="00952AFF"/>
    <w:rsid w:val="009539E8"/>
    <w:rsid w:val="00953D94"/>
    <w:rsid w:val="00955FA7"/>
    <w:rsid w:val="00960B46"/>
    <w:rsid w:val="009630B2"/>
    <w:rsid w:val="00963509"/>
    <w:rsid w:val="00963523"/>
    <w:rsid w:val="00963FE5"/>
    <w:rsid w:val="00965B3F"/>
    <w:rsid w:val="00966D61"/>
    <w:rsid w:val="009671AD"/>
    <w:rsid w:val="009675D4"/>
    <w:rsid w:val="00967B4D"/>
    <w:rsid w:val="00970CA5"/>
    <w:rsid w:val="009725B7"/>
    <w:rsid w:val="00974034"/>
    <w:rsid w:val="009744BC"/>
    <w:rsid w:val="009748BA"/>
    <w:rsid w:val="00980393"/>
    <w:rsid w:val="00981271"/>
    <w:rsid w:val="00982289"/>
    <w:rsid w:val="00982454"/>
    <w:rsid w:val="00983975"/>
    <w:rsid w:val="00985678"/>
    <w:rsid w:val="00985897"/>
    <w:rsid w:val="00991937"/>
    <w:rsid w:val="00993EB4"/>
    <w:rsid w:val="00994E7F"/>
    <w:rsid w:val="009979D8"/>
    <w:rsid w:val="00997BCC"/>
    <w:rsid w:val="009A016C"/>
    <w:rsid w:val="009A114E"/>
    <w:rsid w:val="009A130E"/>
    <w:rsid w:val="009A296F"/>
    <w:rsid w:val="009A379C"/>
    <w:rsid w:val="009A4307"/>
    <w:rsid w:val="009A7102"/>
    <w:rsid w:val="009B132F"/>
    <w:rsid w:val="009B16FB"/>
    <w:rsid w:val="009B3BE4"/>
    <w:rsid w:val="009B4277"/>
    <w:rsid w:val="009B4604"/>
    <w:rsid w:val="009B5ECA"/>
    <w:rsid w:val="009B605B"/>
    <w:rsid w:val="009B65AE"/>
    <w:rsid w:val="009B6F41"/>
    <w:rsid w:val="009B6F8A"/>
    <w:rsid w:val="009B7CAC"/>
    <w:rsid w:val="009C153E"/>
    <w:rsid w:val="009C17FA"/>
    <w:rsid w:val="009C27BD"/>
    <w:rsid w:val="009C35E8"/>
    <w:rsid w:val="009C4062"/>
    <w:rsid w:val="009C4249"/>
    <w:rsid w:val="009C4504"/>
    <w:rsid w:val="009C47DE"/>
    <w:rsid w:val="009C7D87"/>
    <w:rsid w:val="009D0509"/>
    <w:rsid w:val="009D2F02"/>
    <w:rsid w:val="009D31A3"/>
    <w:rsid w:val="009D450E"/>
    <w:rsid w:val="009E086C"/>
    <w:rsid w:val="009E0FE7"/>
    <w:rsid w:val="009E197C"/>
    <w:rsid w:val="009E2129"/>
    <w:rsid w:val="009E334B"/>
    <w:rsid w:val="009E349C"/>
    <w:rsid w:val="009E436F"/>
    <w:rsid w:val="009E7826"/>
    <w:rsid w:val="009F0434"/>
    <w:rsid w:val="009F2B4E"/>
    <w:rsid w:val="009F3B7C"/>
    <w:rsid w:val="009F526C"/>
    <w:rsid w:val="009F5CF4"/>
    <w:rsid w:val="009F6183"/>
    <w:rsid w:val="009F70A9"/>
    <w:rsid w:val="009F7566"/>
    <w:rsid w:val="00A01D18"/>
    <w:rsid w:val="00A05BDF"/>
    <w:rsid w:val="00A05C59"/>
    <w:rsid w:val="00A06F6B"/>
    <w:rsid w:val="00A10F17"/>
    <w:rsid w:val="00A125E1"/>
    <w:rsid w:val="00A153C4"/>
    <w:rsid w:val="00A16710"/>
    <w:rsid w:val="00A176F3"/>
    <w:rsid w:val="00A17D07"/>
    <w:rsid w:val="00A20A54"/>
    <w:rsid w:val="00A24A64"/>
    <w:rsid w:val="00A271CC"/>
    <w:rsid w:val="00A278AD"/>
    <w:rsid w:val="00A27915"/>
    <w:rsid w:val="00A305CF"/>
    <w:rsid w:val="00A31896"/>
    <w:rsid w:val="00A32183"/>
    <w:rsid w:val="00A32536"/>
    <w:rsid w:val="00A34001"/>
    <w:rsid w:val="00A3623D"/>
    <w:rsid w:val="00A3637F"/>
    <w:rsid w:val="00A366C0"/>
    <w:rsid w:val="00A37E7B"/>
    <w:rsid w:val="00A4101E"/>
    <w:rsid w:val="00A4141F"/>
    <w:rsid w:val="00A432B2"/>
    <w:rsid w:val="00A43CED"/>
    <w:rsid w:val="00A460B6"/>
    <w:rsid w:val="00A46782"/>
    <w:rsid w:val="00A46CC4"/>
    <w:rsid w:val="00A47C90"/>
    <w:rsid w:val="00A5045F"/>
    <w:rsid w:val="00A51D50"/>
    <w:rsid w:val="00A5483D"/>
    <w:rsid w:val="00A5502B"/>
    <w:rsid w:val="00A5575F"/>
    <w:rsid w:val="00A60409"/>
    <w:rsid w:val="00A61930"/>
    <w:rsid w:val="00A6276B"/>
    <w:rsid w:val="00A627FA"/>
    <w:rsid w:val="00A62A5B"/>
    <w:rsid w:val="00A62CB0"/>
    <w:rsid w:val="00A63CCA"/>
    <w:rsid w:val="00A63FFA"/>
    <w:rsid w:val="00A64118"/>
    <w:rsid w:val="00A64526"/>
    <w:rsid w:val="00A646AA"/>
    <w:rsid w:val="00A656C0"/>
    <w:rsid w:val="00A65A2A"/>
    <w:rsid w:val="00A65D60"/>
    <w:rsid w:val="00A65DEE"/>
    <w:rsid w:val="00A67518"/>
    <w:rsid w:val="00A679FD"/>
    <w:rsid w:val="00A70012"/>
    <w:rsid w:val="00A702C9"/>
    <w:rsid w:val="00A72A38"/>
    <w:rsid w:val="00A72AFF"/>
    <w:rsid w:val="00A73B9C"/>
    <w:rsid w:val="00A7472D"/>
    <w:rsid w:val="00A7657A"/>
    <w:rsid w:val="00A772D4"/>
    <w:rsid w:val="00A80F52"/>
    <w:rsid w:val="00A810BC"/>
    <w:rsid w:val="00A8347B"/>
    <w:rsid w:val="00A90888"/>
    <w:rsid w:val="00A90F6B"/>
    <w:rsid w:val="00A9117F"/>
    <w:rsid w:val="00A93244"/>
    <w:rsid w:val="00A9399A"/>
    <w:rsid w:val="00A94EDF"/>
    <w:rsid w:val="00A9511A"/>
    <w:rsid w:val="00A95594"/>
    <w:rsid w:val="00A96EB2"/>
    <w:rsid w:val="00A973F6"/>
    <w:rsid w:val="00A97B35"/>
    <w:rsid w:val="00A97C7D"/>
    <w:rsid w:val="00AA1C6A"/>
    <w:rsid w:val="00AA42AD"/>
    <w:rsid w:val="00AA5485"/>
    <w:rsid w:val="00AA6820"/>
    <w:rsid w:val="00AB022C"/>
    <w:rsid w:val="00AB0EB9"/>
    <w:rsid w:val="00AB152E"/>
    <w:rsid w:val="00AB3554"/>
    <w:rsid w:val="00AB4C4E"/>
    <w:rsid w:val="00AB56C8"/>
    <w:rsid w:val="00AB6496"/>
    <w:rsid w:val="00AB692B"/>
    <w:rsid w:val="00AC1186"/>
    <w:rsid w:val="00AC13E4"/>
    <w:rsid w:val="00AC2EEB"/>
    <w:rsid w:val="00AC2FE2"/>
    <w:rsid w:val="00AC3978"/>
    <w:rsid w:val="00AC3E5A"/>
    <w:rsid w:val="00AC4EC7"/>
    <w:rsid w:val="00AC5F61"/>
    <w:rsid w:val="00AC798A"/>
    <w:rsid w:val="00AC7D3C"/>
    <w:rsid w:val="00AD3E72"/>
    <w:rsid w:val="00AD5BEE"/>
    <w:rsid w:val="00AD64A7"/>
    <w:rsid w:val="00AD73E3"/>
    <w:rsid w:val="00AD74A2"/>
    <w:rsid w:val="00AE0CC1"/>
    <w:rsid w:val="00AE1FBD"/>
    <w:rsid w:val="00AE2087"/>
    <w:rsid w:val="00AE34D9"/>
    <w:rsid w:val="00AE45C0"/>
    <w:rsid w:val="00AE5BA9"/>
    <w:rsid w:val="00AE5D87"/>
    <w:rsid w:val="00AE781C"/>
    <w:rsid w:val="00AF0080"/>
    <w:rsid w:val="00AF0169"/>
    <w:rsid w:val="00AF0C47"/>
    <w:rsid w:val="00AF1CB1"/>
    <w:rsid w:val="00AF4033"/>
    <w:rsid w:val="00AF5244"/>
    <w:rsid w:val="00AF5EEA"/>
    <w:rsid w:val="00AF6244"/>
    <w:rsid w:val="00AF6889"/>
    <w:rsid w:val="00B006D4"/>
    <w:rsid w:val="00B00705"/>
    <w:rsid w:val="00B02E43"/>
    <w:rsid w:val="00B034C3"/>
    <w:rsid w:val="00B03892"/>
    <w:rsid w:val="00B03B34"/>
    <w:rsid w:val="00B04171"/>
    <w:rsid w:val="00B06013"/>
    <w:rsid w:val="00B07108"/>
    <w:rsid w:val="00B109EC"/>
    <w:rsid w:val="00B10D2A"/>
    <w:rsid w:val="00B10F09"/>
    <w:rsid w:val="00B11E8E"/>
    <w:rsid w:val="00B134D2"/>
    <w:rsid w:val="00B13970"/>
    <w:rsid w:val="00B14DED"/>
    <w:rsid w:val="00B16734"/>
    <w:rsid w:val="00B16E55"/>
    <w:rsid w:val="00B17420"/>
    <w:rsid w:val="00B1784D"/>
    <w:rsid w:val="00B2051C"/>
    <w:rsid w:val="00B20894"/>
    <w:rsid w:val="00B2243A"/>
    <w:rsid w:val="00B22629"/>
    <w:rsid w:val="00B24367"/>
    <w:rsid w:val="00B24618"/>
    <w:rsid w:val="00B24A88"/>
    <w:rsid w:val="00B24BAE"/>
    <w:rsid w:val="00B260DA"/>
    <w:rsid w:val="00B2788B"/>
    <w:rsid w:val="00B30F97"/>
    <w:rsid w:val="00B324F6"/>
    <w:rsid w:val="00B32A48"/>
    <w:rsid w:val="00B332A1"/>
    <w:rsid w:val="00B34193"/>
    <w:rsid w:val="00B34EAA"/>
    <w:rsid w:val="00B35515"/>
    <w:rsid w:val="00B4013A"/>
    <w:rsid w:val="00B41502"/>
    <w:rsid w:val="00B416C1"/>
    <w:rsid w:val="00B418D5"/>
    <w:rsid w:val="00B41A29"/>
    <w:rsid w:val="00B41D5D"/>
    <w:rsid w:val="00B4285A"/>
    <w:rsid w:val="00B43889"/>
    <w:rsid w:val="00B44FFE"/>
    <w:rsid w:val="00B458CE"/>
    <w:rsid w:val="00B47DD2"/>
    <w:rsid w:val="00B50CCE"/>
    <w:rsid w:val="00B5212E"/>
    <w:rsid w:val="00B528C1"/>
    <w:rsid w:val="00B52ABD"/>
    <w:rsid w:val="00B53AD4"/>
    <w:rsid w:val="00B54A6D"/>
    <w:rsid w:val="00B552D4"/>
    <w:rsid w:val="00B55363"/>
    <w:rsid w:val="00B55B31"/>
    <w:rsid w:val="00B61161"/>
    <w:rsid w:val="00B63CD2"/>
    <w:rsid w:val="00B63F44"/>
    <w:rsid w:val="00B645E6"/>
    <w:rsid w:val="00B65052"/>
    <w:rsid w:val="00B656D3"/>
    <w:rsid w:val="00B6796D"/>
    <w:rsid w:val="00B67C97"/>
    <w:rsid w:val="00B67E12"/>
    <w:rsid w:val="00B70D22"/>
    <w:rsid w:val="00B718D5"/>
    <w:rsid w:val="00B73043"/>
    <w:rsid w:val="00B7312C"/>
    <w:rsid w:val="00B737CA"/>
    <w:rsid w:val="00B74513"/>
    <w:rsid w:val="00B747AE"/>
    <w:rsid w:val="00B75EE9"/>
    <w:rsid w:val="00B768D3"/>
    <w:rsid w:val="00B768F4"/>
    <w:rsid w:val="00B775B8"/>
    <w:rsid w:val="00B77BAA"/>
    <w:rsid w:val="00B77E07"/>
    <w:rsid w:val="00B82430"/>
    <w:rsid w:val="00B82570"/>
    <w:rsid w:val="00B83CE1"/>
    <w:rsid w:val="00B85279"/>
    <w:rsid w:val="00B86A78"/>
    <w:rsid w:val="00B87284"/>
    <w:rsid w:val="00B91047"/>
    <w:rsid w:val="00B91D95"/>
    <w:rsid w:val="00B93808"/>
    <w:rsid w:val="00B9725F"/>
    <w:rsid w:val="00B97AB3"/>
    <w:rsid w:val="00BA2314"/>
    <w:rsid w:val="00BA3BC4"/>
    <w:rsid w:val="00BA3C79"/>
    <w:rsid w:val="00BB0E8C"/>
    <w:rsid w:val="00BB19BF"/>
    <w:rsid w:val="00BB1BD6"/>
    <w:rsid w:val="00BB2720"/>
    <w:rsid w:val="00BB2B9A"/>
    <w:rsid w:val="00BB2FB3"/>
    <w:rsid w:val="00BB4C72"/>
    <w:rsid w:val="00BB6C12"/>
    <w:rsid w:val="00BC0B00"/>
    <w:rsid w:val="00BC161D"/>
    <w:rsid w:val="00BC1F40"/>
    <w:rsid w:val="00BC3FCF"/>
    <w:rsid w:val="00BC400A"/>
    <w:rsid w:val="00BC526A"/>
    <w:rsid w:val="00BC56CF"/>
    <w:rsid w:val="00BC6580"/>
    <w:rsid w:val="00BC7C2F"/>
    <w:rsid w:val="00BD0781"/>
    <w:rsid w:val="00BD1885"/>
    <w:rsid w:val="00BD2A8E"/>
    <w:rsid w:val="00BD4444"/>
    <w:rsid w:val="00BD655B"/>
    <w:rsid w:val="00BD6F64"/>
    <w:rsid w:val="00BD78CB"/>
    <w:rsid w:val="00BD7980"/>
    <w:rsid w:val="00BD7AD4"/>
    <w:rsid w:val="00BE24D7"/>
    <w:rsid w:val="00BE26F5"/>
    <w:rsid w:val="00BE4A8F"/>
    <w:rsid w:val="00BE4CB3"/>
    <w:rsid w:val="00BE4E0C"/>
    <w:rsid w:val="00BE54CF"/>
    <w:rsid w:val="00BE6A28"/>
    <w:rsid w:val="00BE7136"/>
    <w:rsid w:val="00BE7685"/>
    <w:rsid w:val="00BF09E7"/>
    <w:rsid w:val="00BF124F"/>
    <w:rsid w:val="00BF5CE0"/>
    <w:rsid w:val="00BF70E1"/>
    <w:rsid w:val="00C011A7"/>
    <w:rsid w:val="00C01747"/>
    <w:rsid w:val="00C0248E"/>
    <w:rsid w:val="00C0367F"/>
    <w:rsid w:val="00C04359"/>
    <w:rsid w:val="00C11208"/>
    <w:rsid w:val="00C11A42"/>
    <w:rsid w:val="00C11E1E"/>
    <w:rsid w:val="00C130B6"/>
    <w:rsid w:val="00C139E8"/>
    <w:rsid w:val="00C13ACA"/>
    <w:rsid w:val="00C1403F"/>
    <w:rsid w:val="00C1748F"/>
    <w:rsid w:val="00C17F40"/>
    <w:rsid w:val="00C214CF"/>
    <w:rsid w:val="00C22597"/>
    <w:rsid w:val="00C22AB5"/>
    <w:rsid w:val="00C23D90"/>
    <w:rsid w:val="00C25B57"/>
    <w:rsid w:val="00C26FAE"/>
    <w:rsid w:val="00C272E4"/>
    <w:rsid w:val="00C27616"/>
    <w:rsid w:val="00C276F7"/>
    <w:rsid w:val="00C303B6"/>
    <w:rsid w:val="00C31736"/>
    <w:rsid w:val="00C31E83"/>
    <w:rsid w:val="00C3537C"/>
    <w:rsid w:val="00C35DBF"/>
    <w:rsid w:val="00C40B9B"/>
    <w:rsid w:val="00C438F2"/>
    <w:rsid w:val="00C43BD0"/>
    <w:rsid w:val="00C4472B"/>
    <w:rsid w:val="00C44CA4"/>
    <w:rsid w:val="00C46AA3"/>
    <w:rsid w:val="00C47B11"/>
    <w:rsid w:val="00C5191B"/>
    <w:rsid w:val="00C52388"/>
    <w:rsid w:val="00C526D4"/>
    <w:rsid w:val="00C52CF9"/>
    <w:rsid w:val="00C603BC"/>
    <w:rsid w:val="00C6093D"/>
    <w:rsid w:val="00C60B09"/>
    <w:rsid w:val="00C60D58"/>
    <w:rsid w:val="00C63487"/>
    <w:rsid w:val="00C63F05"/>
    <w:rsid w:val="00C64C37"/>
    <w:rsid w:val="00C67044"/>
    <w:rsid w:val="00C700EA"/>
    <w:rsid w:val="00C70E3E"/>
    <w:rsid w:val="00C71EA8"/>
    <w:rsid w:val="00C72463"/>
    <w:rsid w:val="00C736DF"/>
    <w:rsid w:val="00C75B7E"/>
    <w:rsid w:val="00C76141"/>
    <w:rsid w:val="00C800E0"/>
    <w:rsid w:val="00C81976"/>
    <w:rsid w:val="00C819D9"/>
    <w:rsid w:val="00C81EFF"/>
    <w:rsid w:val="00C8224E"/>
    <w:rsid w:val="00C8234F"/>
    <w:rsid w:val="00C8420C"/>
    <w:rsid w:val="00C8528F"/>
    <w:rsid w:val="00C8565A"/>
    <w:rsid w:val="00C85F0A"/>
    <w:rsid w:val="00C87A97"/>
    <w:rsid w:val="00C92DFA"/>
    <w:rsid w:val="00C9330D"/>
    <w:rsid w:val="00C93DBC"/>
    <w:rsid w:val="00C963A7"/>
    <w:rsid w:val="00C979F0"/>
    <w:rsid w:val="00CA0B0F"/>
    <w:rsid w:val="00CA0EB4"/>
    <w:rsid w:val="00CA1F41"/>
    <w:rsid w:val="00CA26BC"/>
    <w:rsid w:val="00CA288C"/>
    <w:rsid w:val="00CA3185"/>
    <w:rsid w:val="00CA31F1"/>
    <w:rsid w:val="00CA3269"/>
    <w:rsid w:val="00CA3B29"/>
    <w:rsid w:val="00CA3BDF"/>
    <w:rsid w:val="00CA49C2"/>
    <w:rsid w:val="00CA4A61"/>
    <w:rsid w:val="00CA6006"/>
    <w:rsid w:val="00CB06A0"/>
    <w:rsid w:val="00CB0AA1"/>
    <w:rsid w:val="00CB0B98"/>
    <w:rsid w:val="00CB13F3"/>
    <w:rsid w:val="00CB1E73"/>
    <w:rsid w:val="00CB2DF7"/>
    <w:rsid w:val="00CB37F3"/>
    <w:rsid w:val="00CB43D0"/>
    <w:rsid w:val="00CB4850"/>
    <w:rsid w:val="00CB491B"/>
    <w:rsid w:val="00CB68DA"/>
    <w:rsid w:val="00CB6976"/>
    <w:rsid w:val="00CC00B0"/>
    <w:rsid w:val="00CC0B8C"/>
    <w:rsid w:val="00CC0FD2"/>
    <w:rsid w:val="00CC105B"/>
    <w:rsid w:val="00CD0406"/>
    <w:rsid w:val="00CD10B2"/>
    <w:rsid w:val="00CD29D6"/>
    <w:rsid w:val="00CD7B82"/>
    <w:rsid w:val="00CE2DC2"/>
    <w:rsid w:val="00CE39CD"/>
    <w:rsid w:val="00CE5431"/>
    <w:rsid w:val="00CE6FF4"/>
    <w:rsid w:val="00CF012A"/>
    <w:rsid w:val="00CF2720"/>
    <w:rsid w:val="00CF2927"/>
    <w:rsid w:val="00CF385D"/>
    <w:rsid w:val="00CF3EAB"/>
    <w:rsid w:val="00CF4C1E"/>
    <w:rsid w:val="00CF5AEB"/>
    <w:rsid w:val="00CF6313"/>
    <w:rsid w:val="00CF72B7"/>
    <w:rsid w:val="00CF78DF"/>
    <w:rsid w:val="00D01183"/>
    <w:rsid w:val="00D02DD8"/>
    <w:rsid w:val="00D03A64"/>
    <w:rsid w:val="00D111DC"/>
    <w:rsid w:val="00D11C54"/>
    <w:rsid w:val="00D142AF"/>
    <w:rsid w:val="00D162EE"/>
    <w:rsid w:val="00D21071"/>
    <w:rsid w:val="00D22DA3"/>
    <w:rsid w:val="00D22F6B"/>
    <w:rsid w:val="00D2456B"/>
    <w:rsid w:val="00D2471D"/>
    <w:rsid w:val="00D25667"/>
    <w:rsid w:val="00D274C6"/>
    <w:rsid w:val="00D27A05"/>
    <w:rsid w:val="00D30138"/>
    <w:rsid w:val="00D31CE6"/>
    <w:rsid w:val="00D31CFD"/>
    <w:rsid w:val="00D3295C"/>
    <w:rsid w:val="00D332A9"/>
    <w:rsid w:val="00D33DB4"/>
    <w:rsid w:val="00D34183"/>
    <w:rsid w:val="00D36CE9"/>
    <w:rsid w:val="00D36FFA"/>
    <w:rsid w:val="00D37983"/>
    <w:rsid w:val="00D379DB"/>
    <w:rsid w:val="00D42412"/>
    <w:rsid w:val="00D42FD6"/>
    <w:rsid w:val="00D43D68"/>
    <w:rsid w:val="00D43F2D"/>
    <w:rsid w:val="00D445EA"/>
    <w:rsid w:val="00D45C15"/>
    <w:rsid w:val="00D47173"/>
    <w:rsid w:val="00D50ED9"/>
    <w:rsid w:val="00D533EB"/>
    <w:rsid w:val="00D55976"/>
    <w:rsid w:val="00D630B3"/>
    <w:rsid w:val="00D63472"/>
    <w:rsid w:val="00D63773"/>
    <w:rsid w:val="00D63DCF"/>
    <w:rsid w:val="00D64367"/>
    <w:rsid w:val="00D64409"/>
    <w:rsid w:val="00D645AF"/>
    <w:rsid w:val="00D654C0"/>
    <w:rsid w:val="00D658EF"/>
    <w:rsid w:val="00D65E1A"/>
    <w:rsid w:val="00D66B80"/>
    <w:rsid w:val="00D66F1E"/>
    <w:rsid w:val="00D67B1C"/>
    <w:rsid w:val="00D7152D"/>
    <w:rsid w:val="00D72342"/>
    <w:rsid w:val="00D72864"/>
    <w:rsid w:val="00D730DA"/>
    <w:rsid w:val="00D73BE1"/>
    <w:rsid w:val="00D74F7C"/>
    <w:rsid w:val="00D762F9"/>
    <w:rsid w:val="00D7789C"/>
    <w:rsid w:val="00D80DDC"/>
    <w:rsid w:val="00D81110"/>
    <w:rsid w:val="00D84B26"/>
    <w:rsid w:val="00D85303"/>
    <w:rsid w:val="00D87D32"/>
    <w:rsid w:val="00D92269"/>
    <w:rsid w:val="00D924D5"/>
    <w:rsid w:val="00D92B96"/>
    <w:rsid w:val="00D93B07"/>
    <w:rsid w:val="00D95CD1"/>
    <w:rsid w:val="00D96022"/>
    <w:rsid w:val="00D962F9"/>
    <w:rsid w:val="00D96823"/>
    <w:rsid w:val="00D9796F"/>
    <w:rsid w:val="00DA13AC"/>
    <w:rsid w:val="00DA278E"/>
    <w:rsid w:val="00DA39FC"/>
    <w:rsid w:val="00DA4F54"/>
    <w:rsid w:val="00DA5B34"/>
    <w:rsid w:val="00DA6FB1"/>
    <w:rsid w:val="00DB271C"/>
    <w:rsid w:val="00DB303F"/>
    <w:rsid w:val="00DB3B9C"/>
    <w:rsid w:val="00DB75F7"/>
    <w:rsid w:val="00DB7CDB"/>
    <w:rsid w:val="00DB7F62"/>
    <w:rsid w:val="00DC0A49"/>
    <w:rsid w:val="00DC1D59"/>
    <w:rsid w:val="00DC252A"/>
    <w:rsid w:val="00DC2E11"/>
    <w:rsid w:val="00DC4730"/>
    <w:rsid w:val="00DC5D4F"/>
    <w:rsid w:val="00DC607E"/>
    <w:rsid w:val="00DC6D70"/>
    <w:rsid w:val="00DC708C"/>
    <w:rsid w:val="00DC75C4"/>
    <w:rsid w:val="00DC7E67"/>
    <w:rsid w:val="00DD00E0"/>
    <w:rsid w:val="00DD18C9"/>
    <w:rsid w:val="00DD1B67"/>
    <w:rsid w:val="00DD4969"/>
    <w:rsid w:val="00DD50E7"/>
    <w:rsid w:val="00DD687F"/>
    <w:rsid w:val="00DD6B34"/>
    <w:rsid w:val="00DD6EE3"/>
    <w:rsid w:val="00DE08AB"/>
    <w:rsid w:val="00DE2A95"/>
    <w:rsid w:val="00DE425A"/>
    <w:rsid w:val="00DE520B"/>
    <w:rsid w:val="00DE5436"/>
    <w:rsid w:val="00DE57F0"/>
    <w:rsid w:val="00DE6532"/>
    <w:rsid w:val="00DE6590"/>
    <w:rsid w:val="00DF05B8"/>
    <w:rsid w:val="00DF0B0C"/>
    <w:rsid w:val="00DF2C6E"/>
    <w:rsid w:val="00DF37E2"/>
    <w:rsid w:val="00DF3C32"/>
    <w:rsid w:val="00DF42DF"/>
    <w:rsid w:val="00DF47AD"/>
    <w:rsid w:val="00DF4931"/>
    <w:rsid w:val="00DF5835"/>
    <w:rsid w:val="00DF6454"/>
    <w:rsid w:val="00DF6EE9"/>
    <w:rsid w:val="00E01480"/>
    <w:rsid w:val="00E015C5"/>
    <w:rsid w:val="00E03671"/>
    <w:rsid w:val="00E050E4"/>
    <w:rsid w:val="00E05A8B"/>
    <w:rsid w:val="00E06ECE"/>
    <w:rsid w:val="00E12C73"/>
    <w:rsid w:val="00E136D6"/>
    <w:rsid w:val="00E14AD0"/>
    <w:rsid w:val="00E1581B"/>
    <w:rsid w:val="00E17BB3"/>
    <w:rsid w:val="00E20588"/>
    <w:rsid w:val="00E20D72"/>
    <w:rsid w:val="00E21546"/>
    <w:rsid w:val="00E22867"/>
    <w:rsid w:val="00E22CE9"/>
    <w:rsid w:val="00E243FB"/>
    <w:rsid w:val="00E24C9A"/>
    <w:rsid w:val="00E254FE"/>
    <w:rsid w:val="00E25B0F"/>
    <w:rsid w:val="00E26A32"/>
    <w:rsid w:val="00E2768D"/>
    <w:rsid w:val="00E27B23"/>
    <w:rsid w:val="00E3070A"/>
    <w:rsid w:val="00E31335"/>
    <w:rsid w:val="00E32C8A"/>
    <w:rsid w:val="00E354D5"/>
    <w:rsid w:val="00E36F75"/>
    <w:rsid w:val="00E40BEC"/>
    <w:rsid w:val="00E419CE"/>
    <w:rsid w:val="00E426AD"/>
    <w:rsid w:val="00E42CA0"/>
    <w:rsid w:val="00E44096"/>
    <w:rsid w:val="00E4537E"/>
    <w:rsid w:val="00E45553"/>
    <w:rsid w:val="00E46EC7"/>
    <w:rsid w:val="00E50470"/>
    <w:rsid w:val="00E517DA"/>
    <w:rsid w:val="00E521F7"/>
    <w:rsid w:val="00E53F63"/>
    <w:rsid w:val="00E5431B"/>
    <w:rsid w:val="00E543D1"/>
    <w:rsid w:val="00E54ECA"/>
    <w:rsid w:val="00E550C7"/>
    <w:rsid w:val="00E55769"/>
    <w:rsid w:val="00E56BE3"/>
    <w:rsid w:val="00E61FF6"/>
    <w:rsid w:val="00E6231E"/>
    <w:rsid w:val="00E641E3"/>
    <w:rsid w:val="00E64555"/>
    <w:rsid w:val="00E6486F"/>
    <w:rsid w:val="00E64FC1"/>
    <w:rsid w:val="00E654A5"/>
    <w:rsid w:val="00E657EC"/>
    <w:rsid w:val="00E67182"/>
    <w:rsid w:val="00E71702"/>
    <w:rsid w:val="00E75195"/>
    <w:rsid w:val="00E752C7"/>
    <w:rsid w:val="00E75655"/>
    <w:rsid w:val="00E76117"/>
    <w:rsid w:val="00E77981"/>
    <w:rsid w:val="00E80DFD"/>
    <w:rsid w:val="00E819F6"/>
    <w:rsid w:val="00E81B5C"/>
    <w:rsid w:val="00E81CBA"/>
    <w:rsid w:val="00E82C9C"/>
    <w:rsid w:val="00E83D77"/>
    <w:rsid w:val="00E84FF2"/>
    <w:rsid w:val="00E8508D"/>
    <w:rsid w:val="00E8586E"/>
    <w:rsid w:val="00E85BB1"/>
    <w:rsid w:val="00E86395"/>
    <w:rsid w:val="00E867E6"/>
    <w:rsid w:val="00E86E5B"/>
    <w:rsid w:val="00E86E7B"/>
    <w:rsid w:val="00E87BCD"/>
    <w:rsid w:val="00E90C33"/>
    <w:rsid w:val="00E910C0"/>
    <w:rsid w:val="00E91132"/>
    <w:rsid w:val="00E91B28"/>
    <w:rsid w:val="00E91DF1"/>
    <w:rsid w:val="00E92CC0"/>
    <w:rsid w:val="00E94626"/>
    <w:rsid w:val="00E95B0C"/>
    <w:rsid w:val="00E9612F"/>
    <w:rsid w:val="00E96758"/>
    <w:rsid w:val="00EA0CE0"/>
    <w:rsid w:val="00EA23E7"/>
    <w:rsid w:val="00EA3C15"/>
    <w:rsid w:val="00EA4975"/>
    <w:rsid w:val="00EA5C1B"/>
    <w:rsid w:val="00EA799B"/>
    <w:rsid w:val="00EA7F47"/>
    <w:rsid w:val="00EB1DAC"/>
    <w:rsid w:val="00EB2A0E"/>
    <w:rsid w:val="00EB350E"/>
    <w:rsid w:val="00EB366E"/>
    <w:rsid w:val="00EB39D2"/>
    <w:rsid w:val="00EB76AA"/>
    <w:rsid w:val="00EC0128"/>
    <w:rsid w:val="00EC2B95"/>
    <w:rsid w:val="00EC36FC"/>
    <w:rsid w:val="00EC4251"/>
    <w:rsid w:val="00ED0790"/>
    <w:rsid w:val="00ED0B43"/>
    <w:rsid w:val="00ED1BB2"/>
    <w:rsid w:val="00ED2B06"/>
    <w:rsid w:val="00ED4583"/>
    <w:rsid w:val="00ED5F93"/>
    <w:rsid w:val="00EE0528"/>
    <w:rsid w:val="00EE1374"/>
    <w:rsid w:val="00EE1D4A"/>
    <w:rsid w:val="00EE4DC7"/>
    <w:rsid w:val="00EE4EAA"/>
    <w:rsid w:val="00EE5997"/>
    <w:rsid w:val="00EF0FF4"/>
    <w:rsid w:val="00EF22F1"/>
    <w:rsid w:val="00EF370F"/>
    <w:rsid w:val="00EF4C2F"/>
    <w:rsid w:val="00EF59BE"/>
    <w:rsid w:val="00F03385"/>
    <w:rsid w:val="00F066DB"/>
    <w:rsid w:val="00F06CE3"/>
    <w:rsid w:val="00F07329"/>
    <w:rsid w:val="00F112B2"/>
    <w:rsid w:val="00F113FF"/>
    <w:rsid w:val="00F116EE"/>
    <w:rsid w:val="00F12651"/>
    <w:rsid w:val="00F1536C"/>
    <w:rsid w:val="00F16A27"/>
    <w:rsid w:val="00F172B7"/>
    <w:rsid w:val="00F20C56"/>
    <w:rsid w:val="00F2306F"/>
    <w:rsid w:val="00F23511"/>
    <w:rsid w:val="00F26064"/>
    <w:rsid w:val="00F2613C"/>
    <w:rsid w:val="00F3148F"/>
    <w:rsid w:val="00F327C8"/>
    <w:rsid w:val="00F34D06"/>
    <w:rsid w:val="00F34E50"/>
    <w:rsid w:val="00F34EF7"/>
    <w:rsid w:val="00F37586"/>
    <w:rsid w:val="00F41102"/>
    <w:rsid w:val="00F436A8"/>
    <w:rsid w:val="00F439DB"/>
    <w:rsid w:val="00F4426A"/>
    <w:rsid w:val="00F44B0F"/>
    <w:rsid w:val="00F47BC9"/>
    <w:rsid w:val="00F50687"/>
    <w:rsid w:val="00F51AE4"/>
    <w:rsid w:val="00F559C3"/>
    <w:rsid w:val="00F5777B"/>
    <w:rsid w:val="00F60258"/>
    <w:rsid w:val="00F61EF2"/>
    <w:rsid w:val="00F62B42"/>
    <w:rsid w:val="00F65198"/>
    <w:rsid w:val="00F651C9"/>
    <w:rsid w:val="00F656FC"/>
    <w:rsid w:val="00F662B3"/>
    <w:rsid w:val="00F673EE"/>
    <w:rsid w:val="00F71CC4"/>
    <w:rsid w:val="00F74F35"/>
    <w:rsid w:val="00F7526D"/>
    <w:rsid w:val="00F75537"/>
    <w:rsid w:val="00F768B5"/>
    <w:rsid w:val="00F77667"/>
    <w:rsid w:val="00F77F01"/>
    <w:rsid w:val="00F80431"/>
    <w:rsid w:val="00F81A8F"/>
    <w:rsid w:val="00F836C4"/>
    <w:rsid w:val="00F875F2"/>
    <w:rsid w:val="00F87701"/>
    <w:rsid w:val="00F87F9A"/>
    <w:rsid w:val="00F905F4"/>
    <w:rsid w:val="00F93A80"/>
    <w:rsid w:val="00F9415F"/>
    <w:rsid w:val="00F94B61"/>
    <w:rsid w:val="00F95D99"/>
    <w:rsid w:val="00F97623"/>
    <w:rsid w:val="00FA04EF"/>
    <w:rsid w:val="00FA100D"/>
    <w:rsid w:val="00FA1349"/>
    <w:rsid w:val="00FA3701"/>
    <w:rsid w:val="00FA4E2F"/>
    <w:rsid w:val="00FA4FF9"/>
    <w:rsid w:val="00FA5683"/>
    <w:rsid w:val="00FA613C"/>
    <w:rsid w:val="00FA65F4"/>
    <w:rsid w:val="00FA6971"/>
    <w:rsid w:val="00FB11AD"/>
    <w:rsid w:val="00FB1995"/>
    <w:rsid w:val="00FB200A"/>
    <w:rsid w:val="00FB2012"/>
    <w:rsid w:val="00FB263E"/>
    <w:rsid w:val="00FB3699"/>
    <w:rsid w:val="00FB5794"/>
    <w:rsid w:val="00FB669A"/>
    <w:rsid w:val="00FB6AE0"/>
    <w:rsid w:val="00FB7AE8"/>
    <w:rsid w:val="00FB7FE3"/>
    <w:rsid w:val="00FC1D45"/>
    <w:rsid w:val="00FC1D7F"/>
    <w:rsid w:val="00FC2491"/>
    <w:rsid w:val="00FC385D"/>
    <w:rsid w:val="00FC3D4D"/>
    <w:rsid w:val="00FC46DC"/>
    <w:rsid w:val="00FC4724"/>
    <w:rsid w:val="00FC558B"/>
    <w:rsid w:val="00FC627F"/>
    <w:rsid w:val="00FC6683"/>
    <w:rsid w:val="00FC6C2C"/>
    <w:rsid w:val="00FC7AF8"/>
    <w:rsid w:val="00FD1CAB"/>
    <w:rsid w:val="00FD1FF6"/>
    <w:rsid w:val="00FD3D2C"/>
    <w:rsid w:val="00FD401E"/>
    <w:rsid w:val="00FD43BA"/>
    <w:rsid w:val="00FD4491"/>
    <w:rsid w:val="00FD5035"/>
    <w:rsid w:val="00FD7044"/>
    <w:rsid w:val="00FD739C"/>
    <w:rsid w:val="00FE0806"/>
    <w:rsid w:val="00FE106A"/>
    <w:rsid w:val="00FE3DD9"/>
    <w:rsid w:val="00FE56DE"/>
    <w:rsid w:val="00FE6DA3"/>
    <w:rsid w:val="00FE6F4A"/>
    <w:rsid w:val="00FF09FB"/>
    <w:rsid w:val="00FF43B5"/>
    <w:rsid w:val="00FF45CA"/>
    <w:rsid w:val="00FF53A6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10"/>
  </w:style>
  <w:style w:type="paragraph" w:styleId="Heading1">
    <w:name w:val="heading 1"/>
    <w:basedOn w:val="Normal"/>
    <w:next w:val="Normal"/>
    <w:link w:val="Heading1Char"/>
    <w:uiPriority w:val="9"/>
    <w:qFormat/>
    <w:rsid w:val="000147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7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030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A5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AB5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AB5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AB5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AB5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AB5"/>
    <w:pPr>
      <w:spacing w:before="240" w:after="60"/>
      <w:outlineLvl w:val="8"/>
    </w:pPr>
    <w:rPr>
      <w:rFonts w:eastAsiaTheme="majorEastAs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5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526A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C526A"/>
    <w:pPr>
      <w:spacing w:after="160" w:line="259" w:lineRule="auto"/>
      <w:ind w:left="720"/>
      <w:contextualSpacing/>
    </w:pPr>
    <w:rPr>
      <w:rFonts w:asciiTheme="minorHAnsi" w:hAnsi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42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2AD"/>
  </w:style>
  <w:style w:type="paragraph" w:styleId="Footer">
    <w:name w:val="footer"/>
    <w:basedOn w:val="Normal"/>
    <w:link w:val="FooterChar"/>
    <w:uiPriority w:val="99"/>
    <w:unhideWhenUsed/>
    <w:rsid w:val="00AA42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2AD"/>
  </w:style>
  <w:style w:type="character" w:customStyle="1" w:styleId="Heading1Char">
    <w:name w:val="Heading 1 Char"/>
    <w:basedOn w:val="DefaultParagraphFont"/>
    <w:link w:val="Heading1"/>
    <w:uiPriority w:val="9"/>
    <w:rsid w:val="00014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7E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D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4030"/>
    <w:rPr>
      <w:rFonts w:eastAsiaTheme="majorEastAsia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basedOn w:val="Normal"/>
    <w:rsid w:val="005175A0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ListParagraphChar">
    <w:name w:val="List Paragraph Char"/>
    <w:link w:val="ListParagraph"/>
    <w:rsid w:val="005175A0"/>
    <w:rPr>
      <w:rFonts w:asciiTheme="minorHAnsi" w:hAnsi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D3D85"/>
    <w:rPr>
      <w:color w:val="0000FF"/>
      <w:u w:val="single"/>
    </w:rPr>
  </w:style>
  <w:style w:type="paragraph" w:styleId="NoSpacing">
    <w:name w:val="No Spacing"/>
    <w:uiPriority w:val="1"/>
    <w:qFormat/>
    <w:rsid w:val="007D0147"/>
    <w:rPr>
      <w:rFonts w:asciiTheme="minorHAnsi" w:hAnsiTheme="minorHAnsi"/>
      <w:lang w:val="en-US" w:eastAsia="en-US"/>
    </w:rPr>
  </w:style>
  <w:style w:type="paragraph" w:customStyle="1" w:styleId="NoSpacing1">
    <w:name w:val="No Spacing1"/>
    <w:qFormat/>
    <w:rsid w:val="0020454F"/>
    <w:rPr>
      <w:rFonts w:ascii="Times New Roman" w:eastAsia="Calibri" w:hAnsi="Times New Roman" w:cs="Times New Roman"/>
      <w:sz w:val="24"/>
      <w:lang w:val="en-US" w:eastAsia="en-US"/>
    </w:rPr>
  </w:style>
  <w:style w:type="paragraph" w:customStyle="1" w:styleId="MediumGrid21">
    <w:name w:val="Medium Grid 21"/>
    <w:qFormat/>
    <w:rsid w:val="006B7738"/>
    <w:rPr>
      <w:rFonts w:ascii="Times New Roman" w:eastAsia="Calibri" w:hAnsi="Times New Roman" w:cs="Times New Roman"/>
      <w:sz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4A7BFE"/>
  </w:style>
  <w:style w:type="paragraph" w:styleId="BodyText">
    <w:name w:val="Body Text"/>
    <w:basedOn w:val="Normal"/>
    <w:link w:val="BodyTextChar"/>
    <w:rsid w:val="004A7BFE"/>
    <w:pPr>
      <w:spacing w:after="2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A7BF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73B48"/>
  </w:style>
  <w:style w:type="paragraph" w:customStyle="1" w:styleId="Normal2">
    <w:name w:val="Normal2"/>
    <w:basedOn w:val="Normal"/>
    <w:rsid w:val="00810D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A5C"/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podnaslovpropisa">
    <w:name w:val="podnaslovpropisa"/>
    <w:basedOn w:val="Normal"/>
    <w:rsid w:val="00155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54AB"/>
  </w:style>
  <w:style w:type="character" w:customStyle="1" w:styleId="Heading5Char">
    <w:name w:val="Heading 5 Char"/>
    <w:basedOn w:val="DefaultParagraphFont"/>
    <w:link w:val="Heading5"/>
    <w:uiPriority w:val="9"/>
    <w:semiHidden/>
    <w:rsid w:val="000B1AB5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AB5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AB5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AB5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AB5"/>
    <w:rPr>
      <w:rFonts w:eastAsiaTheme="majorEastAsia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B1AB5"/>
    <w:pPr>
      <w:spacing w:before="240" w:after="60"/>
      <w:jc w:val="center"/>
      <w:outlineLvl w:val="0"/>
    </w:pPr>
    <w:rPr>
      <w:rFonts w:eastAsiaTheme="majorEastAsia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B1AB5"/>
    <w:rPr>
      <w:rFonts w:eastAsiaTheme="majorEastAs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AB5"/>
    <w:pPr>
      <w:spacing w:after="60"/>
      <w:jc w:val="center"/>
      <w:outlineLvl w:val="1"/>
    </w:pPr>
    <w:rPr>
      <w:rFonts w:eastAsiaTheme="majorEastAsia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B1AB5"/>
    <w:rPr>
      <w:rFonts w:eastAsiaTheme="majorEastAsia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B1AB5"/>
    <w:rPr>
      <w:b/>
      <w:bCs/>
    </w:rPr>
  </w:style>
  <w:style w:type="character" w:styleId="Emphasis">
    <w:name w:val="Emphasis"/>
    <w:basedOn w:val="DefaultParagraphFont"/>
    <w:uiPriority w:val="20"/>
    <w:qFormat/>
    <w:rsid w:val="000B1AB5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B1AB5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B1AB5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AB5"/>
    <w:pPr>
      <w:ind w:left="720" w:right="720"/>
    </w:pPr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AB5"/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styleId="SubtleEmphasis">
    <w:name w:val="Subtle Emphasis"/>
    <w:uiPriority w:val="19"/>
    <w:qFormat/>
    <w:rsid w:val="000B1A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1A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1A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1A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1A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1AB5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A95594"/>
  </w:style>
  <w:style w:type="character" w:styleId="FollowedHyperlink">
    <w:name w:val="FollowedHyperlink"/>
    <w:uiPriority w:val="99"/>
    <w:semiHidden/>
    <w:unhideWhenUsed/>
    <w:rsid w:val="00A95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C502-4757-437B-BFA4-3AD4A5CCC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7EF3D-0B8A-41E4-BC13-5A857914B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E94342-FB98-4A24-9285-D7F7208B7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F23BB-E88D-4132-ADF9-A4CCABEB95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2CC208-F9D7-4A04-81A0-EAB04DAC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21197</Words>
  <Characters>120829</Characters>
  <Application>Microsoft Office Word</Application>
  <DocSecurity>0</DocSecurity>
  <Lines>1006</Lines>
  <Paragraphs>283</Paragraphs>
  <ScaleCrop>false</ScaleCrop>
  <Company/>
  <LinksUpToDate>false</LinksUpToDate>
  <CharactersWithSpaces>141743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2015-12-25T13:25:00Z</dcterms:created>
  <dcterms:modified xsi:type="dcterms:W3CDTF">2015-12-25T13:26:00Z</dcterms:modified>
</cp:coreProperties>
</file>