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E" w:rsidRPr="00644430" w:rsidRDefault="00E33B6E" w:rsidP="00E33B6E">
      <w:pPr>
        <w:pStyle w:val="NormalWeb"/>
        <w:spacing w:before="0" w:beforeAutospacing="0" w:after="0" w:afterAutospacing="0"/>
        <w:ind w:firstLine="708"/>
        <w:jc w:val="right"/>
        <w:rPr>
          <w:noProof/>
          <w:lang w:val="sr-Latn-CS"/>
        </w:rPr>
      </w:pPr>
    </w:p>
    <w:p w:rsidR="00E33B6E" w:rsidRPr="00644430" w:rsidRDefault="00E33B6E" w:rsidP="00E33B6E">
      <w:pPr>
        <w:pStyle w:val="NormalWeb"/>
        <w:spacing w:before="0" w:beforeAutospacing="0" w:after="0" w:afterAutospacing="0"/>
        <w:ind w:firstLine="708"/>
        <w:jc w:val="right"/>
        <w:rPr>
          <w:noProof/>
          <w:lang w:val="sr-Latn-CS"/>
        </w:rPr>
      </w:pPr>
    </w:p>
    <w:p w:rsidR="00E33B6E" w:rsidRPr="00644430" w:rsidRDefault="00E33B6E" w:rsidP="00E33B6E">
      <w:pPr>
        <w:pStyle w:val="NormalWeb"/>
        <w:spacing w:before="0" w:beforeAutospacing="0" w:after="0" w:afterAutospacing="0"/>
        <w:ind w:firstLine="708"/>
        <w:jc w:val="right"/>
        <w:rPr>
          <w:noProof/>
          <w:lang w:val="sr-Latn-CS"/>
        </w:rPr>
      </w:pPr>
    </w:p>
    <w:p w:rsidR="00E33B6E" w:rsidRPr="00644430" w:rsidRDefault="00E33B6E" w:rsidP="00E33B6E">
      <w:pPr>
        <w:pStyle w:val="NormalWeb"/>
        <w:spacing w:before="0" w:beforeAutospacing="0" w:after="0" w:afterAutospacing="0"/>
        <w:ind w:firstLine="708"/>
        <w:jc w:val="right"/>
        <w:rPr>
          <w:noProof/>
          <w:lang w:val="sr-Latn-CS"/>
        </w:rPr>
      </w:pPr>
    </w:p>
    <w:p w:rsidR="00E33B6E" w:rsidRPr="00644430" w:rsidRDefault="00E33B6E" w:rsidP="00E33B6E">
      <w:pPr>
        <w:pStyle w:val="NormalWeb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E33B6E" w:rsidRPr="00644430" w:rsidRDefault="00644430" w:rsidP="00E33B6E">
      <w:pPr>
        <w:pStyle w:val="NormalWeb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33B6E" w:rsidRPr="00644430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E33B6E" w:rsidRPr="00644430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E33B6E" w:rsidRPr="0064443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33B6E" w:rsidRPr="0064443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E33B6E" w:rsidRPr="00644430">
        <w:rPr>
          <w:noProof/>
          <w:lang w:val="sr-Latn-CS"/>
        </w:rPr>
        <w:t xml:space="preserve">. 55/05, 71/05 - </w:t>
      </w:r>
      <w:r>
        <w:rPr>
          <w:noProof/>
          <w:lang w:val="sr-Latn-CS"/>
        </w:rPr>
        <w:t>ispravka</w:t>
      </w:r>
      <w:r w:rsidR="00E33B6E" w:rsidRPr="00644430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E33B6E" w:rsidRPr="00644430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3B6E" w:rsidRPr="00644430">
        <w:rPr>
          <w:noProof/>
          <w:lang w:val="sr-Latn-CS"/>
        </w:rPr>
        <w:t xml:space="preserve"> 44/14), </w:t>
      </w:r>
      <w:r>
        <w:rPr>
          <w:noProof/>
          <w:lang w:val="sr-Latn-CS"/>
        </w:rPr>
        <w:t>na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E33B6E" w:rsidRPr="00644430">
        <w:rPr>
          <w:noProof/>
          <w:lang w:val="sr-Latn-CS"/>
        </w:rPr>
        <w:t xml:space="preserve">, </w:t>
      </w:r>
      <w:r>
        <w:rPr>
          <w:noProof/>
          <w:lang w:val="sr-Latn-CS"/>
        </w:rPr>
        <w:t>turizma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E33B6E" w:rsidRPr="00644430">
        <w:rPr>
          <w:noProof/>
          <w:lang w:val="sr-Latn-CS"/>
        </w:rPr>
        <w:t xml:space="preserve">, </w:t>
      </w:r>
    </w:p>
    <w:p w:rsidR="00E33B6E" w:rsidRPr="00644430" w:rsidRDefault="00E33B6E" w:rsidP="00E33B6E">
      <w:pPr>
        <w:pStyle w:val="NormalWeb"/>
        <w:spacing w:before="0" w:beforeAutospacing="0" w:after="0" w:afterAutospacing="0"/>
        <w:rPr>
          <w:noProof/>
          <w:lang w:val="sr-Latn-CS"/>
        </w:rPr>
      </w:pPr>
      <w:r w:rsidRPr="00644430">
        <w:rPr>
          <w:noProof/>
          <w:lang w:val="sr-Latn-CS"/>
        </w:rPr>
        <w:tab/>
      </w:r>
    </w:p>
    <w:p w:rsidR="00E33B6E" w:rsidRPr="00644430" w:rsidRDefault="00644430" w:rsidP="00E33B6E">
      <w:pPr>
        <w:pStyle w:val="NormalWeb"/>
        <w:spacing w:before="0" w:beforeAutospacing="0" w:after="0" w:afterAutospacing="0"/>
        <w:ind w:firstLine="708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E33B6E" w:rsidRPr="00644430" w:rsidRDefault="00E33B6E" w:rsidP="00E33B6E">
      <w:pPr>
        <w:pStyle w:val="izmenanaslov"/>
        <w:spacing w:before="0" w:beforeAutospacing="0" w:after="0" w:afterAutospacing="0"/>
        <w:rPr>
          <w:b w:val="0"/>
          <w:noProof/>
        </w:rPr>
      </w:pPr>
    </w:p>
    <w:p w:rsidR="00E33B6E" w:rsidRPr="00644430" w:rsidRDefault="00E33B6E" w:rsidP="00E33B6E">
      <w:pPr>
        <w:pStyle w:val="izmenanaslov"/>
        <w:spacing w:before="0" w:beforeAutospacing="0" w:after="0" w:afterAutospacing="0"/>
        <w:rPr>
          <w:b w:val="0"/>
          <w:noProof/>
        </w:rPr>
      </w:pPr>
    </w:p>
    <w:p w:rsidR="00E33B6E" w:rsidRPr="00644430" w:rsidRDefault="00644430" w:rsidP="00E33B6E">
      <w:pPr>
        <w:pStyle w:val="izmenanaslov"/>
        <w:spacing w:before="0" w:beforeAutospacing="0" w:after="0" w:afterAutospacing="0"/>
        <w:rPr>
          <w:b w:val="0"/>
          <w:noProof/>
        </w:rPr>
      </w:pPr>
      <w:r>
        <w:rPr>
          <w:b w:val="0"/>
          <w:noProof/>
        </w:rPr>
        <w:t>Z</w:t>
      </w:r>
      <w:r w:rsidR="00E33B6E" w:rsidRPr="00644430">
        <w:rPr>
          <w:b w:val="0"/>
          <w:noProof/>
        </w:rPr>
        <w:t xml:space="preserve"> </w:t>
      </w:r>
      <w:r>
        <w:rPr>
          <w:b w:val="0"/>
          <w:noProof/>
        </w:rPr>
        <w:t>A</w:t>
      </w:r>
      <w:r w:rsidR="00E33B6E" w:rsidRPr="00644430">
        <w:rPr>
          <w:b w:val="0"/>
          <w:noProof/>
        </w:rPr>
        <w:t xml:space="preserve"> </w:t>
      </w:r>
      <w:r>
        <w:rPr>
          <w:b w:val="0"/>
          <w:noProof/>
        </w:rPr>
        <w:t>K</w:t>
      </w:r>
      <w:r w:rsidR="00E33B6E" w:rsidRPr="00644430">
        <w:rPr>
          <w:b w:val="0"/>
          <w:noProof/>
        </w:rPr>
        <w:t xml:space="preserve"> </w:t>
      </w:r>
      <w:r>
        <w:rPr>
          <w:b w:val="0"/>
          <w:noProof/>
        </w:rPr>
        <w:t>LJ</w:t>
      </w:r>
      <w:r w:rsidR="00E33B6E" w:rsidRPr="00644430">
        <w:rPr>
          <w:b w:val="0"/>
          <w:noProof/>
        </w:rPr>
        <w:t xml:space="preserve"> </w:t>
      </w:r>
      <w:r>
        <w:rPr>
          <w:b w:val="0"/>
          <w:noProof/>
        </w:rPr>
        <w:t>U</w:t>
      </w:r>
      <w:r w:rsidR="00E33B6E" w:rsidRPr="00644430">
        <w:rPr>
          <w:b w:val="0"/>
          <w:noProof/>
        </w:rPr>
        <w:t xml:space="preserve"> </w:t>
      </w:r>
      <w:r>
        <w:rPr>
          <w:b w:val="0"/>
          <w:noProof/>
        </w:rPr>
        <w:t>Č</w:t>
      </w:r>
      <w:r w:rsidR="00E33B6E" w:rsidRPr="00644430">
        <w:rPr>
          <w:b w:val="0"/>
          <w:noProof/>
        </w:rPr>
        <w:t xml:space="preserve"> </w:t>
      </w:r>
      <w:r>
        <w:rPr>
          <w:b w:val="0"/>
          <w:noProof/>
        </w:rPr>
        <w:t>A</w:t>
      </w:r>
      <w:r w:rsidR="00E33B6E" w:rsidRPr="00644430">
        <w:rPr>
          <w:b w:val="0"/>
          <w:noProof/>
        </w:rPr>
        <w:t xml:space="preserve"> </w:t>
      </w:r>
      <w:r>
        <w:rPr>
          <w:b w:val="0"/>
          <w:noProof/>
        </w:rPr>
        <w:t>K</w:t>
      </w:r>
    </w:p>
    <w:p w:rsidR="00E33B6E" w:rsidRPr="00644430" w:rsidRDefault="00E33B6E" w:rsidP="00E33B6E">
      <w:pPr>
        <w:pStyle w:val="izmenapodnaslov"/>
        <w:spacing w:before="0" w:beforeAutospacing="0" w:after="0" w:afterAutospacing="0"/>
        <w:rPr>
          <w:noProof/>
        </w:rPr>
      </w:pPr>
    </w:p>
    <w:p w:rsidR="00E33B6E" w:rsidRPr="00644430" w:rsidRDefault="00E33B6E" w:rsidP="00E33B6E">
      <w:pPr>
        <w:pStyle w:val="izmenapodnaslov"/>
        <w:spacing w:before="0" w:beforeAutospacing="0" w:after="0" w:afterAutospacing="0"/>
        <w:rPr>
          <w:noProof/>
        </w:rPr>
      </w:pPr>
    </w:p>
    <w:p w:rsidR="00E33B6E" w:rsidRPr="00644430" w:rsidRDefault="00644430" w:rsidP="00E33B6E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Usvaja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telekomunikacione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E33B6E" w:rsidRPr="00644430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zaključka</w:t>
      </w:r>
      <w:r w:rsidR="00E33B6E" w:rsidRPr="00644430">
        <w:rPr>
          <w:noProof/>
          <w:lang w:val="sr-Latn-CS"/>
        </w:rPr>
        <w:t>.</w:t>
      </w:r>
    </w:p>
    <w:p w:rsidR="00E33B6E" w:rsidRPr="00644430" w:rsidRDefault="00E33B6E" w:rsidP="00E33B6E">
      <w:pPr>
        <w:pStyle w:val="NormalWeb"/>
        <w:tabs>
          <w:tab w:val="left" w:pos="993"/>
        </w:tabs>
        <w:spacing w:before="0" w:beforeAutospacing="0" w:after="0" w:afterAutospacing="0"/>
        <w:ind w:left="709"/>
        <w:jc w:val="both"/>
        <w:rPr>
          <w:noProof/>
          <w:lang w:val="sr-Latn-CS"/>
        </w:rPr>
      </w:pPr>
    </w:p>
    <w:p w:rsidR="00E33B6E" w:rsidRPr="00644430" w:rsidRDefault="00E33B6E" w:rsidP="00E33B6E">
      <w:pPr>
        <w:pStyle w:val="NormalWeb"/>
        <w:tabs>
          <w:tab w:val="left" w:pos="993"/>
        </w:tabs>
        <w:spacing w:before="0" w:beforeAutospacing="0" w:after="0" w:afterAutospacing="0"/>
        <w:ind w:left="709"/>
        <w:jc w:val="both"/>
        <w:rPr>
          <w:noProof/>
          <w:lang w:val="sr-Latn-CS"/>
        </w:rPr>
      </w:pPr>
    </w:p>
    <w:p w:rsidR="00E33B6E" w:rsidRPr="00644430" w:rsidRDefault="00644430" w:rsidP="00E33B6E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zaključak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3B6E" w:rsidRPr="00644430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33B6E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33B6E" w:rsidRPr="00644430">
        <w:rPr>
          <w:noProof/>
          <w:lang w:val="sr-Latn-CS"/>
        </w:rPr>
        <w:t>”.</w:t>
      </w:r>
    </w:p>
    <w:p w:rsidR="00E33B6E" w:rsidRPr="00644430" w:rsidRDefault="00E33B6E" w:rsidP="00E33B6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noProof/>
          <w:lang w:val="sr-Latn-CS"/>
        </w:rPr>
      </w:pPr>
    </w:p>
    <w:p w:rsidR="00E33B6E" w:rsidRPr="00644430" w:rsidRDefault="00E33B6E" w:rsidP="00E33B6E">
      <w:pPr>
        <w:pStyle w:val="NormalWeb"/>
        <w:tabs>
          <w:tab w:val="left" w:pos="993"/>
        </w:tabs>
        <w:spacing w:before="0" w:beforeAutospacing="0" w:after="0" w:afterAutospacing="0"/>
        <w:ind w:left="709"/>
        <w:jc w:val="both"/>
        <w:rPr>
          <w:noProof/>
          <w:lang w:val="sr-Latn-CS"/>
        </w:rPr>
      </w:pPr>
    </w:p>
    <w:p w:rsidR="00E33B6E" w:rsidRPr="00644430" w:rsidRDefault="00E33B6E" w:rsidP="00E33B6E">
      <w:pPr>
        <w:pStyle w:val="izmenapodnaslov"/>
        <w:spacing w:before="0" w:beforeAutospacing="0" w:after="0" w:afterAutospacing="0"/>
        <w:ind w:firstLine="708"/>
        <w:jc w:val="both"/>
        <w:rPr>
          <w:noProof/>
        </w:rPr>
      </w:pPr>
    </w:p>
    <w:p w:rsidR="00E33B6E" w:rsidRPr="00644430" w:rsidRDefault="00E33B6E" w:rsidP="00E33B6E">
      <w:pPr>
        <w:pStyle w:val="izmenatekst"/>
        <w:spacing w:before="0" w:beforeAutospacing="0" w:after="0" w:afterAutospacing="0"/>
        <w:jc w:val="both"/>
        <w:rPr>
          <w:noProof/>
        </w:rPr>
      </w:pPr>
      <w:r w:rsidRPr="00644430">
        <w:rPr>
          <w:noProof/>
        </w:rPr>
        <w:t xml:space="preserve">05 </w:t>
      </w:r>
      <w:r w:rsidR="00644430">
        <w:rPr>
          <w:noProof/>
        </w:rPr>
        <w:t>Broj</w:t>
      </w:r>
      <w:r w:rsidRPr="00644430">
        <w:rPr>
          <w:noProof/>
        </w:rPr>
        <w:t>: 345-3335/2017-1</w:t>
      </w:r>
    </w:p>
    <w:p w:rsidR="00E33B6E" w:rsidRPr="00644430" w:rsidRDefault="00644430" w:rsidP="00E33B6E">
      <w:pPr>
        <w:pStyle w:val="izmena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U</w:t>
      </w:r>
      <w:r w:rsidR="00E33B6E" w:rsidRPr="00644430">
        <w:rPr>
          <w:noProof/>
        </w:rPr>
        <w:t xml:space="preserve"> </w:t>
      </w:r>
      <w:r>
        <w:rPr>
          <w:noProof/>
        </w:rPr>
        <w:t>Beogradu</w:t>
      </w:r>
      <w:r w:rsidR="00E33B6E" w:rsidRPr="00644430">
        <w:rPr>
          <w:noProof/>
        </w:rPr>
        <w:t xml:space="preserve">, 13. </w:t>
      </w:r>
      <w:r>
        <w:rPr>
          <w:noProof/>
        </w:rPr>
        <w:t>aprila</w:t>
      </w:r>
      <w:r w:rsidR="00E33B6E" w:rsidRPr="00644430">
        <w:rPr>
          <w:noProof/>
        </w:rPr>
        <w:t xml:space="preserve"> 2017. </w:t>
      </w:r>
      <w:r>
        <w:rPr>
          <w:noProof/>
        </w:rPr>
        <w:t>godine</w:t>
      </w:r>
    </w:p>
    <w:p w:rsidR="00E33B6E" w:rsidRPr="00644430" w:rsidRDefault="00E33B6E" w:rsidP="00E33B6E">
      <w:pPr>
        <w:pStyle w:val="izmenatekst"/>
        <w:spacing w:before="0" w:beforeAutospacing="0" w:after="0" w:afterAutospacing="0"/>
        <w:jc w:val="both"/>
        <w:rPr>
          <w:noProof/>
        </w:rPr>
      </w:pPr>
    </w:p>
    <w:p w:rsidR="00E33B6E" w:rsidRPr="00644430" w:rsidRDefault="00E33B6E" w:rsidP="00E33B6E">
      <w:pPr>
        <w:pStyle w:val="izmenatekst"/>
        <w:spacing w:before="0" w:beforeAutospacing="0" w:after="0" w:afterAutospacing="0"/>
        <w:jc w:val="both"/>
        <w:rPr>
          <w:noProof/>
        </w:rPr>
      </w:pPr>
    </w:p>
    <w:p w:rsidR="00E33B6E" w:rsidRPr="00644430" w:rsidRDefault="00E33B6E" w:rsidP="00E33B6E">
      <w:pPr>
        <w:pStyle w:val="izmenatekst"/>
        <w:spacing w:before="0" w:beforeAutospacing="0" w:after="0" w:afterAutospacing="0"/>
        <w:jc w:val="both"/>
        <w:rPr>
          <w:noProof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3"/>
        <w:gridCol w:w="2843"/>
        <w:gridCol w:w="3245"/>
      </w:tblGrid>
      <w:tr w:rsidR="00E33B6E" w:rsidRPr="00644430" w:rsidTr="00D7388F">
        <w:tc>
          <w:tcPr>
            <w:tcW w:w="2843" w:type="dxa"/>
          </w:tcPr>
          <w:p w:rsidR="00E33B6E" w:rsidRPr="00644430" w:rsidRDefault="00E33B6E" w:rsidP="00D7388F">
            <w:pPr>
              <w:pStyle w:val="izmenatekst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843" w:type="dxa"/>
            <w:hideMark/>
          </w:tcPr>
          <w:p w:rsidR="00E33B6E" w:rsidRPr="00644430" w:rsidRDefault="00644430" w:rsidP="00D7388F">
            <w:pPr>
              <w:pStyle w:val="izmenatekst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  <w:r w:rsidR="00E33B6E" w:rsidRPr="00644430">
              <w:rPr>
                <w:noProof/>
              </w:rPr>
              <w:t xml:space="preserve"> </w:t>
            </w:r>
            <w:r>
              <w:rPr>
                <w:noProof/>
              </w:rPr>
              <w:t>L</w:t>
            </w:r>
            <w:r w:rsidR="00E33B6E" w:rsidRPr="00644430">
              <w:rPr>
                <w:noProof/>
              </w:rPr>
              <w:t xml:space="preserve"> </w:t>
            </w:r>
            <w:r>
              <w:rPr>
                <w:noProof/>
              </w:rPr>
              <w:t>A</w:t>
            </w:r>
            <w:r w:rsidR="00E33B6E" w:rsidRPr="00644430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  <w:r w:rsidR="00E33B6E" w:rsidRPr="00644430">
              <w:rPr>
                <w:noProof/>
              </w:rPr>
              <w:t xml:space="preserve"> </w:t>
            </w:r>
            <w:r>
              <w:rPr>
                <w:noProof/>
              </w:rPr>
              <w:t>A</w:t>
            </w:r>
          </w:p>
        </w:tc>
        <w:tc>
          <w:tcPr>
            <w:tcW w:w="3245" w:type="dxa"/>
          </w:tcPr>
          <w:p w:rsidR="00E33B6E" w:rsidRPr="00644430" w:rsidRDefault="00E33B6E" w:rsidP="00D7388F">
            <w:pPr>
              <w:pStyle w:val="izmenatekst"/>
              <w:spacing w:before="0" w:beforeAutospacing="0" w:after="0" w:afterAutospacing="0"/>
              <w:jc w:val="center"/>
              <w:rPr>
                <w:noProof/>
              </w:rPr>
            </w:pPr>
          </w:p>
          <w:p w:rsidR="00E33B6E" w:rsidRPr="00644430" w:rsidRDefault="00E33B6E" w:rsidP="00D7388F">
            <w:pPr>
              <w:pStyle w:val="izmenatekst"/>
              <w:spacing w:before="0" w:beforeAutospacing="0" w:after="0" w:afterAutospacing="0"/>
              <w:jc w:val="center"/>
              <w:rPr>
                <w:noProof/>
              </w:rPr>
            </w:pPr>
          </w:p>
          <w:p w:rsidR="00E33B6E" w:rsidRPr="00644430" w:rsidRDefault="00644430" w:rsidP="00D7388F">
            <w:pPr>
              <w:pStyle w:val="izmenatekst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PREDSEDNIK</w:t>
            </w:r>
          </w:p>
          <w:p w:rsidR="00E33B6E" w:rsidRPr="00644430" w:rsidRDefault="00E33B6E" w:rsidP="00D7388F">
            <w:pPr>
              <w:pStyle w:val="izmenatekst"/>
              <w:spacing w:before="0" w:beforeAutospacing="0" w:after="0" w:afterAutospacing="0"/>
              <w:jc w:val="center"/>
              <w:rPr>
                <w:noProof/>
              </w:rPr>
            </w:pPr>
          </w:p>
          <w:p w:rsidR="00E33B6E" w:rsidRPr="00644430" w:rsidRDefault="00E33B6E" w:rsidP="00D7388F">
            <w:pPr>
              <w:pStyle w:val="izmenatekst"/>
              <w:spacing w:before="0" w:beforeAutospacing="0" w:after="0" w:afterAutospacing="0"/>
              <w:jc w:val="center"/>
              <w:rPr>
                <w:noProof/>
              </w:rPr>
            </w:pPr>
          </w:p>
          <w:p w:rsidR="00E33B6E" w:rsidRPr="00644430" w:rsidRDefault="00644430" w:rsidP="00D7388F">
            <w:pPr>
              <w:pStyle w:val="izmenatekst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Aleksandar</w:t>
            </w:r>
            <w:r w:rsidR="00E33B6E" w:rsidRPr="00644430">
              <w:rPr>
                <w:noProof/>
              </w:rPr>
              <w:t xml:space="preserve"> </w:t>
            </w:r>
            <w:r>
              <w:rPr>
                <w:noProof/>
              </w:rPr>
              <w:t>Vučić</w:t>
            </w:r>
            <w:r w:rsidR="00E33B6E" w:rsidRPr="00644430">
              <w:rPr>
                <w:noProof/>
              </w:rPr>
              <w:t xml:space="preserve">, </w:t>
            </w:r>
            <w:r>
              <w:rPr>
                <w:noProof/>
              </w:rPr>
              <w:t>s</w:t>
            </w:r>
            <w:r w:rsidR="00E33B6E" w:rsidRPr="00644430">
              <w:rPr>
                <w:noProof/>
              </w:rPr>
              <w:t>.</w:t>
            </w:r>
            <w:r>
              <w:rPr>
                <w:noProof/>
              </w:rPr>
              <w:t>r</w:t>
            </w:r>
            <w:r w:rsidR="00E33B6E" w:rsidRPr="00644430">
              <w:rPr>
                <w:noProof/>
              </w:rPr>
              <w:t>.</w:t>
            </w:r>
          </w:p>
        </w:tc>
      </w:tr>
    </w:tbl>
    <w:p w:rsidR="00E33B6E" w:rsidRPr="00644430" w:rsidRDefault="00E33B6E" w:rsidP="00E33B6E">
      <w:pPr>
        <w:rPr>
          <w:noProof/>
          <w:lang w:val="sr-Latn-CS"/>
        </w:rPr>
      </w:pPr>
    </w:p>
    <w:p w:rsidR="00E33B6E" w:rsidRPr="00644430" w:rsidRDefault="00E33B6E">
      <w:pPr>
        <w:spacing w:after="200" w:line="276" w:lineRule="auto"/>
        <w:rPr>
          <w:noProof/>
          <w:lang w:val="sr-Latn-CS"/>
        </w:rPr>
      </w:pPr>
    </w:p>
    <w:p w:rsidR="00E33B6E" w:rsidRPr="00644430" w:rsidRDefault="00E33B6E">
      <w:pPr>
        <w:spacing w:after="200" w:line="276" w:lineRule="auto"/>
        <w:rPr>
          <w:noProof/>
          <w:lang w:val="sr-Latn-CS"/>
        </w:rPr>
      </w:pPr>
      <w:r w:rsidRPr="00644430">
        <w:rPr>
          <w:noProof/>
          <w:lang w:val="sr-Latn-CS"/>
        </w:rPr>
        <w:br w:type="page"/>
      </w:r>
    </w:p>
    <w:p w:rsidR="00E33B6E" w:rsidRPr="00644430" w:rsidRDefault="00E33B6E" w:rsidP="00627DA2">
      <w:pPr>
        <w:spacing w:after="100" w:afterAutospacing="1"/>
        <w:jc w:val="center"/>
        <w:rPr>
          <w:noProof/>
          <w:lang w:val="sr-Latn-CS"/>
        </w:rPr>
      </w:pPr>
    </w:p>
    <w:p w:rsidR="00627DA2" w:rsidRPr="00644430" w:rsidRDefault="00644430" w:rsidP="00627DA2">
      <w:pPr>
        <w:spacing w:after="100" w:afterAutospacing="1"/>
        <w:jc w:val="center"/>
        <w:rPr>
          <w:noProof/>
          <w:lang w:val="sr-Latn-CS"/>
        </w:rPr>
      </w:pPr>
      <w:r>
        <w:rPr>
          <w:noProof/>
          <w:lang w:val="sr-Latn-CS"/>
        </w:rPr>
        <w:t>AKCIONI</w:t>
      </w:r>
      <w:r w:rsidR="00627DA2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627DA2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27DA2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627DA2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627DA2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TELEKOMUNIKACIONE</w:t>
      </w:r>
      <w:r w:rsidR="00627DA2" w:rsidRPr="00644430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</w:p>
    <w:p w:rsidR="00627DA2" w:rsidRPr="00644430" w:rsidRDefault="00627DA2" w:rsidP="00627DA2">
      <w:pPr>
        <w:spacing w:before="100" w:beforeAutospacing="1" w:after="100" w:afterAutospacing="1"/>
        <w:jc w:val="center"/>
        <w:rPr>
          <w:noProof/>
          <w:lang w:val="sr-Latn-CS"/>
        </w:rPr>
      </w:pPr>
      <w:r w:rsidRPr="00644430">
        <w:rPr>
          <w:noProof/>
          <w:lang w:val="sr-Latn-CS"/>
        </w:rPr>
        <w:t xml:space="preserve">I. </w:t>
      </w:r>
      <w:r w:rsidR="00644430">
        <w:rPr>
          <w:noProof/>
          <w:lang w:val="sr-Latn-CS"/>
        </w:rPr>
        <w:t>UVOD</w:t>
      </w:r>
    </w:p>
    <w:p w:rsidR="00627DA2" w:rsidRPr="00644430" w:rsidRDefault="00665361" w:rsidP="00665361">
      <w:pPr>
        <w:tabs>
          <w:tab w:val="left" w:pos="1418"/>
        </w:tabs>
        <w:spacing w:after="120"/>
        <w:jc w:val="both"/>
        <w:rPr>
          <w:noProof/>
          <w:lang w:val="sr-Latn-CS"/>
        </w:rPr>
      </w:pPr>
      <w:r w:rsidRPr="00644430">
        <w:rPr>
          <w:noProof/>
          <w:lang w:val="sr-Latn-CS"/>
        </w:rPr>
        <w:tab/>
      </w:r>
      <w:r w:rsidR="00644430">
        <w:rPr>
          <w:noProof/>
          <w:lang w:val="sr-Latn-CS"/>
        </w:rPr>
        <w:t>Republika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Srbija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sv</w:t>
      </w:r>
      <w:r w:rsidR="00627DA2" w:rsidRPr="00644430">
        <w:rPr>
          <w:noProof/>
          <w:lang w:val="sr-Latn-CS"/>
        </w:rPr>
        <w:t>oj</w:t>
      </w:r>
      <w:r w:rsidR="00644430">
        <w:rPr>
          <w:noProof/>
          <w:lang w:val="sr-Latn-CS"/>
        </w:rPr>
        <w:t>im</w:t>
      </w:r>
      <w:r w:rsidR="00627DA2" w:rsidRPr="00644430">
        <w:rPr>
          <w:noProof/>
          <w:lang w:val="sr-Latn-CS"/>
        </w:rPr>
        <w:t xml:space="preserve"> ja</w:t>
      </w:r>
      <w:r w:rsidR="00644430">
        <w:rPr>
          <w:noProof/>
          <w:lang w:val="sr-Latn-CS"/>
        </w:rPr>
        <w:t>vnim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pr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duz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ćim</w:t>
      </w:r>
      <w:r w:rsidR="00627DA2" w:rsidRPr="00644430">
        <w:rPr>
          <w:noProof/>
          <w:lang w:val="sr-Latn-CS"/>
        </w:rPr>
        <w:t>a, a</w:t>
      </w:r>
      <w:r w:rsidR="00644430">
        <w:rPr>
          <w:noProof/>
          <w:lang w:val="sr-Latn-CS"/>
        </w:rPr>
        <w:t>kci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n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rskim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društvim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o</w:t>
      </w:r>
      <w:r w:rsidR="00644430">
        <w:rPr>
          <w:noProof/>
          <w:lang w:val="sr-Latn-CS"/>
        </w:rPr>
        <w:t>rg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niz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ci</w:t>
      </w:r>
      <w:r w:rsidR="00627DA2" w:rsidRPr="00644430">
        <w:rPr>
          <w:noProof/>
          <w:lang w:val="sr-Latn-CS"/>
        </w:rPr>
        <w:t>ja</w:t>
      </w:r>
      <w:r w:rsidR="00644430">
        <w:rPr>
          <w:noProof/>
          <w:lang w:val="sr-Latn-CS"/>
        </w:rPr>
        <w:t>m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r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sp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l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ž</w:t>
      </w:r>
      <w:r w:rsidR="00627DA2" w:rsidRPr="00644430">
        <w:rPr>
          <w:noProof/>
          <w:lang w:val="sr-Latn-CS"/>
        </w:rPr>
        <w:t xml:space="preserve">e </w:t>
      </w:r>
      <w:r w:rsidR="00644430">
        <w:rPr>
          <w:noProof/>
          <w:lang w:val="sr-Latn-CS"/>
        </w:rPr>
        <w:t>v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likim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kv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lit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tnim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t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l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k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munik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ci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nim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sist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mim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z</w:t>
      </w:r>
      <w:r w:rsidR="00627DA2" w:rsidRPr="00644430">
        <w:rPr>
          <w:noProof/>
          <w:lang w:val="sr-Latn-CS"/>
        </w:rPr>
        <w:t>a o</w:t>
      </w:r>
      <w:r w:rsidR="00644430">
        <w:rPr>
          <w:noProof/>
          <w:lang w:val="sr-Latn-CS"/>
        </w:rPr>
        <w:t>b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vlj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nj</w:t>
      </w:r>
      <w:r w:rsidR="00627DA2" w:rsidRPr="00644430">
        <w:rPr>
          <w:noProof/>
          <w:lang w:val="sr-Latn-CS"/>
        </w:rPr>
        <w:t xml:space="preserve">e </w:t>
      </w:r>
      <w:r w:rsidR="00644430">
        <w:rPr>
          <w:noProof/>
          <w:lang w:val="sr-Latn-CS"/>
        </w:rPr>
        <w:t>s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rvis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pruž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nj</w:t>
      </w:r>
      <w:r w:rsidR="00627DA2" w:rsidRPr="00644430">
        <w:rPr>
          <w:noProof/>
          <w:lang w:val="sr-Latn-CS"/>
        </w:rPr>
        <w:t xml:space="preserve">e </w:t>
      </w:r>
      <w:r w:rsidR="00644430">
        <w:rPr>
          <w:noProof/>
          <w:lang w:val="sr-Latn-CS"/>
        </w:rPr>
        <w:t>uslug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n</w:t>
      </w:r>
      <w:r w:rsidR="00627DA2" w:rsidRPr="00644430">
        <w:rPr>
          <w:noProof/>
          <w:lang w:val="sr-Latn-CS"/>
        </w:rPr>
        <w:t>eo</w:t>
      </w:r>
      <w:r w:rsidR="00644430">
        <w:rPr>
          <w:noProof/>
          <w:lang w:val="sr-Latn-CS"/>
        </w:rPr>
        <w:t>ph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dnih</w:t>
      </w:r>
      <w:r w:rsidR="00FD3201" w:rsidRPr="00644430">
        <w:rPr>
          <w:noProof/>
          <w:lang w:val="sr-Latn-CS"/>
        </w:rPr>
        <w:t>,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pr</w:t>
      </w:r>
      <w:r w:rsidR="00627DA2" w:rsidRPr="00644430">
        <w:rPr>
          <w:noProof/>
          <w:lang w:val="sr-Latn-CS"/>
        </w:rPr>
        <w:t xml:space="preserve">e </w:t>
      </w:r>
      <w:r w:rsidR="00644430">
        <w:rPr>
          <w:noProof/>
          <w:lang w:val="sr-Latn-CS"/>
        </w:rPr>
        <w:t>sv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g</w:t>
      </w:r>
      <w:r w:rsidR="00627DA2" w:rsidRPr="00644430">
        <w:rPr>
          <w:noProof/>
          <w:lang w:val="sr-Latn-CS"/>
        </w:rPr>
        <w:t>a</w:t>
      </w:r>
      <w:r w:rsidR="00563AE4" w:rsidRPr="00644430">
        <w:rPr>
          <w:noProof/>
          <w:lang w:val="sr-Latn-CS"/>
        </w:rPr>
        <w:t>,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tim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subjektima</w:t>
      </w:r>
      <w:r w:rsidR="00627DA2" w:rsidRPr="00644430">
        <w:rPr>
          <w:noProof/>
          <w:lang w:val="sr-Latn-CS"/>
        </w:rPr>
        <w:t xml:space="preserve">. </w:t>
      </w:r>
      <w:r w:rsidR="00644430">
        <w:rPr>
          <w:noProof/>
          <w:lang w:val="sr-Latn-CS"/>
        </w:rPr>
        <w:t>Navedeni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p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cit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ti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nisu</w:t>
      </w:r>
      <w:r w:rsidR="00627DA2" w:rsidRPr="00644430">
        <w:rPr>
          <w:noProof/>
          <w:lang w:val="sr-Latn-CS"/>
        </w:rPr>
        <w:t xml:space="preserve"> o</w:t>
      </w:r>
      <w:r w:rsidR="00644430">
        <w:rPr>
          <w:noProof/>
          <w:lang w:val="sr-Latn-CS"/>
        </w:rPr>
        <w:t>b</w:t>
      </w:r>
      <w:r w:rsidR="00627DA2" w:rsidRPr="00644430">
        <w:rPr>
          <w:noProof/>
          <w:lang w:val="sr-Latn-CS"/>
        </w:rPr>
        <w:t>je</w:t>
      </w:r>
      <w:r w:rsidR="00644430">
        <w:rPr>
          <w:noProof/>
          <w:lang w:val="sr-Latn-CS"/>
        </w:rPr>
        <w:t>dinj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ni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r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zvi</w:t>
      </w:r>
      <w:r w:rsidR="00627DA2" w:rsidRPr="00644430">
        <w:rPr>
          <w:noProof/>
          <w:lang w:val="sr-Latn-CS"/>
        </w:rPr>
        <w:t>ja</w:t>
      </w:r>
      <w:r w:rsidR="00644430">
        <w:rPr>
          <w:noProof/>
          <w:lang w:val="sr-Latn-CS"/>
        </w:rPr>
        <w:t>ni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sv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ki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z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s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b</w:t>
      </w:r>
      <w:r w:rsidR="00627DA2" w:rsidRPr="00644430">
        <w:rPr>
          <w:noProof/>
          <w:lang w:val="sr-Latn-CS"/>
        </w:rPr>
        <w:t xml:space="preserve">e, </w:t>
      </w:r>
      <w:r w:rsidR="00644430">
        <w:rPr>
          <w:noProof/>
          <w:lang w:val="sr-Latn-CS"/>
        </w:rPr>
        <w:t>s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n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m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r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s</w:t>
      </w:r>
      <w:r w:rsidR="00627DA2" w:rsidRPr="00644430">
        <w:rPr>
          <w:noProof/>
          <w:lang w:val="sr-Latn-CS"/>
        </w:rPr>
        <w:t xml:space="preserve">e </w:t>
      </w:r>
      <w:r w:rsidR="00644430">
        <w:rPr>
          <w:noProof/>
          <w:lang w:val="sr-Latn-CS"/>
        </w:rPr>
        <w:t>z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d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v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lj</w:t>
      </w:r>
      <w:r w:rsidR="00627DA2" w:rsidRPr="00644430">
        <w:rPr>
          <w:noProof/>
          <w:lang w:val="sr-Latn-CS"/>
        </w:rPr>
        <w:t xml:space="preserve">e </w:t>
      </w:r>
      <w:r w:rsidR="00644430">
        <w:rPr>
          <w:noProof/>
          <w:lang w:val="sr-Latn-CS"/>
        </w:rPr>
        <w:t>p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tr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b</w:t>
      </w:r>
      <w:r w:rsidR="00627DA2" w:rsidRPr="00644430">
        <w:rPr>
          <w:noProof/>
          <w:lang w:val="sr-Latn-CS"/>
        </w:rPr>
        <w:t xml:space="preserve">e </w:t>
      </w:r>
      <w:r w:rsidR="00644430">
        <w:rPr>
          <w:noProof/>
          <w:lang w:val="sr-Latn-CS"/>
        </w:rPr>
        <w:t>subjekata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</w:t>
      </w:r>
      <w:r w:rsidR="00627DA2" w:rsidRPr="00644430">
        <w:rPr>
          <w:noProof/>
          <w:lang w:val="sr-Latn-CS"/>
        </w:rPr>
        <w:t xml:space="preserve">oje </w:t>
      </w:r>
      <w:r w:rsidR="00644430">
        <w:rPr>
          <w:noProof/>
          <w:lang w:val="sr-Latn-CS"/>
        </w:rPr>
        <w:t>su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ih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gr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dil</w:t>
      </w:r>
      <w:r w:rsidR="00627DA2" w:rsidRPr="00644430">
        <w:rPr>
          <w:noProof/>
          <w:lang w:val="sr-Latn-CS"/>
        </w:rPr>
        <w:t xml:space="preserve">e, </w:t>
      </w:r>
      <w:r w:rsidR="00644430">
        <w:rPr>
          <w:noProof/>
          <w:lang w:val="sr-Latn-CS"/>
        </w:rPr>
        <w:t>pa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neophodna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njihova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konsolidacija</w:t>
      </w:r>
      <w:r w:rsidR="00627DA2" w:rsidRPr="00644430">
        <w:rPr>
          <w:noProof/>
          <w:lang w:val="sr-Latn-CS"/>
        </w:rPr>
        <w:t xml:space="preserve">. </w:t>
      </w:r>
      <w:r w:rsidR="00644430">
        <w:rPr>
          <w:noProof/>
          <w:lang w:val="sr-Latn-CS"/>
        </w:rPr>
        <w:t>Neiskorišćeni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deo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ovih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p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cit</w:t>
      </w:r>
      <w:r w:rsidR="00627DA2" w:rsidRPr="00644430">
        <w:rPr>
          <w:noProof/>
          <w:lang w:val="sr-Latn-CS"/>
        </w:rPr>
        <w:t>e</w:t>
      </w:r>
      <w:r w:rsidR="00644430">
        <w:rPr>
          <w:noProof/>
          <w:lang w:val="sr-Latn-CS"/>
        </w:rPr>
        <w:t>t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m</w:t>
      </w:r>
      <w:r w:rsidR="00627DA2" w:rsidRPr="00644430">
        <w:rPr>
          <w:noProof/>
          <w:lang w:val="sr-Latn-CS"/>
        </w:rPr>
        <w:t>o</w:t>
      </w:r>
      <w:r w:rsidR="00644430">
        <w:rPr>
          <w:noProof/>
          <w:lang w:val="sr-Latn-CS"/>
        </w:rPr>
        <w:t>že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biti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upotrebljen</w:t>
      </w:r>
      <w:r w:rsidR="00627DA2" w:rsidRPr="00644430">
        <w:rPr>
          <w:noProof/>
          <w:lang w:val="sr-Latn-CS"/>
        </w:rPr>
        <w:t xml:space="preserve">  </w:t>
      </w:r>
      <w:r w:rsidR="00644430">
        <w:rPr>
          <w:noProof/>
          <w:lang w:val="sr-Latn-CS"/>
        </w:rPr>
        <w:t>z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pruž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nj</w:t>
      </w:r>
      <w:r w:rsidR="00627DA2" w:rsidRPr="00644430">
        <w:rPr>
          <w:noProof/>
          <w:lang w:val="sr-Latn-CS"/>
        </w:rPr>
        <w:t xml:space="preserve">e </w:t>
      </w:r>
      <w:r w:rsidR="00644430">
        <w:rPr>
          <w:noProof/>
          <w:lang w:val="sr-Latn-CS"/>
        </w:rPr>
        <w:t>uslug</w:t>
      </w:r>
      <w:r w:rsidR="00627DA2" w:rsidRPr="00644430">
        <w:rPr>
          <w:noProof/>
          <w:lang w:val="sr-Latn-CS"/>
        </w:rPr>
        <w:t xml:space="preserve">a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drž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vnim</w:t>
      </w:r>
      <w:r w:rsidR="00627DA2" w:rsidRPr="00644430">
        <w:rPr>
          <w:noProof/>
          <w:lang w:val="sr-Latn-CS"/>
        </w:rPr>
        <w:t xml:space="preserve"> o</w:t>
      </w:r>
      <w:r w:rsidR="00644430">
        <w:rPr>
          <w:noProof/>
          <w:lang w:val="sr-Latn-CS"/>
        </w:rPr>
        <w:t>rg</w:t>
      </w:r>
      <w:r w:rsidR="00627DA2" w:rsidRPr="00644430">
        <w:rPr>
          <w:noProof/>
          <w:lang w:val="sr-Latn-CS"/>
        </w:rPr>
        <w:t>a</w:t>
      </w:r>
      <w:r w:rsidR="00644430">
        <w:rPr>
          <w:noProof/>
          <w:lang w:val="sr-Latn-CS"/>
        </w:rPr>
        <w:t>nim</w:t>
      </w:r>
      <w:r w:rsidR="00627DA2" w:rsidRPr="00644430">
        <w:rPr>
          <w:noProof/>
          <w:lang w:val="sr-Latn-CS"/>
        </w:rPr>
        <w:t>a.</w:t>
      </w:r>
    </w:p>
    <w:p w:rsidR="00627DA2" w:rsidRPr="00644430" w:rsidRDefault="00665361" w:rsidP="00665361">
      <w:pPr>
        <w:tabs>
          <w:tab w:val="left" w:pos="1418"/>
        </w:tabs>
        <w:spacing w:after="120"/>
        <w:jc w:val="both"/>
        <w:rPr>
          <w:noProof/>
          <w:lang w:val="sr-Latn-CS"/>
        </w:rPr>
      </w:pPr>
      <w:r w:rsidRPr="00644430">
        <w:rPr>
          <w:noProof/>
          <w:lang w:val="sr-Latn-CS"/>
        </w:rPr>
        <w:tab/>
      </w:r>
      <w:r w:rsidR="00644430">
        <w:rPr>
          <w:noProof/>
          <w:lang w:val="sr-Latn-CS"/>
        </w:rPr>
        <w:t>Jedan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ciljeva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Strategije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razvoja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elektronskih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komunikacija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Republici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Srbiji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</w:t>
      </w:r>
      <w:r w:rsidR="00627DA2" w:rsidRPr="00644430">
        <w:rPr>
          <w:noProof/>
          <w:lang w:val="sr-Latn-CS"/>
        </w:rPr>
        <w:t xml:space="preserve"> 2010. </w:t>
      </w:r>
      <w:r w:rsidR="00644430">
        <w:rPr>
          <w:noProof/>
          <w:lang w:val="sr-Latn-CS"/>
        </w:rPr>
        <w:t>do</w:t>
      </w:r>
      <w:r w:rsidR="00627DA2" w:rsidRPr="00644430">
        <w:rPr>
          <w:noProof/>
          <w:lang w:val="sr-Latn-CS"/>
        </w:rPr>
        <w:t xml:space="preserve"> 2020. </w:t>
      </w:r>
      <w:r w:rsidR="00644430">
        <w:rPr>
          <w:noProof/>
          <w:lang w:val="sr-Latn-CS"/>
        </w:rPr>
        <w:t>godine</w:t>
      </w:r>
      <w:r w:rsidR="00FD3201" w:rsidRPr="00644430">
        <w:rPr>
          <w:noProof/>
          <w:lang w:val="sr-Latn-CS"/>
        </w:rPr>
        <w:t xml:space="preserve"> („</w:t>
      </w:r>
      <w:r w:rsidR="00644430">
        <w:rPr>
          <w:noProof/>
          <w:lang w:val="sr-Latn-CS"/>
        </w:rPr>
        <w:t>Službeni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glasnik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RS</w:t>
      </w:r>
      <w:r w:rsidR="00FD3201" w:rsidRPr="00644430">
        <w:rPr>
          <w:noProof/>
          <w:lang w:val="sr-Latn-CS"/>
        </w:rPr>
        <w:t xml:space="preserve">”, </w:t>
      </w:r>
      <w:r w:rsidR="00644430">
        <w:rPr>
          <w:noProof/>
          <w:lang w:val="sr-Latn-CS"/>
        </w:rPr>
        <w:t>broj</w:t>
      </w:r>
      <w:r w:rsidR="00FD3201" w:rsidRPr="00644430">
        <w:rPr>
          <w:noProof/>
          <w:lang w:val="sr-Latn-CS"/>
        </w:rPr>
        <w:t xml:space="preserve"> 68/10)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iskorišćenje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resursa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državne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telekomunikacione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infrastrukture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uspostavljanje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jedinstvene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nacionalne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širokopojasne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mreže</w:t>
      </w:r>
      <w:r w:rsidR="00627DA2" w:rsidRPr="00644430">
        <w:rPr>
          <w:noProof/>
          <w:lang w:val="sr-Latn-CS"/>
        </w:rPr>
        <w:t xml:space="preserve">. </w:t>
      </w:r>
      <w:r w:rsidR="00644430">
        <w:rPr>
          <w:noProof/>
          <w:lang w:val="sr-Latn-CS"/>
        </w:rPr>
        <w:t>Korist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uspostavljanja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takve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mreže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ogleda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uštedi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koja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postiže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objedinjavanjem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državnih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kapaciteta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optimizaciji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poslovanja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državnih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organa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preduzeća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efikasnijem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poslovanju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boljim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performansama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rada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kao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efikasnom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povezivanju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svih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državnih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organa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ostalim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sektorima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industrije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proizvodnje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bankarstva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trgovine</w:t>
      </w:r>
      <w:r w:rsidR="00627DA2" w:rsidRPr="00644430">
        <w:rPr>
          <w:noProof/>
          <w:lang w:val="sr-Latn-CS"/>
        </w:rPr>
        <w:t>.</w:t>
      </w:r>
    </w:p>
    <w:p w:rsidR="00627DA2" w:rsidRPr="00644430" w:rsidRDefault="00665361" w:rsidP="00665361">
      <w:pPr>
        <w:tabs>
          <w:tab w:val="left" w:pos="1418"/>
        </w:tabs>
        <w:spacing w:after="120"/>
        <w:jc w:val="both"/>
        <w:rPr>
          <w:noProof/>
          <w:lang w:val="sr-Latn-CS"/>
        </w:rPr>
      </w:pPr>
      <w:r w:rsidRPr="00644430">
        <w:rPr>
          <w:noProof/>
          <w:lang w:val="sr-Latn-CS"/>
        </w:rPr>
        <w:tab/>
      </w:r>
      <w:r w:rsidR="00644430">
        <w:rPr>
          <w:noProof/>
          <w:lang w:val="sr-Latn-CS"/>
        </w:rPr>
        <w:t>Pored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toga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Program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ekonomskih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reformi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za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period</w:t>
      </w:r>
      <w:r w:rsidR="00287BED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</w:t>
      </w:r>
      <w:r w:rsidR="00627DA2" w:rsidRPr="00644430">
        <w:rPr>
          <w:noProof/>
          <w:lang w:val="sr-Latn-CS"/>
        </w:rPr>
        <w:t xml:space="preserve"> 2017. </w:t>
      </w:r>
      <w:r w:rsidR="00644430">
        <w:rPr>
          <w:noProof/>
          <w:lang w:val="sr-Latn-CS"/>
        </w:rPr>
        <w:t>do</w:t>
      </w:r>
      <w:r w:rsidR="00627DA2" w:rsidRPr="00644430">
        <w:rPr>
          <w:noProof/>
          <w:lang w:val="sr-Latn-CS"/>
        </w:rPr>
        <w:t xml:space="preserve"> 2019. </w:t>
      </w:r>
      <w:r w:rsidR="00644430">
        <w:rPr>
          <w:noProof/>
          <w:lang w:val="sr-Latn-CS"/>
        </w:rPr>
        <w:t>godine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definiše</w:t>
      </w:r>
      <w:r w:rsidR="00FD3201" w:rsidRPr="00644430">
        <w:rPr>
          <w:noProof/>
          <w:lang w:val="sr-Latn-CS"/>
        </w:rPr>
        <w:t>,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kao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prioritetnu</w:t>
      </w:r>
      <w:r w:rsidR="00FD3201" w:rsidRPr="00644430">
        <w:rPr>
          <w:noProof/>
          <w:lang w:val="sr-Latn-CS"/>
        </w:rPr>
        <w:t>,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strukturnu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reformu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koja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se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odnosi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razvoj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unapređenje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nacionalne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širokopojasne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komunikacione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infrastrukture</w:t>
      </w:r>
      <w:r w:rsidR="00627DA2" w:rsidRPr="00644430">
        <w:rPr>
          <w:noProof/>
          <w:lang w:val="sr-Latn-CS"/>
        </w:rPr>
        <w:t xml:space="preserve">. </w:t>
      </w:r>
      <w:r w:rsidR="00644430">
        <w:rPr>
          <w:rFonts w:eastAsia="Calibri"/>
          <w:noProof/>
          <w:lang w:val="sr-Latn-CS"/>
        </w:rPr>
        <w:t>Sprovođenje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ove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strukturne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reforme</w:t>
      </w:r>
      <w:r w:rsidR="00627DA2" w:rsidRPr="00644430">
        <w:rPr>
          <w:rFonts w:eastAsia="Calibri"/>
          <w:noProof/>
          <w:lang w:val="sr-Latn-CS"/>
        </w:rPr>
        <w:t xml:space="preserve">, </w:t>
      </w:r>
      <w:r w:rsidR="00644430">
        <w:rPr>
          <w:rFonts w:eastAsia="Calibri"/>
          <w:noProof/>
          <w:lang w:val="sr-Latn-CS"/>
        </w:rPr>
        <w:t>između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ostalog</w:t>
      </w:r>
      <w:r w:rsidR="00627DA2" w:rsidRPr="00644430">
        <w:rPr>
          <w:rFonts w:eastAsia="Calibri"/>
          <w:noProof/>
          <w:lang w:val="sr-Latn-CS"/>
        </w:rPr>
        <w:t xml:space="preserve">, </w:t>
      </w:r>
      <w:r w:rsidR="00644430">
        <w:rPr>
          <w:rFonts w:eastAsia="Calibri"/>
          <w:noProof/>
          <w:lang w:val="sr-Latn-CS"/>
        </w:rPr>
        <w:t>obuhvata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i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konsolidaciju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širokopojasne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mreže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u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vlasništvu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javnog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sektora</w:t>
      </w:r>
      <w:r w:rsidR="00627DA2" w:rsidRPr="00644430">
        <w:rPr>
          <w:rFonts w:eastAsia="Calibri"/>
          <w:noProof/>
          <w:lang w:val="sr-Latn-CS"/>
        </w:rPr>
        <w:t xml:space="preserve">, </w:t>
      </w:r>
      <w:r w:rsidR="00644430">
        <w:rPr>
          <w:rFonts w:eastAsia="Calibri"/>
          <w:noProof/>
          <w:lang w:val="sr-Latn-CS"/>
        </w:rPr>
        <w:t>kao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i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povezivanje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javnih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ustanova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na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nacionalnu</w:t>
      </w:r>
      <w:r w:rsidR="00627DA2" w:rsidRPr="00644430">
        <w:rPr>
          <w:rFonts w:eastAsia="Calibri"/>
          <w:noProof/>
          <w:lang w:val="sr-Latn-CS"/>
        </w:rPr>
        <w:t xml:space="preserve"> </w:t>
      </w:r>
      <w:r w:rsidR="00644430">
        <w:rPr>
          <w:rFonts w:eastAsia="Calibri"/>
          <w:noProof/>
          <w:lang w:val="sr-Latn-CS"/>
        </w:rPr>
        <w:t>mrežu</w:t>
      </w:r>
      <w:r w:rsidR="00627DA2" w:rsidRPr="00644430">
        <w:rPr>
          <w:rFonts w:eastAsia="Calibri"/>
          <w:noProof/>
          <w:lang w:val="sr-Latn-CS"/>
        </w:rPr>
        <w:t>.</w:t>
      </w:r>
    </w:p>
    <w:p w:rsidR="00627DA2" w:rsidRPr="00644430" w:rsidRDefault="00665361" w:rsidP="00665361">
      <w:pPr>
        <w:tabs>
          <w:tab w:val="left" w:pos="1418"/>
        </w:tabs>
        <w:spacing w:after="120"/>
        <w:jc w:val="both"/>
        <w:rPr>
          <w:noProof/>
          <w:lang w:val="sr-Latn-CS"/>
        </w:rPr>
      </w:pPr>
      <w:r w:rsidRPr="00644430">
        <w:rPr>
          <w:noProof/>
          <w:lang w:val="sr-Latn-CS"/>
        </w:rPr>
        <w:tab/>
      </w:r>
      <w:r w:rsidR="00644430">
        <w:rPr>
          <w:noProof/>
          <w:lang w:val="sr-Latn-CS"/>
        </w:rPr>
        <w:t>Akcionim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planom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za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efikasno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korišćenje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telekomunikacione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infrastrukture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biće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definisane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aktivnosti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odnose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iskorišćenje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resursa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državne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telekomunikacione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infrastrukture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cilju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uspostavljanja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jedinstvene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nacionalne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širokopojasne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mreže</w:t>
      </w:r>
      <w:r w:rsidR="00627DA2" w:rsidRPr="00644430">
        <w:rPr>
          <w:noProof/>
          <w:lang w:val="sr-Latn-CS"/>
        </w:rPr>
        <w:t xml:space="preserve">. </w:t>
      </w:r>
      <w:r w:rsidR="00644430">
        <w:rPr>
          <w:noProof/>
          <w:lang w:val="sr-Latn-CS"/>
        </w:rPr>
        <w:t>Takođe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Akcioni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plan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će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definisati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aktivnosti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će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obezbediti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održivost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dalji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razvoj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nacionalne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širokopojasne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mreže</w:t>
      </w:r>
      <w:r w:rsidR="00627DA2" w:rsidRPr="00644430">
        <w:rPr>
          <w:noProof/>
          <w:lang w:val="sr-Latn-CS"/>
        </w:rPr>
        <w:t>.</w:t>
      </w:r>
    </w:p>
    <w:p w:rsidR="00627DA2" w:rsidRPr="00644430" w:rsidRDefault="00627DA2" w:rsidP="00665361">
      <w:pPr>
        <w:tabs>
          <w:tab w:val="left" w:pos="1418"/>
        </w:tabs>
        <w:spacing w:before="100" w:beforeAutospacing="1" w:after="100" w:afterAutospacing="1"/>
        <w:jc w:val="center"/>
        <w:rPr>
          <w:noProof/>
          <w:lang w:val="sr-Latn-CS"/>
        </w:rPr>
      </w:pPr>
      <w:r w:rsidRPr="00644430">
        <w:rPr>
          <w:noProof/>
          <w:lang w:val="sr-Latn-CS"/>
        </w:rPr>
        <w:t xml:space="preserve">I I. </w:t>
      </w:r>
      <w:r w:rsidR="00644430">
        <w:rPr>
          <w:noProof/>
          <w:lang w:val="sr-Latn-CS"/>
        </w:rPr>
        <w:t>CILJ</w:t>
      </w:r>
      <w:r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AKCIONOG</w:t>
      </w:r>
      <w:r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PLANA</w:t>
      </w:r>
    </w:p>
    <w:p w:rsidR="00627DA2" w:rsidRPr="00644430" w:rsidRDefault="00665361" w:rsidP="00665361">
      <w:pPr>
        <w:tabs>
          <w:tab w:val="left" w:pos="1418"/>
        </w:tabs>
        <w:spacing w:after="120"/>
        <w:jc w:val="both"/>
        <w:rPr>
          <w:noProof/>
          <w:lang w:val="sr-Latn-CS"/>
        </w:rPr>
      </w:pPr>
      <w:r w:rsidRPr="00644430">
        <w:rPr>
          <w:noProof/>
          <w:lang w:val="sr-Latn-CS"/>
        </w:rPr>
        <w:tab/>
      </w:r>
      <w:r w:rsidR="00644430">
        <w:rPr>
          <w:noProof/>
          <w:lang w:val="sr-Latn-CS"/>
        </w:rPr>
        <w:t>Cilj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Akcionog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plana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realizovanje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Strategije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razvoja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elektronskih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komunikacija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Republici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Srbiji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</w:t>
      </w:r>
      <w:r w:rsidR="00FD3201" w:rsidRPr="00644430">
        <w:rPr>
          <w:noProof/>
          <w:lang w:val="sr-Latn-CS"/>
        </w:rPr>
        <w:t xml:space="preserve"> 2010. </w:t>
      </w:r>
      <w:r w:rsidR="00644430">
        <w:rPr>
          <w:noProof/>
          <w:lang w:val="sr-Latn-CS"/>
        </w:rPr>
        <w:t>do</w:t>
      </w:r>
      <w:r w:rsidR="00FD3201" w:rsidRPr="00644430">
        <w:rPr>
          <w:noProof/>
          <w:lang w:val="sr-Latn-CS"/>
        </w:rPr>
        <w:t xml:space="preserve"> 2020. </w:t>
      </w:r>
      <w:r w:rsidR="00644430">
        <w:rPr>
          <w:noProof/>
          <w:lang w:val="sr-Latn-CS"/>
        </w:rPr>
        <w:t>godine</w:t>
      </w:r>
      <w:r w:rsidR="00FD3201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sprovođenjem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planiranih</w:t>
      </w:r>
      <w:r w:rsidR="00627DA2" w:rsidRPr="00644430">
        <w:rPr>
          <w:noProof/>
          <w:lang w:val="sr-Latn-CS"/>
        </w:rPr>
        <w:t xml:space="preserve">  </w:t>
      </w:r>
      <w:r w:rsidR="00644430">
        <w:rPr>
          <w:noProof/>
          <w:lang w:val="sr-Latn-CS"/>
        </w:rPr>
        <w:t>aktivnosti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u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rokovima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određenim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ovim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akcionim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planom</w:t>
      </w:r>
      <w:r w:rsidR="00627DA2" w:rsidRPr="00644430">
        <w:rPr>
          <w:noProof/>
          <w:lang w:val="sr-Latn-CS"/>
        </w:rPr>
        <w:t>.</w:t>
      </w:r>
    </w:p>
    <w:p w:rsidR="00627DA2" w:rsidRPr="00644430" w:rsidRDefault="00627DA2" w:rsidP="00665361">
      <w:pPr>
        <w:tabs>
          <w:tab w:val="left" w:pos="1418"/>
        </w:tabs>
        <w:spacing w:before="100" w:beforeAutospacing="1" w:after="100" w:afterAutospacing="1"/>
        <w:jc w:val="center"/>
        <w:rPr>
          <w:noProof/>
          <w:lang w:val="sr-Latn-CS"/>
        </w:rPr>
      </w:pPr>
      <w:r w:rsidRPr="00644430">
        <w:rPr>
          <w:noProof/>
          <w:lang w:val="sr-Latn-CS"/>
        </w:rPr>
        <w:t xml:space="preserve">I I I. </w:t>
      </w:r>
      <w:r w:rsidR="00644430">
        <w:rPr>
          <w:noProof/>
          <w:lang w:val="sr-Latn-CS"/>
        </w:rPr>
        <w:t>FINANSIRANJE</w:t>
      </w:r>
    </w:p>
    <w:p w:rsidR="00627DA2" w:rsidRPr="00644430" w:rsidRDefault="00665361" w:rsidP="00665361">
      <w:pPr>
        <w:tabs>
          <w:tab w:val="left" w:pos="1418"/>
        </w:tabs>
        <w:spacing w:after="120"/>
        <w:jc w:val="both"/>
        <w:rPr>
          <w:noProof/>
          <w:lang w:val="sr-Latn-CS"/>
        </w:rPr>
      </w:pPr>
      <w:r w:rsidRPr="00644430">
        <w:rPr>
          <w:noProof/>
          <w:lang w:val="sr-Latn-CS"/>
        </w:rPr>
        <w:tab/>
      </w:r>
      <w:r w:rsidR="00644430">
        <w:rPr>
          <w:noProof/>
          <w:lang w:val="sr-Latn-CS"/>
        </w:rPr>
        <w:t>Aktivnosti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obuhvaćene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Akcionim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planom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biće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finansirane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iz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budžeta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Republike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Srbije</w:t>
      </w:r>
      <w:r w:rsidR="00627DA2" w:rsidRPr="00644430">
        <w:rPr>
          <w:noProof/>
          <w:lang w:val="sr-Latn-CS"/>
        </w:rPr>
        <w:t xml:space="preserve">, </w:t>
      </w:r>
      <w:r w:rsidR="00644430">
        <w:rPr>
          <w:noProof/>
          <w:lang w:val="sr-Latn-CS"/>
        </w:rPr>
        <w:t>kao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iz</w:t>
      </w:r>
      <w:r w:rsidR="00627DA2" w:rsidRPr="00644430">
        <w:rPr>
          <w:noProof/>
          <w:lang w:val="sr-Latn-CS"/>
        </w:rPr>
        <w:t xml:space="preserve"> </w:t>
      </w:r>
      <w:r w:rsidR="00644430">
        <w:rPr>
          <w:noProof/>
          <w:lang w:val="sr-Latn-CS"/>
        </w:rPr>
        <w:t>donacija</w:t>
      </w:r>
      <w:r w:rsidR="00627DA2" w:rsidRPr="00644430">
        <w:rPr>
          <w:noProof/>
          <w:lang w:val="sr-Latn-CS"/>
        </w:rPr>
        <w:t>.</w:t>
      </w:r>
    </w:p>
    <w:p w:rsidR="00627DA2" w:rsidRPr="00644430" w:rsidRDefault="00627DA2" w:rsidP="00627DA2">
      <w:pPr>
        <w:spacing w:after="120"/>
        <w:jc w:val="both"/>
        <w:rPr>
          <w:noProof/>
          <w:lang w:val="sr-Latn-CS"/>
        </w:rPr>
      </w:pPr>
    </w:p>
    <w:p w:rsidR="00627DA2" w:rsidRPr="00644430" w:rsidRDefault="00627DA2" w:rsidP="00897BA3">
      <w:pPr>
        <w:jc w:val="center"/>
        <w:rPr>
          <w:noProof/>
          <w:sz w:val="36"/>
          <w:szCs w:val="36"/>
          <w:lang w:val="sr-Latn-CS"/>
        </w:rPr>
        <w:sectPr w:rsidR="00627DA2" w:rsidRPr="00644430" w:rsidSect="006653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990" w:header="720" w:footer="720" w:gutter="0"/>
          <w:cols w:space="720"/>
          <w:titlePg/>
          <w:docGrid w:linePitch="360"/>
        </w:sectPr>
      </w:pPr>
    </w:p>
    <w:p w:rsidR="00897BA3" w:rsidRPr="00644430" w:rsidRDefault="00897BA3" w:rsidP="00897BA3">
      <w:pPr>
        <w:jc w:val="center"/>
        <w:rPr>
          <w:noProof/>
          <w:sz w:val="36"/>
          <w:szCs w:val="36"/>
          <w:lang w:val="sr-Latn-CS"/>
        </w:rPr>
      </w:pPr>
    </w:p>
    <w:p w:rsidR="00897BA3" w:rsidRPr="00644430" w:rsidRDefault="00897BA3" w:rsidP="00897BA3">
      <w:pPr>
        <w:rPr>
          <w:noProof/>
          <w:sz w:val="36"/>
          <w:szCs w:val="36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24"/>
        <w:gridCol w:w="2435"/>
        <w:gridCol w:w="1003"/>
        <w:gridCol w:w="1001"/>
        <w:gridCol w:w="1718"/>
        <w:gridCol w:w="1434"/>
        <w:gridCol w:w="1585"/>
        <w:gridCol w:w="2285"/>
        <w:gridCol w:w="2288"/>
      </w:tblGrid>
      <w:tr w:rsidR="00B96C8D" w:rsidRPr="00644430" w:rsidTr="00E6630E">
        <w:trPr>
          <w:cantSplit/>
          <w:trHeight w:val="255"/>
          <w:tblHeader/>
          <w:jc w:val="center"/>
        </w:trPr>
        <w:tc>
          <w:tcPr>
            <w:tcW w:w="1009" w:type="pct"/>
            <w:gridSpan w:val="2"/>
            <w:vMerge w:val="restart"/>
            <w:shd w:val="clear" w:color="000000" w:fill="99CCFF"/>
            <w:vAlign w:val="center"/>
          </w:tcPr>
          <w:p w:rsidR="00832022" w:rsidRPr="00644430" w:rsidRDefault="00644430" w:rsidP="00F308B1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noProof/>
                <w:sz w:val="18"/>
                <w:szCs w:val="18"/>
                <w:lang w:val="sr-Latn-CS"/>
              </w:rPr>
              <w:t>Opis</w:t>
            </w:r>
            <w:r w:rsidR="00832022" w:rsidRPr="00644430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aktivnosti</w:t>
            </w:r>
          </w:p>
        </w:tc>
        <w:tc>
          <w:tcPr>
            <w:tcW w:w="707" w:type="pct"/>
            <w:gridSpan w:val="2"/>
            <w:shd w:val="clear" w:color="000000" w:fill="99CCFF"/>
            <w:vAlign w:val="center"/>
          </w:tcPr>
          <w:p w:rsidR="00832022" w:rsidRPr="00644430" w:rsidRDefault="00644430" w:rsidP="002F64F0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Rok</w:t>
            </w:r>
            <w:r w:rsidR="00832022" w:rsidRPr="00644430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za</w:t>
            </w:r>
          </w:p>
          <w:p w:rsidR="00832022" w:rsidRPr="00644430" w:rsidRDefault="00644430" w:rsidP="002F64F0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realizaciju</w:t>
            </w:r>
          </w:p>
        </w:tc>
        <w:tc>
          <w:tcPr>
            <w:tcW w:w="606" w:type="pct"/>
            <w:vMerge w:val="restart"/>
            <w:shd w:val="clear" w:color="000000" w:fill="99CCFF"/>
            <w:vAlign w:val="center"/>
          </w:tcPr>
          <w:p w:rsidR="00832022" w:rsidRPr="00644430" w:rsidRDefault="00644430" w:rsidP="0032356E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Pokazatelj</w:t>
            </w:r>
          </w:p>
        </w:tc>
        <w:tc>
          <w:tcPr>
            <w:tcW w:w="1065" w:type="pct"/>
            <w:gridSpan w:val="2"/>
            <w:shd w:val="clear" w:color="000000" w:fill="99CCFF"/>
            <w:vAlign w:val="center"/>
          </w:tcPr>
          <w:p w:rsidR="00832022" w:rsidRPr="00644430" w:rsidRDefault="00644430" w:rsidP="002F64F0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Finansijska</w:t>
            </w:r>
            <w:r w:rsidR="00832022" w:rsidRPr="00644430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sredstva</w:t>
            </w:r>
          </w:p>
        </w:tc>
        <w:tc>
          <w:tcPr>
            <w:tcW w:w="806" w:type="pct"/>
            <w:vMerge w:val="restart"/>
            <w:shd w:val="clear" w:color="000000" w:fill="99CCFF"/>
            <w:vAlign w:val="center"/>
          </w:tcPr>
          <w:p w:rsidR="00832022" w:rsidRPr="00644430" w:rsidRDefault="00644430" w:rsidP="002F64F0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Nosilac</w:t>
            </w:r>
            <w:r w:rsidR="00832022" w:rsidRPr="00644430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aktivnosti</w:t>
            </w:r>
          </w:p>
        </w:tc>
        <w:tc>
          <w:tcPr>
            <w:tcW w:w="807" w:type="pct"/>
            <w:vMerge w:val="restart"/>
            <w:shd w:val="clear" w:color="000000" w:fill="99CCFF"/>
            <w:vAlign w:val="center"/>
          </w:tcPr>
          <w:p w:rsidR="00832022" w:rsidRPr="00644430" w:rsidRDefault="00644430" w:rsidP="002F64F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Partneri</w:t>
            </w:r>
          </w:p>
        </w:tc>
      </w:tr>
      <w:tr w:rsidR="00B96C8D" w:rsidRPr="00644430" w:rsidTr="00BA0F61">
        <w:trPr>
          <w:cantSplit/>
          <w:trHeight w:val="315"/>
          <w:tblHeader/>
          <w:jc w:val="center"/>
        </w:trPr>
        <w:tc>
          <w:tcPr>
            <w:tcW w:w="1009" w:type="pct"/>
            <w:gridSpan w:val="2"/>
            <w:vMerge/>
            <w:vAlign w:val="center"/>
          </w:tcPr>
          <w:p w:rsidR="00832022" w:rsidRPr="00644430" w:rsidRDefault="00832022" w:rsidP="002F64F0">
            <w:pP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54" w:type="pct"/>
            <w:shd w:val="clear" w:color="auto" w:fill="B8CCE4"/>
            <w:vAlign w:val="bottom"/>
          </w:tcPr>
          <w:p w:rsidR="00832022" w:rsidRPr="00644430" w:rsidRDefault="00832022" w:rsidP="002F64F0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644430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353" w:type="pct"/>
            <w:shd w:val="clear" w:color="auto" w:fill="B8CCE4"/>
            <w:vAlign w:val="bottom"/>
          </w:tcPr>
          <w:p w:rsidR="00832022" w:rsidRPr="00644430" w:rsidRDefault="00832022" w:rsidP="002F64F0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644430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2018</w:t>
            </w:r>
          </w:p>
        </w:tc>
        <w:tc>
          <w:tcPr>
            <w:tcW w:w="606" w:type="pct"/>
            <w:vMerge/>
            <w:vAlign w:val="center"/>
          </w:tcPr>
          <w:p w:rsidR="00832022" w:rsidRPr="00644430" w:rsidRDefault="00832022" w:rsidP="002F64F0">
            <w:pP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506" w:type="pct"/>
            <w:shd w:val="clear" w:color="000000" w:fill="99CCFF"/>
            <w:vAlign w:val="center"/>
          </w:tcPr>
          <w:p w:rsidR="00832022" w:rsidRPr="00644430" w:rsidRDefault="00644430" w:rsidP="002F64F0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Budžet</w:t>
            </w:r>
            <w:r w:rsidR="00832022" w:rsidRPr="00644430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Republike</w:t>
            </w:r>
            <w:r w:rsidR="00FD3201" w:rsidRPr="00644430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Srbije</w:t>
            </w:r>
          </w:p>
        </w:tc>
        <w:tc>
          <w:tcPr>
            <w:tcW w:w="559" w:type="pct"/>
            <w:shd w:val="clear" w:color="000000" w:fill="99CCFF"/>
            <w:vAlign w:val="center"/>
          </w:tcPr>
          <w:p w:rsidR="00832022" w:rsidRPr="00644430" w:rsidRDefault="00644430" w:rsidP="002F64F0">
            <w:pPr>
              <w:jc w:val="center"/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Donacije</w:t>
            </w:r>
          </w:p>
        </w:tc>
        <w:tc>
          <w:tcPr>
            <w:tcW w:w="806" w:type="pct"/>
            <w:vMerge/>
            <w:vAlign w:val="center"/>
          </w:tcPr>
          <w:p w:rsidR="00832022" w:rsidRPr="00644430" w:rsidRDefault="00832022" w:rsidP="002F64F0">
            <w:pP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807" w:type="pct"/>
            <w:vMerge/>
            <w:vAlign w:val="center"/>
          </w:tcPr>
          <w:p w:rsidR="00832022" w:rsidRPr="00644430" w:rsidRDefault="00832022" w:rsidP="002F64F0">
            <w:pPr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</w:tr>
      <w:tr w:rsidR="001B0AEB" w:rsidRPr="00644430" w:rsidTr="00BA0F61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832022" w:rsidRPr="00644430" w:rsidRDefault="00832022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859" w:type="pct"/>
            <w:shd w:val="clear" w:color="auto" w:fill="auto"/>
          </w:tcPr>
          <w:p w:rsidR="00832022" w:rsidRPr="00644430" w:rsidRDefault="00644430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Izrada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pregleda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telekomunikacionih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kapaciteta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javnoj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svojini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svojini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javnih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preduzeća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uključujući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dugoročno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zakupljene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kapacitete</w:t>
            </w:r>
          </w:p>
        </w:tc>
        <w:tc>
          <w:tcPr>
            <w:tcW w:w="354" w:type="pct"/>
          </w:tcPr>
          <w:p w:rsidR="00832022" w:rsidRPr="00644430" w:rsidRDefault="00751D06" w:rsidP="002F64F0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2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.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</w:p>
        </w:tc>
        <w:tc>
          <w:tcPr>
            <w:tcW w:w="353" w:type="pct"/>
            <w:shd w:val="clear" w:color="auto" w:fill="auto"/>
          </w:tcPr>
          <w:p w:rsidR="00832022" w:rsidRPr="00644430" w:rsidRDefault="00832022" w:rsidP="002F64F0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606" w:type="pct"/>
            <w:shd w:val="clear" w:color="auto" w:fill="auto"/>
          </w:tcPr>
          <w:p w:rsidR="00832022" w:rsidRPr="00644430" w:rsidRDefault="00644430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Izrađen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pregled</w:t>
            </w:r>
          </w:p>
          <w:p w:rsidR="00832022" w:rsidRPr="00644430" w:rsidRDefault="00832022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06" w:type="pct"/>
            <w:shd w:val="clear" w:color="auto" w:fill="auto"/>
          </w:tcPr>
          <w:p w:rsidR="00832022" w:rsidRPr="00644430" w:rsidRDefault="00D8627B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559" w:type="pct"/>
            <w:shd w:val="clear" w:color="auto" w:fill="auto"/>
          </w:tcPr>
          <w:p w:rsidR="00832022" w:rsidRPr="00644430" w:rsidRDefault="00015D21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806" w:type="pct"/>
            <w:shd w:val="clear" w:color="auto" w:fill="auto"/>
          </w:tcPr>
          <w:p w:rsidR="00832022" w:rsidRPr="00644430" w:rsidRDefault="00644430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  <w:tc>
          <w:tcPr>
            <w:tcW w:w="807" w:type="pct"/>
            <w:shd w:val="clear" w:color="auto" w:fill="auto"/>
          </w:tcPr>
          <w:p w:rsidR="00832022" w:rsidRPr="00644430" w:rsidRDefault="00644430" w:rsidP="002F64F0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Regulatorna</w:t>
            </w:r>
            <w:r w:rsidR="00D8627B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agencija</w:t>
            </w:r>
            <w:r w:rsidR="00D8627B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za</w:t>
            </w:r>
            <w:r w:rsidR="00D8627B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elektronske</w:t>
            </w:r>
            <w:r w:rsidR="00D8627B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komunikacije</w:t>
            </w:r>
            <w:r w:rsidR="00D8627B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D8627B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poštanske</w:t>
            </w:r>
            <w:r w:rsidR="00D8627B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usluge</w:t>
            </w:r>
            <w:r w:rsidR="00D8627B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imaoci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infrastrukture</w:t>
            </w:r>
          </w:p>
        </w:tc>
      </w:tr>
      <w:tr w:rsidR="001B0AEB" w:rsidRPr="00644430" w:rsidTr="00BA0F61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859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Analiza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potreba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telekomunikacionog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povezivanja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objekata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odnosno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prostorija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koje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koriste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državni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organi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organi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teritorijalne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autonomije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organi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jedinica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lokalne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samouprave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kao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javna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preduzeća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ustanove</w:t>
            </w:r>
            <w:r w:rsidR="00401BD0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čiji</w:t>
            </w:r>
            <w:r w:rsidR="00401BD0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su</w:t>
            </w:r>
            <w:r w:rsidR="00401BD0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osnivači</w:t>
            </w:r>
            <w:r w:rsidR="00401BD0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ti</w:t>
            </w:r>
            <w:r w:rsidR="00401BD0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organi</w:t>
            </w:r>
          </w:p>
        </w:tc>
        <w:tc>
          <w:tcPr>
            <w:tcW w:w="354" w:type="pct"/>
          </w:tcPr>
          <w:p w:rsidR="00832022" w:rsidRPr="00644430" w:rsidRDefault="00877A09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2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.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</w:p>
        </w:tc>
        <w:tc>
          <w:tcPr>
            <w:tcW w:w="353" w:type="pct"/>
            <w:shd w:val="clear" w:color="auto" w:fill="auto"/>
          </w:tcPr>
          <w:p w:rsidR="00832022" w:rsidRPr="00644430" w:rsidRDefault="00832022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6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Izrađena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analiza</w:t>
            </w: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506" w:type="pct"/>
            <w:shd w:val="clear" w:color="auto" w:fill="auto"/>
          </w:tcPr>
          <w:p w:rsidR="00832022" w:rsidRPr="00644430" w:rsidRDefault="00015D21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559" w:type="pct"/>
            <w:shd w:val="clear" w:color="auto" w:fill="auto"/>
          </w:tcPr>
          <w:p w:rsidR="00832022" w:rsidRPr="00644430" w:rsidRDefault="001C5AB7" w:rsidP="00584CD6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8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  <w:tc>
          <w:tcPr>
            <w:tcW w:w="807" w:type="pct"/>
            <w:shd w:val="clear" w:color="auto" w:fill="auto"/>
          </w:tcPr>
          <w:p w:rsidR="00832022" w:rsidRPr="00644430" w:rsidRDefault="00644430" w:rsidP="00BC2C68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022FC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državne</w:t>
            </w:r>
            <w:r w:rsidR="00022FC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uprave</w:t>
            </w:r>
            <w:r w:rsidR="00022FC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022FC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lokalne</w:t>
            </w:r>
            <w:r w:rsidR="00022FC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samouprave</w:t>
            </w:r>
          </w:p>
        </w:tc>
      </w:tr>
      <w:tr w:rsidR="001B0AEB" w:rsidRPr="00644430" w:rsidTr="00BA0F61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859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Izrada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modela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konsolidacije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nivou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institucionalnih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odnosa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načina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finansiranja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uključujući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ulogu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entiteta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koji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upravlja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nacionalnom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telekomunikacionom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mrežom</w:t>
            </w:r>
          </w:p>
        </w:tc>
        <w:tc>
          <w:tcPr>
            <w:tcW w:w="354" w:type="pct"/>
          </w:tcPr>
          <w:p w:rsidR="00832022" w:rsidRPr="00644430" w:rsidRDefault="00877A09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3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.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:rsidR="00832022" w:rsidRPr="00644430" w:rsidRDefault="00832022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6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Izrađen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model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konsolidacije</w:t>
            </w: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506" w:type="pct"/>
            <w:shd w:val="clear" w:color="auto" w:fill="auto"/>
          </w:tcPr>
          <w:p w:rsidR="00832022" w:rsidRPr="00644430" w:rsidRDefault="00015D21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559" w:type="pct"/>
            <w:shd w:val="clear" w:color="auto" w:fill="auto"/>
          </w:tcPr>
          <w:p w:rsidR="00832022" w:rsidRPr="00644430" w:rsidRDefault="00015D21" w:rsidP="008442BC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8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  <w:tc>
          <w:tcPr>
            <w:tcW w:w="807" w:type="pct"/>
            <w:shd w:val="clear" w:color="auto" w:fill="auto"/>
          </w:tcPr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AA374A" w:rsidRPr="00644430" w:rsidRDefault="00AA374A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</w:tr>
      <w:tr w:rsidR="001B0AEB" w:rsidRPr="00644430" w:rsidTr="00BA0F61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lastRenderedPageBreak/>
              <w:t>4.</w:t>
            </w:r>
          </w:p>
        </w:tc>
        <w:tc>
          <w:tcPr>
            <w:tcW w:w="859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Izrada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studije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izvodljivosti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opravdanosti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uspostavljanja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entiteta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koji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bi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upravljao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nacionalnom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telekomunikacionom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mrežom</w:t>
            </w:r>
          </w:p>
        </w:tc>
        <w:tc>
          <w:tcPr>
            <w:tcW w:w="354" w:type="pct"/>
          </w:tcPr>
          <w:p w:rsidR="00832022" w:rsidRPr="00644430" w:rsidRDefault="00877A09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3.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:rsidR="00832022" w:rsidRPr="00644430" w:rsidRDefault="00832022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6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Izrađena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studija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izvodljivosti</w:t>
            </w: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506" w:type="pct"/>
            <w:shd w:val="clear" w:color="auto" w:fill="auto"/>
          </w:tcPr>
          <w:p w:rsidR="00832022" w:rsidRPr="00644430" w:rsidRDefault="00D6114D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559" w:type="pct"/>
            <w:shd w:val="clear" w:color="auto" w:fill="auto"/>
          </w:tcPr>
          <w:p w:rsidR="00832022" w:rsidRPr="00644430" w:rsidRDefault="00D6114D" w:rsidP="008442BC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8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  <w:tc>
          <w:tcPr>
            <w:tcW w:w="807" w:type="pct"/>
            <w:shd w:val="clear" w:color="auto" w:fill="auto"/>
          </w:tcPr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</w:tr>
      <w:tr w:rsidR="001B0AEB" w:rsidRPr="00644430" w:rsidTr="00BA0F61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859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Analiza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mogućih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modela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podsticaja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razvoja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širokopojasne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infrastrukture</w:t>
            </w:r>
          </w:p>
        </w:tc>
        <w:tc>
          <w:tcPr>
            <w:tcW w:w="354" w:type="pct"/>
          </w:tcPr>
          <w:p w:rsidR="00832022" w:rsidRPr="00644430" w:rsidRDefault="00832022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3.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:rsidR="00832022" w:rsidRPr="00644430" w:rsidRDefault="00832022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6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Izrađena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analiza</w:t>
            </w: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506" w:type="pct"/>
            <w:shd w:val="clear" w:color="auto" w:fill="auto"/>
          </w:tcPr>
          <w:p w:rsidR="00832022" w:rsidRPr="00644430" w:rsidRDefault="00AA374A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559" w:type="pct"/>
            <w:shd w:val="clear" w:color="auto" w:fill="auto"/>
          </w:tcPr>
          <w:p w:rsidR="00832022" w:rsidRPr="00644430" w:rsidRDefault="00644430" w:rsidP="00584CD6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Sredstava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obezbeđena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od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strane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Evropske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banke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za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obnovu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razvoj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EBRD</w:t>
            </w:r>
            <w:r w:rsidR="003F5A4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  <w:tc>
          <w:tcPr>
            <w:tcW w:w="807" w:type="pct"/>
            <w:shd w:val="clear" w:color="auto" w:fill="auto"/>
          </w:tcPr>
          <w:p w:rsidR="00832022" w:rsidRPr="00644430" w:rsidRDefault="00644430" w:rsidP="00BC2C68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AA374A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državne</w:t>
            </w:r>
            <w:r w:rsidR="00AA374A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uprave</w:t>
            </w:r>
            <w:r w:rsidR="00AA374A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AA374A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lokalne</w:t>
            </w:r>
            <w:r w:rsidR="00AA374A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samouprave</w:t>
            </w:r>
          </w:p>
        </w:tc>
      </w:tr>
      <w:tr w:rsidR="001B0AEB" w:rsidRPr="00644430" w:rsidTr="00BA0F61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859" w:type="pct"/>
            <w:shd w:val="clear" w:color="auto" w:fill="auto"/>
          </w:tcPr>
          <w:p w:rsidR="00832022" w:rsidRPr="00644430" w:rsidRDefault="00644430" w:rsidP="000318CE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Priprema</w:t>
            </w:r>
            <w:r w:rsidR="000318C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zakon</w:t>
            </w:r>
            <w:r w:rsidR="000318C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kojim</w:t>
            </w:r>
            <w:r w:rsidR="000318C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se</w:t>
            </w:r>
            <w:r w:rsidR="000318C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uređuje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širokopojasna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komunikaciona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infrastruktura</w:t>
            </w:r>
          </w:p>
        </w:tc>
        <w:tc>
          <w:tcPr>
            <w:tcW w:w="354" w:type="pct"/>
          </w:tcPr>
          <w:p w:rsidR="00832022" w:rsidRPr="00644430" w:rsidRDefault="00832022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3.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:rsidR="00832022" w:rsidRPr="00644430" w:rsidRDefault="00832022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6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Zakon</w:t>
            </w:r>
            <w:r w:rsidR="000318C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usvojen</w:t>
            </w:r>
            <w:r w:rsidR="000318C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</w:t>
            </w:r>
            <w:r w:rsidR="000318C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Narodnoj</w:t>
            </w:r>
            <w:r w:rsidR="000318C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skupštin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</w:p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506" w:type="pct"/>
            <w:shd w:val="clear" w:color="auto" w:fill="auto"/>
          </w:tcPr>
          <w:p w:rsidR="00832022" w:rsidRPr="00644430" w:rsidRDefault="00015D21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559" w:type="pct"/>
            <w:shd w:val="clear" w:color="auto" w:fill="auto"/>
          </w:tcPr>
          <w:p w:rsidR="00832022" w:rsidRPr="00644430" w:rsidRDefault="00015D21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806" w:type="pct"/>
            <w:shd w:val="clear" w:color="auto" w:fill="auto"/>
          </w:tcPr>
          <w:p w:rsidR="00832022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32022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  <w:tc>
          <w:tcPr>
            <w:tcW w:w="807" w:type="pct"/>
            <w:shd w:val="clear" w:color="auto" w:fill="auto"/>
          </w:tcPr>
          <w:p w:rsidR="00832022" w:rsidRPr="00644430" w:rsidRDefault="00832022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</w:tr>
      <w:tr w:rsidR="00BA0F61" w:rsidRPr="00644430" w:rsidTr="00BA0F61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BA0F61" w:rsidRPr="00644430" w:rsidRDefault="00BA0F61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859" w:type="pct"/>
            <w:shd w:val="clear" w:color="auto" w:fill="auto"/>
          </w:tcPr>
          <w:p w:rsidR="00BA0F61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Sprovođenje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tehničkih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aktivnosti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osnivanju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Nacionalne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telekomunikacione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mreže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NTM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54" w:type="pct"/>
          </w:tcPr>
          <w:p w:rsidR="00BA0F61" w:rsidRPr="00644430" w:rsidRDefault="00BA0F61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4.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:rsidR="00BA0F61" w:rsidRPr="00644430" w:rsidRDefault="00BA0F61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606" w:type="pct"/>
            <w:shd w:val="clear" w:color="auto" w:fill="auto"/>
          </w:tcPr>
          <w:p w:rsidR="00BA0F61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Osnovan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NTM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/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imenovano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rukovodstvo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BA0F61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Informacija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budžetu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potrebnom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za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sprovođenje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ove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aktivnosti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biće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poznata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nakon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sprovođenja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aktivnosti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navedenih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tač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.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1.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do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4.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ovog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akcionog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plana</w:t>
            </w:r>
            <w:r w:rsidR="00BA0F61" w:rsidRPr="00644430" w:rsidDel="00BA0F61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806" w:type="pct"/>
            <w:shd w:val="clear" w:color="auto" w:fill="auto"/>
          </w:tcPr>
          <w:p w:rsidR="00BA0F61" w:rsidRPr="00644430" w:rsidRDefault="00644430" w:rsidP="00897C55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BA0F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897C55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897C55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897C55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  <w:tc>
          <w:tcPr>
            <w:tcW w:w="807" w:type="pct"/>
            <w:shd w:val="clear" w:color="auto" w:fill="auto"/>
          </w:tcPr>
          <w:p w:rsidR="00BA0F61" w:rsidRPr="00644430" w:rsidRDefault="00BA0F61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</w:tr>
      <w:tr w:rsidR="00E6630E" w:rsidRPr="00644430" w:rsidTr="00BA0F61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E6630E" w:rsidRPr="00644430" w:rsidRDefault="00E6630E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lastRenderedPageBreak/>
              <w:t>8.</w:t>
            </w:r>
          </w:p>
        </w:tc>
        <w:tc>
          <w:tcPr>
            <w:tcW w:w="859" w:type="pct"/>
            <w:shd w:val="clear" w:color="auto" w:fill="auto"/>
          </w:tcPr>
          <w:p w:rsidR="00E6630E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Uspostavljanje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punog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opsega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operacija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NTM</w:t>
            </w:r>
          </w:p>
        </w:tc>
        <w:tc>
          <w:tcPr>
            <w:tcW w:w="354" w:type="pct"/>
          </w:tcPr>
          <w:p w:rsidR="00E6630E" w:rsidRPr="00644430" w:rsidRDefault="00E6630E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353" w:type="pct"/>
            <w:shd w:val="clear" w:color="auto" w:fill="auto"/>
          </w:tcPr>
          <w:p w:rsidR="00E6630E" w:rsidRPr="00644430" w:rsidRDefault="00E6630E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4.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E6630E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NTM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otpočeo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sa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pružanjem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usluga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E6630E" w:rsidRPr="00644430" w:rsidRDefault="00644430" w:rsidP="00E6630E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Informacija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budžetu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potrebnom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za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sprovođenje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ove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aktivnosti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biće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poznata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nakon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sprovođenja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aktivnosti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navedenih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tač</w:t>
            </w:r>
            <w:r w:rsidR="00665361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.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1.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do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4.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ovog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akcionog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plana</w:t>
            </w:r>
          </w:p>
        </w:tc>
        <w:tc>
          <w:tcPr>
            <w:tcW w:w="806" w:type="pct"/>
            <w:shd w:val="clear" w:color="auto" w:fill="auto"/>
          </w:tcPr>
          <w:p w:rsidR="00E6630E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NTM</w:t>
            </w:r>
          </w:p>
        </w:tc>
        <w:tc>
          <w:tcPr>
            <w:tcW w:w="807" w:type="pct"/>
            <w:shd w:val="clear" w:color="auto" w:fill="auto"/>
          </w:tcPr>
          <w:p w:rsidR="00E6630E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E6630E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</w:tr>
      <w:tr w:rsidR="001B0AEB" w:rsidRPr="00644430" w:rsidTr="00E6630E">
        <w:trPr>
          <w:cantSplit/>
          <w:trHeight w:val="874"/>
          <w:jc w:val="center"/>
        </w:trPr>
        <w:tc>
          <w:tcPr>
            <w:tcW w:w="150" w:type="pct"/>
            <w:shd w:val="clear" w:color="auto" w:fill="auto"/>
          </w:tcPr>
          <w:p w:rsidR="00FB1253" w:rsidRPr="00644430" w:rsidRDefault="00FB1253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859" w:type="pct"/>
            <w:shd w:val="clear" w:color="auto" w:fill="auto"/>
          </w:tcPr>
          <w:p w:rsidR="00FB1253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Sprovođenje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mera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podsticaja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razvoja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širokopojasne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infrastrukture</w:t>
            </w:r>
          </w:p>
        </w:tc>
        <w:tc>
          <w:tcPr>
            <w:tcW w:w="354" w:type="pct"/>
          </w:tcPr>
          <w:p w:rsidR="00FB1253" w:rsidRPr="00644430" w:rsidRDefault="00FB1253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  <w:tc>
          <w:tcPr>
            <w:tcW w:w="353" w:type="pct"/>
            <w:shd w:val="clear" w:color="auto" w:fill="auto"/>
          </w:tcPr>
          <w:p w:rsidR="00FB1253" w:rsidRPr="00644430" w:rsidRDefault="00FC1761" w:rsidP="00832022">
            <w:pPr>
              <w:jc w:val="center"/>
              <w:rPr>
                <w:rFonts w:asciiTheme="majorHAnsi" w:hAnsiTheme="majorHAnsi" w:cstheme="majorHAnsi"/>
                <w:noProof/>
                <w:lang w:val="sr-Latn-CS"/>
              </w:rPr>
            </w:pP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1. - 4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.</w:t>
            </w:r>
            <w:r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 w:rsid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kvartal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2018.</w:t>
            </w:r>
          </w:p>
        </w:tc>
        <w:tc>
          <w:tcPr>
            <w:tcW w:w="606" w:type="pct"/>
            <w:shd w:val="clear" w:color="auto" w:fill="auto"/>
          </w:tcPr>
          <w:p w:rsidR="00FB1253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Procenat</w:t>
            </w:r>
            <w:r w:rsidR="00877A09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domaćinstava</w:t>
            </w:r>
            <w:r w:rsidR="00877A09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koja</w:t>
            </w:r>
            <w:r w:rsidR="00877A09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imaju</w:t>
            </w:r>
            <w:r w:rsidR="00877A09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širokopojasni</w:t>
            </w:r>
            <w:r w:rsidR="00877A09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pristup</w:t>
            </w:r>
            <w:r w:rsidR="00877A09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internetu</w:t>
            </w:r>
            <w:r w:rsidR="00877A09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– 70%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FB1253" w:rsidRPr="00644430" w:rsidRDefault="00644430" w:rsidP="00FB1253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Informacija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budžetu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potrebnom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za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sprovođenje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mera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podsticaja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razvoja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širokopojasne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infrastrukture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biće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određena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u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skladu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stavovima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Analize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mogućih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modela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podsticaja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razvoja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širokopojasne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infrastrukture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tačka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5.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Akcionog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plana</w:t>
            </w:r>
            <w:r w:rsidR="00D6114D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FB1253" w:rsidRPr="00644430" w:rsidRDefault="00644430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Ministarstvo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trgovine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turizma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i</w:t>
            </w:r>
            <w:r w:rsidR="00FB1253" w:rsidRPr="00644430"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sr-Latn-CS"/>
              </w:rPr>
              <w:t>telekomunikacija</w:t>
            </w:r>
          </w:p>
        </w:tc>
        <w:tc>
          <w:tcPr>
            <w:tcW w:w="807" w:type="pct"/>
            <w:shd w:val="clear" w:color="auto" w:fill="auto"/>
          </w:tcPr>
          <w:p w:rsidR="00FB1253" w:rsidRPr="00644430" w:rsidRDefault="00FB1253" w:rsidP="00832022">
            <w:pPr>
              <w:rPr>
                <w:rFonts w:asciiTheme="majorHAnsi" w:hAnsiTheme="majorHAnsi" w:cstheme="majorHAnsi"/>
                <w:noProof/>
                <w:lang w:val="sr-Latn-CS"/>
              </w:rPr>
            </w:pPr>
          </w:p>
        </w:tc>
      </w:tr>
    </w:tbl>
    <w:p w:rsidR="00E05B56" w:rsidRPr="00644430" w:rsidRDefault="00E05B56" w:rsidP="00C665C5">
      <w:pPr>
        <w:rPr>
          <w:noProof/>
          <w:lang w:val="sr-Latn-CS"/>
        </w:rPr>
      </w:pPr>
    </w:p>
    <w:sectPr w:rsidR="00E05B56" w:rsidRPr="00644430" w:rsidSect="00665361">
      <w:pgSz w:w="16839" w:h="11907" w:orient="landscape" w:code="9"/>
      <w:pgMar w:top="990" w:right="1418" w:bottom="1418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10" w:rsidRDefault="00A21010" w:rsidP="00A24AE5">
      <w:r>
        <w:separator/>
      </w:r>
    </w:p>
  </w:endnote>
  <w:endnote w:type="continuationSeparator" w:id="0">
    <w:p w:rsidR="00A21010" w:rsidRDefault="00A21010" w:rsidP="00A2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30" w:rsidRDefault="00644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320655446"/>
      <w:docPartObj>
        <w:docPartGallery w:val="Page Numbers (Bottom of Page)"/>
        <w:docPartUnique/>
      </w:docPartObj>
    </w:sdtPr>
    <w:sdtContent>
      <w:p w:rsidR="00665361" w:rsidRPr="00644430" w:rsidRDefault="003956FB">
        <w:pPr>
          <w:pStyle w:val="Footer"/>
          <w:jc w:val="right"/>
          <w:rPr>
            <w:noProof/>
            <w:lang w:val="sr-Latn-CS"/>
          </w:rPr>
        </w:pPr>
        <w:r w:rsidRPr="00644430">
          <w:rPr>
            <w:noProof/>
            <w:lang w:val="sr-Latn-CS"/>
          </w:rPr>
          <w:fldChar w:fldCharType="begin"/>
        </w:r>
        <w:r w:rsidR="00665361" w:rsidRPr="00644430">
          <w:rPr>
            <w:noProof/>
            <w:lang w:val="sr-Latn-CS"/>
          </w:rPr>
          <w:instrText xml:space="preserve"> PAGE   \* MERGEFORMAT </w:instrText>
        </w:r>
        <w:r w:rsidRPr="00644430">
          <w:rPr>
            <w:noProof/>
            <w:lang w:val="sr-Latn-CS"/>
          </w:rPr>
          <w:fldChar w:fldCharType="separate"/>
        </w:r>
        <w:r w:rsidR="00644430">
          <w:rPr>
            <w:noProof/>
            <w:lang w:val="sr-Latn-CS"/>
          </w:rPr>
          <w:t>2</w:t>
        </w:r>
        <w:r w:rsidRPr="00644430">
          <w:rPr>
            <w:noProof/>
            <w:lang w:val="sr-Latn-CS"/>
          </w:rPr>
          <w:fldChar w:fldCharType="end"/>
        </w:r>
      </w:p>
    </w:sdtContent>
  </w:sdt>
  <w:p w:rsidR="00665361" w:rsidRPr="00644430" w:rsidRDefault="00665361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30" w:rsidRDefault="00644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10" w:rsidRDefault="00A21010" w:rsidP="00A24AE5">
      <w:r>
        <w:separator/>
      </w:r>
    </w:p>
  </w:footnote>
  <w:footnote w:type="continuationSeparator" w:id="0">
    <w:p w:rsidR="00A21010" w:rsidRDefault="00A21010" w:rsidP="00A2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30" w:rsidRDefault="006444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7B" w:rsidRPr="00644430" w:rsidRDefault="00644430" w:rsidP="00516E31">
    <w:pPr>
      <w:pStyle w:val="Header"/>
      <w:spacing w:after="100" w:afterAutospacing="1"/>
      <w:jc w:val="right"/>
      <w:rPr>
        <w:noProof/>
        <w:color w:val="FFFFFF" w:themeColor="background1"/>
        <w:u w:val="single"/>
        <w:lang w:val="sr-Latn-CS"/>
      </w:rPr>
    </w:pPr>
    <w:r w:rsidRPr="00644430">
      <w:rPr>
        <w:noProof/>
        <w:color w:val="FFFFFF" w:themeColor="background1"/>
        <w:u w:val="single"/>
        <w:lang w:val="sr-Latn-CS"/>
      </w:rPr>
      <w:t>RADNA</w:t>
    </w:r>
    <w:r w:rsidR="00BC067B" w:rsidRPr="00644430">
      <w:rPr>
        <w:noProof/>
        <w:color w:val="FFFFFF" w:themeColor="background1"/>
        <w:u w:val="single"/>
        <w:lang w:val="sr-Latn-CS"/>
      </w:rPr>
      <w:t xml:space="preserve"> </w:t>
    </w:r>
    <w:r w:rsidRPr="00644430">
      <w:rPr>
        <w:noProof/>
        <w:color w:val="FFFFFF" w:themeColor="background1"/>
        <w:u w:val="single"/>
        <w:lang w:val="sr-Latn-CS"/>
      </w:rPr>
      <w:t>VERZIJA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30" w:rsidRDefault="00644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3B4"/>
    <w:multiLevelType w:val="hybridMultilevel"/>
    <w:tmpl w:val="4C26C5E4"/>
    <w:lvl w:ilvl="0" w:tplc="97368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7F80"/>
    <w:multiLevelType w:val="hybridMultilevel"/>
    <w:tmpl w:val="3590289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4739"/>
    <w:multiLevelType w:val="hybridMultilevel"/>
    <w:tmpl w:val="0CC06A7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8439F"/>
    <w:multiLevelType w:val="hybridMultilevel"/>
    <w:tmpl w:val="CA9A282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AF303B"/>
    <w:multiLevelType w:val="hybridMultilevel"/>
    <w:tmpl w:val="31CA77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F56"/>
    <w:multiLevelType w:val="hybridMultilevel"/>
    <w:tmpl w:val="9E18B09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840BD2"/>
    <w:multiLevelType w:val="hybridMultilevel"/>
    <w:tmpl w:val="65A24F98"/>
    <w:lvl w:ilvl="0" w:tplc="1EAAE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76121"/>
    <w:multiLevelType w:val="hybridMultilevel"/>
    <w:tmpl w:val="152472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33CA"/>
    <w:multiLevelType w:val="hybridMultilevel"/>
    <w:tmpl w:val="73A2ACA2"/>
    <w:lvl w:ilvl="0" w:tplc="DC703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474E9"/>
    <w:multiLevelType w:val="hybridMultilevel"/>
    <w:tmpl w:val="A6CE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96103"/>
    <w:multiLevelType w:val="hybridMultilevel"/>
    <w:tmpl w:val="D93E99A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CE4B95"/>
    <w:multiLevelType w:val="hybridMultilevel"/>
    <w:tmpl w:val="3F7A8B9C"/>
    <w:lvl w:ilvl="0" w:tplc="D74AA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72F4"/>
    <w:multiLevelType w:val="hybridMultilevel"/>
    <w:tmpl w:val="9C68A9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>
      <w:start w:val="1"/>
      <w:numFmt w:val="lowerLetter"/>
      <w:lvlText w:val="%5."/>
      <w:lvlJc w:val="left"/>
      <w:pPr>
        <w:ind w:left="4308" w:hanging="360"/>
      </w:pPr>
    </w:lvl>
    <w:lvl w:ilvl="5" w:tplc="241A001B">
      <w:start w:val="1"/>
      <w:numFmt w:val="lowerRoman"/>
      <w:lvlText w:val="%6."/>
      <w:lvlJc w:val="right"/>
      <w:pPr>
        <w:ind w:left="5028" w:hanging="180"/>
      </w:pPr>
    </w:lvl>
    <w:lvl w:ilvl="6" w:tplc="241A000F">
      <w:start w:val="1"/>
      <w:numFmt w:val="decimal"/>
      <w:lvlText w:val="%7."/>
      <w:lvlJc w:val="left"/>
      <w:pPr>
        <w:ind w:left="5748" w:hanging="360"/>
      </w:pPr>
    </w:lvl>
    <w:lvl w:ilvl="7" w:tplc="241A0019">
      <w:start w:val="1"/>
      <w:numFmt w:val="lowerLetter"/>
      <w:lvlText w:val="%8."/>
      <w:lvlJc w:val="left"/>
      <w:pPr>
        <w:ind w:left="6468" w:hanging="360"/>
      </w:pPr>
    </w:lvl>
    <w:lvl w:ilvl="8" w:tplc="241A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0E7812"/>
    <w:multiLevelType w:val="hybridMultilevel"/>
    <w:tmpl w:val="DA42C378"/>
    <w:lvl w:ilvl="0" w:tplc="CFE04D1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2869C2"/>
    <w:multiLevelType w:val="hybridMultilevel"/>
    <w:tmpl w:val="31CA77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A7639"/>
    <w:multiLevelType w:val="hybridMultilevel"/>
    <w:tmpl w:val="5A0271F0"/>
    <w:lvl w:ilvl="0" w:tplc="DC703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97BA3"/>
    <w:rsid w:val="00000EED"/>
    <w:rsid w:val="000031AD"/>
    <w:rsid w:val="00007371"/>
    <w:rsid w:val="00013281"/>
    <w:rsid w:val="00014B4B"/>
    <w:rsid w:val="00015D21"/>
    <w:rsid w:val="00017A8D"/>
    <w:rsid w:val="00020CE5"/>
    <w:rsid w:val="00022FC2"/>
    <w:rsid w:val="0002418D"/>
    <w:rsid w:val="00024398"/>
    <w:rsid w:val="00024431"/>
    <w:rsid w:val="00024D36"/>
    <w:rsid w:val="00025C70"/>
    <w:rsid w:val="000318CE"/>
    <w:rsid w:val="0003481E"/>
    <w:rsid w:val="00034BA6"/>
    <w:rsid w:val="0003587A"/>
    <w:rsid w:val="0003590B"/>
    <w:rsid w:val="0003680E"/>
    <w:rsid w:val="0004054C"/>
    <w:rsid w:val="0004134B"/>
    <w:rsid w:val="000423B5"/>
    <w:rsid w:val="00044CE5"/>
    <w:rsid w:val="0004642C"/>
    <w:rsid w:val="000504FB"/>
    <w:rsid w:val="00050D33"/>
    <w:rsid w:val="00052E43"/>
    <w:rsid w:val="000561FC"/>
    <w:rsid w:val="00061750"/>
    <w:rsid w:val="00061CAA"/>
    <w:rsid w:val="00062649"/>
    <w:rsid w:val="00063138"/>
    <w:rsid w:val="000706AC"/>
    <w:rsid w:val="000708EE"/>
    <w:rsid w:val="00072DC6"/>
    <w:rsid w:val="000739ED"/>
    <w:rsid w:val="00082051"/>
    <w:rsid w:val="00082084"/>
    <w:rsid w:val="0008278F"/>
    <w:rsid w:val="00083AD0"/>
    <w:rsid w:val="0008468E"/>
    <w:rsid w:val="00087479"/>
    <w:rsid w:val="00090D3A"/>
    <w:rsid w:val="000956FC"/>
    <w:rsid w:val="0009570E"/>
    <w:rsid w:val="000962E0"/>
    <w:rsid w:val="000A23C9"/>
    <w:rsid w:val="000A2D20"/>
    <w:rsid w:val="000A2FBE"/>
    <w:rsid w:val="000A5803"/>
    <w:rsid w:val="000A7B10"/>
    <w:rsid w:val="000A7B9C"/>
    <w:rsid w:val="000B1EE1"/>
    <w:rsid w:val="000B24BC"/>
    <w:rsid w:val="000B2B2B"/>
    <w:rsid w:val="000C4A1B"/>
    <w:rsid w:val="000C5350"/>
    <w:rsid w:val="000C5613"/>
    <w:rsid w:val="000C5BB4"/>
    <w:rsid w:val="000C72D0"/>
    <w:rsid w:val="000C7F0E"/>
    <w:rsid w:val="000D281D"/>
    <w:rsid w:val="000D3002"/>
    <w:rsid w:val="000D7934"/>
    <w:rsid w:val="000E0C20"/>
    <w:rsid w:val="000E2B58"/>
    <w:rsid w:val="000E2D0C"/>
    <w:rsid w:val="000E41DA"/>
    <w:rsid w:val="000E7E87"/>
    <w:rsid w:val="000F01EA"/>
    <w:rsid w:val="000F38DD"/>
    <w:rsid w:val="000F3E75"/>
    <w:rsid w:val="000F60F6"/>
    <w:rsid w:val="000F71CF"/>
    <w:rsid w:val="000F7B90"/>
    <w:rsid w:val="00100710"/>
    <w:rsid w:val="0010198E"/>
    <w:rsid w:val="00102BB6"/>
    <w:rsid w:val="00103C88"/>
    <w:rsid w:val="00110B37"/>
    <w:rsid w:val="00110CC0"/>
    <w:rsid w:val="00111DE4"/>
    <w:rsid w:val="00114599"/>
    <w:rsid w:val="00114BBC"/>
    <w:rsid w:val="0012123C"/>
    <w:rsid w:val="001239DC"/>
    <w:rsid w:val="00126574"/>
    <w:rsid w:val="0013116F"/>
    <w:rsid w:val="0013236E"/>
    <w:rsid w:val="00133D97"/>
    <w:rsid w:val="00134693"/>
    <w:rsid w:val="00134BBF"/>
    <w:rsid w:val="001357EF"/>
    <w:rsid w:val="00140D81"/>
    <w:rsid w:val="00141390"/>
    <w:rsid w:val="00144962"/>
    <w:rsid w:val="00147100"/>
    <w:rsid w:val="0015121B"/>
    <w:rsid w:val="00151B08"/>
    <w:rsid w:val="001536FC"/>
    <w:rsid w:val="00154754"/>
    <w:rsid w:val="00154AE2"/>
    <w:rsid w:val="00155F42"/>
    <w:rsid w:val="00162250"/>
    <w:rsid w:val="0016312D"/>
    <w:rsid w:val="00165AEF"/>
    <w:rsid w:val="00165DEA"/>
    <w:rsid w:val="001665CE"/>
    <w:rsid w:val="00166A52"/>
    <w:rsid w:val="00171D7F"/>
    <w:rsid w:val="001724BC"/>
    <w:rsid w:val="00175DE3"/>
    <w:rsid w:val="001766E0"/>
    <w:rsid w:val="00177070"/>
    <w:rsid w:val="00177EB2"/>
    <w:rsid w:val="00183401"/>
    <w:rsid w:val="001845CE"/>
    <w:rsid w:val="0018479F"/>
    <w:rsid w:val="001865B3"/>
    <w:rsid w:val="0018697E"/>
    <w:rsid w:val="00192F61"/>
    <w:rsid w:val="00193CB6"/>
    <w:rsid w:val="00196137"/>
    <w:rsid w:val="0019722B"/>
    <w:rsid w:val="001A3279"/>
    <w:rsid w:val="001A54E6"/>
    <w:rsid w:val="001A64AF"/>
    <w:rsid w:val="001A6B57"/>
    <w:rsid w:val="001A714A"/>
    <w:rsid w:val="001A7560"/>
    <w:rsid w:val="001A7616"/>
    <w:rsid w:val="001B0453"/>
    <w:rsid w:val="001B0AEB"/>
    <w:rsid w:val="001B2773"/>
    <w:rsid w:val="001B30A7"/>
    <w:rsid w:val="001B4574"/>
    <w:rsid w:val="001C0418"/>
    <w:rsid w:val="001C5AB7"/>
    <w:rsid w:val="001D0A0B"/>
    <w:rsid w:val="001D4D21"/>
    <w:rsid w:val="001D5F38"/>
    <w:rsid w:val="001D5FE2"/>
    <w:rsid w:val="001D6256"/>
    <w:rsid w:val="001D707E"/>
    <w:rsid w:val="001E2526"/>
    <w:rsid w:val="001E6AD1"/>
    <w:rsid w:val="001E6DA2"/>
    <w:rsid w:val="001F121B"/>
    <w:rsid w:val="001F251E"/>
    <w:rsid w:val="001F38DF"/>
    <w:rsid w:val="001F4071"/>
    <w:rsid w:val="001F46E6"/>
    <w:rsid w:val="002024AD"/>
    <w:rsid w:val="00203666"/>
    <w:rsid w:val="00203861"/>
    <w:rsid w:val="0021001F"/>
    <w:rsid w:val="00210D3D"/>
    <w:rsid w:val="00217371"/>
    <w:rsid w:val="00217B3D"/>
    <w:rsid w:val="0022617D"/>
    <w:rsid w:val="002271B1"/>
    <w:rsid w:val="00231163"/>
    <w:rsid w:val="002322BE"/>
    <w:rsid w:val="00233A36"/>
    <w:rsid w:val="00234BC5"/>
    <w:rsid w:val="00234EC2"/>
    <w:rsid w:val="002370C8"/>
    <w:rsid w:val="00243E14"/>
    <w:rsid w:val="00244FA7"/>
    <w:rsid w:val="00246F3C"/>
    <w:rsid w:val="002470A9"/>
    <w:rsid w:val="002512AE"/>
    <w:rsid w:val="0025223D"/>
    <w:rsid w:val="00253F49"/>
    <w:rsid w:val="0025765C"/>
    <w:rsid w:val="002607E3"/>
    <w:rsid w:val="0026157D"/>
    <w:rsid w:val="0026749A"/>
    <w:rsid w:val="0027001C"/>
    <w:rsid w:val="0027179C"/>
    <w:rsid w:val="00272C97"/>
    <w:rsid w:val="00273474"/>
    <w:rsid w:val="002747DA"/>
    <w:rsid w:val="00283ACE"/>
    <w:rsid w:val="00283D5A"/>
    <w:rsid w:val="0028439B"/>
    <w:rsid w:val="00287BED"/>
    <w:rsid w:val="002903BE"/>
    <w:rsid w:val="0029534F"/>
    <w:rsid w:val="0029754F"/>
    <w:rsid w:val="00297DC6"/>
    <w:rsid w:val="002A5CFE"/>
    <w:rsid w:val="002A74D6"/>
    <w:rsid w:val="002B0769"/>
    <w:rsid w:val="002B17AD"/>
    <w:rsid w:val="002B202B"/>
    <w:rsid w:val="002B2306"/>
    <w:rsid w:val="002B324B"/>
    <w:rsid w:val="002B3A4E"/>
    <w:rsid w:val="002B3D13"/>
    <w:rsid w:val="002B41F6"/>
    <w:rsid w:val="002B48E1"/>
    <w:rsid w:val="002B49B5"/>
    <w:rsid w:val="002B596C"/>
    <w:rsid w:val="002B7036"/>
    <w:rsid w:val="002C10AE"/>
    <w:rsid w:val="002C10F5"/>
    <w:rsid w:val="002C3050"/>
    <w:rsid w:val="002C4AF0"/>
    <w:rsid w:val="002C58BC"/>
    <w:rsid w:val="002C7B85"/>
    <w:rsid w:val="002D275E"/>
    <w:rsid w:val="002D5334"/>
    <w:rsid w:val="002D7CF2"/>
    <w:rsid w:val="002E08A7"/>
    <w:rsid w:val="002E1B72"/>
    <w:rsid w:val="002E2795"/>
    <w:rsid w:val="002E3F44"/>
    <w:rsid w:val="002E4051"/>
    <w:rsid w:val="002E461A"/>
    <w:rsid w:val="002E7437"/>
    <w:rsid w:val="002F03A1"/>
    <w:rsid w:val="002F05E4"/>
    <w:rsid w:val="002F11EF"/>
    <w:rsid w:val="002F1557"/>
    <w:rsid w:val="002F184B"/>
    <w:rsid w:val="002F3334"/>
    <w:rsid w:val="002F567C"/>
    <w:rsid w:val="002F64F0"/>
    <w:rsid w:val="002F7B32"/>
    <w:rsid w:val="002F7E09"/>
    <w:rsid w:val="00300AB3"/>
    <w:rsid w:val="003020C5"/>
    <w:rsid w:val="00303FB6"/>
    <w:rsid w:val="00305898"/>
    <w:rsid w:val="00305D84"/>
    <w:rsid w:val="0031101E"/>
    <w:rsid w:val="0031126B"/>
    <w:rsid w:val="0031576D"/>
    <w:rsid w:val="0031695D"/>
    <w:rsid w:val="00317820"/>
    <w:rsid w:val="00321199"/>
    <w:rsid w:val="00321522"/>
    <w:rsid w:val="0032218F"/>
    <w:rsid w:val="0032356E"/>
    <w:rsid w:val="003240F8"/>
    <w:rsid w:val="0032751F"/>
    <w:rsid w:val="003318D6"/>
    <w:rsid w:val="00333779"/>
    <w:rsid w:val="00334C0E"/>
    <w:rsid w:val="003362D8"/>
    <w:rsid w:val="00336D9A"/>
    <w:rsid w:val="00337DC9"/>
    <w:rsid w:val="00341025"/>
    <w:rsid w:val="0034243E"/>
    <w:rsid w:val="00342474"/>
    <w:rsid w:val="003425B7"/>
    <w:rsid w:val="003454C4"/>
    <w:rsid w:val="0035079C"/>
    <w:rsid w:val="00350996"/>
    <w:rsid w:val="003534A7"/>
    <w:rsid w:val="00353AF0"/>
    <w:rsid w:val="003540E0"/>
    <w:rsid w:val="003566E4"/>
    <w:rsid w:val="00361CBF"/>
    <w:rsid w:val="00366B5B"/>
    <w:rsid w:val="00370129"/>
    <w:rsid w:val="003703FC"/>
    <w:rsid w:val="00370409"/>
    <w:rsid w:val="00371FFA"/>
    <w:rsid w:val="003731C4"/>
    <w:rsid w:val="00375570"/>
    <w:rsid w:val="00377ED4"/>
    <w:rsid w:val="00385D7A"/>
    <w:rsid w:val="00390E77"/>
    <w:rsid w:val="00393EA5"/>
    <w:rsid w:val="003956FB"/>
    <w:rsid w:val="003971B8"/>
    <w:rsid w:val="00397D8A"/>
    <w:rsid w:val="003A0F27"/>
    <w:rsid w:val="003A1254"/>
    <w:rsid w:val="003A1FD8"/>
    <w:rsid w:val="003A28DB"/>
    <w:rsid w:val="003A2C53"/>
    <w:rsid w:val="003A2E21"/>
    <w:rsid w:val="003A7935"/>
    <w:rsid w:val="003B07C6"/>
    <w:rsid w:val="003B0B5C"/>
    <w:rsid w:val="003B30A3"/>
    <w:rsid w:val="003B3A94"/>
    <w:rsid w:val="003B6070"/>
    <w:rsid w:val="003C1594"/>
    <w:rsid w:val="003C1DE4"/>
    <w:rsid w:val="003C4BFE"/>
    <w:rsid w:val="003D122C"/>
    <w:rsid w:val="003D3582"/>
    <w:rsid w:val="003D403C"/>
    <w:rsid w:val="003D574C"/>
    <w:rsid w:val="003D6F71"/>
    <w:rsid w:val="003E0CCA"/>
    <w:rsid w:val="003E699D"/>
    <w:rsid w:val="003F1929"/>
    <w:rsid w:val="003F5A43"/>
    <w:rsid w:val="004009D8"/>
    <w:rsid w:val="00401B4E"/>
    <w:rsid w:val="00401BD0"/>
    <w:rsid w:val="00402D7C"/>
    <w:rsid w:val="004051A4"/>
    <w:rsid w:val="0040646B"/>
    <w:rsid w:val="00412821"/>
    <w:rsid w:val="00412AA7"/>
    <w:rsid w:val="00413B2D"/>
    <w:rsid w:val="00413D83"/>
    <w:rsid w:val="00414E7F"/>
    <w:rsid w:val="00415411"/>
    <w:rsid w:val="00420753"/>
    <w:rsid w:val="0042086A"/>
    <w:rsid w:val="00421DD4"/>
    <w:rsid w:val="0042372F"/>
    <w:rsid w:val="00424469"/>
    <w:rsid w:val="00427960"/>
    <w:rsid w:val="00427BDD"/>
    <w:rsid w:val="00427F48"/>
    <w:rsid w:val="004312D6"/>
    <w:rsid w:val="004328EB"/>
    <w:rsid w:val="00433CFA"/>
    <w:rsid w:val="0043447E"/>
    <w:rsid w:val="004345ED"/>
    <w:rsid w:val="004363CF"/>
    <w:rsid w:val="00436829"/>
    <w:rsid w:val="00436C91"/>
    <w:rsid w:val="00440728"/>
    <w:rsid w:val="00442CFF"/>
    <w:rsid w:val="004432E1"/>
    <w:rsid w:val="00443436"/>
    <w:rsid w:val="00444341"/>
    <w:rsid w:val="00445201"/>
    <w:rsid w:val="004462A9"/>
    <w:rsid w:val="00446A23"/>
    <w:rsid w:val="00452873"/>
    <w:rsid w:val="00454502"/>
    <w:rsid w:val="00456112"/>
    <w:rsid w:val="00456B0C"/>
    <w:rsid w:val="00457428"/>
    <w:rsid w:val="00465107"/>
    <w:rsid w:val="0046588F"/>
    <w:rsid w:val="00465CDD"/>
    <w:rsid w:val="00465F8A"/>
    <w:rsid w:val="00470178"/>
    <w:rsid w:val="00470920"/>
    <w:rsid w:val="00472319"/>
    <w:rsid w:val="00474823"/>
    <w:rsid w:val="004758F7"/>
    <w:rsid w:val="0047599C"/>
    <w:rsid w:val="00476C79"/>
    <w:rsid w:val="00477686"/>
    <w:rsid w:val="00480893"/>
    <w:rsid w:val="00485C46"/>
    <w:rsid w:val="00490C92"/>
    <w:rsid w:val="004912A7"/>
    <w:rsid w:val="004928C3"/>
    <w:rsid w:val="00492CCD"/>
    <w:rsid w:val="0049373A"/>
    <w:rsid w:val="00493A05"/>
    <w:rsid w:val="00493A79"/>
    <w:rsid w:val="0049408C"/>
    <w:rsid w:val="004945DA"/>
    <w:rsid w:val="004957BE"/>
    <w:rsid w:val="004A18C3"/>
    <w:rsid w:val="004A2073"/>
    <w:rsid w:val="004A27ED"/>
    <w:rsid w:val="004A2C51"/>
    <w:rsid w:val="004A41B9"/>
    <w:rsid w:val="004A6AC7"/>
    <w:rsid w:val="004A6F30"/>
    <w:rsid w:val="004B51DD"/>
    <w:rsid w:val="004B66BC"/>
    <w:rsid w:val="004B6CA5"/>
    <w:rsid w:val="004C27DE"/>
    <w:rsid w:val="004C3D9B"/>
    <w:rsid w:val="004C4500"/>
    <w:rsid w:val="004C5314"/>
    <w:rsid w:val="004D68D2"/>
    <w:rsid w:val="004D7026"/>
    <w:rsid w:val="004E2B08"/>
    <w:rsid w:val="004E5E3E"/>
    <w:rsid w:val="004E77CB"/>
    <w:rsid w:val="004F078E"/>
    <w:rsid w:val="004F3756"/>
    <w:rsid w:val="004F741E"/>
    <w:rsid w:val="004F75E2"/>
    <w:rsid w:val="005021EF"/>
    <w:rsid w:val="005022AC"/>
    <w:rsid w:val="005050DC"/>
    <w:rsid w:val="005063BD"/>
    <w:rsid w:val="005127AD"/>
    <w:rsid w:val="00513340"/>
    <w:rsid w:val="00515E18"/>
    <w:rsid w:val="00516E31"/>
    <w:rsid w:val="00521F2A"/>
    <w:rsid w:val="00522415"/>
    <w:rsid w:val="00523242"/>
    <w:rsid w:val="00523712"/>
    <w:rsid w:val="00526A0C"/>
    <w:rsid w:val="00530746"/>
    <w:rsid w:val="0053301C"/>
    <w:rsid w:val="0053420A"/>
    <w:rsid w:val="00536EAA"/>
    <w:rsid w:val="00537A62"/>
    <w:rsid w:val="0054110B"/>
    <w:rsid w:val="00556FBB"/>
    <w:rsid w:val="0055745F"/>
    <w:rsid w:val="005578AC"/>
    <w:rsid w:val="00563AE4"/>
    <w:rsid w:val="00571D19"/>
    <w:rsid w:val="0057509A"/>
    <w:rsid w:val="00584CD6"/>
    <w:rsid w:val="00586687"/>
    <w:rsid w:val="00587542"/>
    <w:rsid w:val="005878E6"/>
    <w:rsid w:val="00591B2E"/>
    <w:rsid w:val="005952B1"/>
    <w:rsid w:val="005953A1"/>
    <w:rsid w:val="005A5284"/>
    <w:rsid w:val="005A5D61"/>
    <w:rsid w:val="005A7EA3"/>
    <w:rsid w:val="005B2F2B"/>
    <w:rsid w:val="005B4C1D"/>
    <w:rsid w:val="005B4F6A"/>
    <w:rsid w:val="005B5B5F"/>
    <w:rsid w:val="005C153E"/>
    <w:rsid w:val="005C6927"/>
    <w:rsid w:val="005D06A8"/>
    <w:rsid w:val="005D0BA7"/>
    <w:rsid w:val="005D1EF6"/>
    <w:rsid w:val="005D688D"/>
    <w:rsid w:val="005E0971"/>
    <w:rsid w:val="005E41AA"/>
    <w:rsid w:val="005E489D"/>
    <w:rsid w:val="005E4C02"/>
    <w:rsid w:val="005E4DB1"/>
    <w:rsid w:val="005E72C7"/>
    <w:rsid w:val="005F1067"/>
    <w:rsid w:val="005F15F3"/>
    <w:rsid w:val="005F2DD7"/>
    <w:rsid w:val="005F53F5"/>
    <w:rsid w:val="00600B09"/>
    <w:rsid w:val="006017D8"/>
    <w:rsid w:val="0060269D"/>
    <w:rsid w:val="00603D6F"/>
    <w:rsid w:val="006043ED"/>
    <w:rsid w:val="00605038"/>
    <w:rsid w:val="00605BC1"/>
    <w:rsid w:val="00606776"/>
    <w:rsid w:val="00611DED"/>
    <w:rsid w:val="00615297"/>
    <w:rsid w:val="00620F2F"/>
    <w:rsid w:val="00622870"/>
    <w:rsid w:val="006254F2"/>
    <w:rsid w:val="00627A8F"/>
    <w:rsid w:val="00627DA2"/>
    <w:rsid w:val="006307E0"/>
    <w:rsid w:val="00631A9C"/>
    <w:rsid w:val="006324E5"/>
    <w:rsid w:val="006330F1"/>
    <w:rsid w:val="00633B61"/>
    <w:rsid w:val="00633BE7"/>
    <w:rsid w:val="00634147"/>
    <w:rsid w:val="006347B1"/>
    <w:rsid w:val="006375B4"/>
    <w:rsid w:val="006400B1"/>
    <w:rsid w:val="00643BDE"/>
    <w:rsid w:val="00644430"/>
    <w:rsid w:val="00645DE9"/>
    <w:rsid w:val="00646CA7"/>
    <w:rsid w:val="0064796C"/>
    <w:rsid w:val="00650A67"/>
    <w:rsid w:val="00651403"/>
    <w:rsid w:val="006515B0"/>
    <w:rsid w:val="0065165E"/>
    <w:rsid w:val="0065288C"/>
    <w:rsid w:val="00652DD1"/>
    <w:rsid w:val="00655832"/>
    <w:rsid w:val="006564B2"/>
    <w:rsid w:val="006572EA"/>
    <w:rsid w:val="00662E85"/>
    <w:rsid w:val="0066479D"/>
    <w:rsid w:val="00665361"/>
    <w:rsid w:val="00671A08"/>
    <w:rsid w:val="006725A1"/>
    <w:rsid w:val="00672F7F"/>
    <w:rsid w:val="00675218"/>
    <w:rsid w:val="0067523C"/>
    <w:rsid w:val="00675823"/>
    <w:rsid w:val="00675B97"/>
    <w:rsid w:val="006770DB"/>
    <w:rsid w:val="00677BE5"/>
    <w:rsid w:val="006807A8"/>
    <w:rsid w:val="00685DA6"/>
    <w:rsid w:val="006869CF"/>
    <w:rsid w:val="00687509"/>
    <w:rsid w:val="0069006D"/>
    <w:rsid w:val="00690EE4"/>
    <w:rsid w:val="006932D7"/>
    <w:rsid w:val="00696201"/>
    <w:rsid w:val="00697C71"/>
    <w:rsid w:val="006A05B7"/>
    <w:rsid w:val="006A10BA"/>
    <w:rsid w:val="006A14AF"/>
    <w:rsid w:val="006A5B91"/>
    <w:rsid w:val="006A6943"/>
    <w:rsid w:val="006A7108"/>
    <w:rsid w:val="006B0801"/>
    <w:rsid w:val="006B1C32"/>
    <w:rsid w:val="006B73F4"/>
    <w:rsid w:val="006C00D6"/>
    <w:rsid w:val="006C2352"/>
    <w:rsid w:val="006C59E6"/>
    <w:rsid w:val="006D0108"/>
    <w:rsid w:val="006D3689"/>
    <w:rsid w:val="006D4090"/>
    <w:rsid w:val="006E24C6"/>
    <w:rsid w:val="006E290E"/>
    <w:rsid w:val="006E4148"/>
    <w:rsid w:val="006E495E"/>
    <w:rsid w:val="006E60C1"/>
    <w:rsid w:val="006E6D35"/>
    <w:rsid w:val="006E729B"/>
    <w:rsid w:val="006E7FD4"/>
    <w:rsid w:val="006F2A86"/>
    <w:rsid w:val="006F2CF9"/>
    <w:rsid w:val="00700804"/>
    <w:rsid w:val="00702189"/>
    <w:rsid w:val="00703767"/>
    <w:rsid w:val="00704C22"/>
    <w:rsid w:val="00705448"/>
    <w:rsid w:val="00706B43"/>
    <w:rsid w:val="00706CC7"/>
    <w:rsid w:val="00710F8D"/>
    <w:rsid w:val="00714ACE"/>
    <w:rsid w:val="0071635B"/>
    <w:rsid w:val="00722583"/>
    <w:rsid w:val="007241F0"/>
    <w:rsid w:val="00726E57"/>
    <w:rsid w:val="007305AC"/>
    <w:rsid w:val="00732AFB"/>
    <w:rsid w:val="00735861"/>
    <w:rsid w:val="0074531D"/>
    <w:rsid w:val="00747459"/>
    <w:rsid w:val="0075176E"/>
    <w:rsid w:val="00751D06"/>
    <w:rsid w:val="00752046"/>
    <w:rsid w:val="00753FA1"/>
    <w:rsid w:val="0075422D"/>
    <w:rsid w:val="00755872"/>
    <w:rsid w:val="0075646B"/>
    <w:rsid w:val="00757BD4"/>
    <w:rsid w:val="00760948"/>
    <w:rsid w:val="007640CB"/>
    <w:rsid w:val="0076616F"/>
    <w:rsid w:val="007713C2"/>
    <w:rsid w:val="00771B50"/>
    <w:rsid w:val="007755CE"/>
    <w:rsid w:val="00775E9E"/>
    <w:rsid w:val="007846DF"/>
    <w:rsid w:val="0078503B"/>
    <w:rsid w:val="00786A82"/>
    <w:rsid w:val="00790471"/>
    <w:rsid w:val="007911AF"/>
    <w:rsid w:val="0079181A"/>
    <w:rsid w:val="00793478"/>
    <w:rsid w:val="00793493"/>
    <w:rsid w:val="00793B79"/>
    <w:rsid w:val="0079405B"/>
    <w:rsid w:val="007A0E85"/>
    <w:rsid w:val="007A73F2"/>
    <w:rsid w:val="007B59C4"/>
    <w:rsid w:val="007B5A19"/>
    <w:rsid w:val="007B6B5A"/>
    <w:rsid w:val="007C105B"/>
    <w:rsid w:val="007C44B1"/>
    <w:rsid w:val="007C4EDA"/>
    <w:rsid w:val="007C51E0"/>
    <w:rsid w:val="007C5B86"/>
    <w:rsid w:val="007C681D"/>
    <w:rsid w:val="007D16D0"/>
    <w:rsid w:val="007D33F5"/>
    <w:rsid w:val="007D3979"/>
    <w:rsid w:val="007E083E"/>
    <w:rsid w:val="007E0F3C"/>
    <w:rsid w:val="007E5DAC"/>
    <w:rsid w:val="007E6971"/>
    <w:rsid w:val="007E7653"/>
    <w:rsid w:val="007F3855"/>
    <w:rsid w:val="007F4943"/>
    <w:rsid w:val="007F5497"/>
    <w:rsid w:val="007F57F4"/>
    <w:rsid w:val="007F7CA3"/>
    <w:rsid w:val="008010FD"/>
    <w:rsid w:val="00802B7E"/>
    <w:rsid w:val="008035F3"/>
    <w:rsid w:val="00806EFB"/>
    <w:rsid w:val="008124F8"/>
    <w:rsid w:val="0081305E"/>
    <w:rsid w:val="0081362B"/>
    <w:rsid w:val="00813A80"/>
    <w:rsid w:val="0081430B"/>
    <w:rsid w:val="008147B5"/>
    <w:rsid w:val="008150BA"/>
    <w:rsid w:val="00815F17"/>
    <w:rsid w:val="008174A2"/>
    <w:rsid w:val="008258B6"/>
    <w:rsid w:val="00825C7E"/>
    <w:rsid w:val="00826099"/>
    <w:rsid w:val="00826BD9"/>
    <w:rsid w:val="00832022"/>
    <w:rsid w:val="00834FE1"/>
    <w:rsid w:val="0083680C"/>
    <w:rsid w:val="00837732"/>
    <w:rsid w:val="008442BC"/>
    <w:rsid w:val="00845ABB"/>
    <w:rsid w:val="00851DC5"/>
    <w:rsid w:val="00853F0A"/>
    <w:rsid w:val="00855352"/>
    <w:rsid w:val="008574C1"/>
    <w:rsid w:val="00860C47"/>
    <w:rsid w:val="00861D57"/>
    <w:rsid w:val="00863A34"/>
    <w:rsid w:val="00865420"/>
    <w:rsid w:val="00865C11"/>
    <w:rsid w:val="00866034"/>
    <w:rsid w:val="00873E57"/>
    <w:rsid w:val="00875FFF"/>
    <w:rsid w:val="00876683"/>
    <w:rsid w:val="00877A09"/>
    <w:rsid w:val="00880233"/>
    <w:rsid w:val="00880277"/>
    <w:rsid w:val="00882997"/>
    <w:rsid w:val="00890187"/>
    <w:rsid w:val="008903E8"/>
    <w:rsid w:val="00891DCB"/>
    <w:rsid w:val="00893CD3"/>
    <w:rsid w:val="00895844"/>
    <w:rsid w:val="0089671F"/>
    <w:rsid w:val="00897178"/>
    <w:rsid w:val="008973CF"/>
    <w:rsid w:val="00897BA3"/>
    <w:rsid w:val="00897C55"/>
    <w:rsid w:val="008A0782"/>
    <w:rsid w:val="008A0DC1"/>
    <w:rsid w:val="008A28C9"/>
    <w:rsid w:val="008A48AF"/>
    <w:rsid w:val="008A58D3"/>
    <w:rsid w:val="008A601E"/>
    <w:rsid w:val="008A6715"/>
    <w:rsid w:val="008B049E"/>
    <w:rsid w:val="008B6B1E"/>
    <w:rsid w:val="008C052D"/>
    <w:rsid w:val="008C19BE"/>
    <w:rsid w:val="008C37B2"/>
    <w:rsid w:val="008C73EF"/>
    <w:rsid w:val="008D3353"/>
    <w:rsid w:val="008D7622"/>
    <w:rsid w:val="008D7BC5"/>
    <w:rsid w:val="008E1122"/>
    <w:rsid w:val="008E258D"/>
    <w:rsid w:val="008E42AA"/>
    <w:rsid w:val="008E7488"/>
    <w:rsid w:val="008E7BA6"/>
    <w:rsid w:val="008E7CE8"/>
    <w:rsid w:val="008F2F47"/>
    <w:rsid w:val="008F49BE"/>
    <w:rsid w:val="008F61FA"/>
    <w:rsid w:val="009076A4"/>
    <w:rsid w:val="00911F19"/>
    <w:rsid w:val="00913426"/>
    <w:rsid w:val="00922634"/>
    <w:rsid w:val="009229B6"/>
    <w:rsid w:val="00924292"/>
    <w:rsid w:val="00925934"/>
    <w:rsid w:val="00926527"/>
    <w:rsid w:val="009312D1"/>
    <w:rsid w:val="009322FB"/>
    <w:rsid w:val="00933798"/>
    <w:rsid w:val="00933F73"/>
    <w:rsid w:val="00937B9B"/>
    <w:rsid w:val="009401A2"/>
    <w:rsid w:val="009440A3"/>
    <w:rsid w:val="00945506"/>
    <w:rsid w:val="009512C7"/>
    <w:rsid w:val="009518F1"/>
    <w:rsid w:val="00957A53"/>
    <w:rsid w:val="00957B71"/>
    <w:rsid w:val="00963561"/>
    <w:rsid w:val="00963D75"/>
    <w:rsid w:val="00966BB7"/>
    <w:rsid w:val="00971A15"/>
    <w:rsid w:val="00971CFB"/>
    <w:rsid w:val="00973BC3"/>
    <w:rsid w:val="009765A9"/>
    <w:rsid w:val="009777BC"/>
    <w:rsid w:val="00982059"/>
    <w:rsid w:val="00983AA4"/>
    <w:rsid w:val="00985531"/>
    <w:rsid w:val="009861F2"/>
    <w:rsid w:val="00986607"/>
    <w:rsid w:val="0098663C"/>
    <w:rsid w:val="0099120F"/>
    <w:rsid w:val="00992A8D"/>
    <w:rsid w:val="009A0E70"/>
    <w:rsid w:val="009A213E"/>
    <w:rsid w:val="009A55DE"/>
    <w:rsid w:val="009A572A"/>
    <w:rsid w:val="009A7857"/>
    <w:rsid w:val="009B0A0A"/>
    <w:rsid w:val="009B36EE"/>
    <w:rsid w:val="009B7C89"/>
    <w:rsid w:val="009C0C02"/>
    <w:rsid w:val="009C32D5"/>
    <w:rsid w:val="009C6E60"/>
    <w:rsid w:val="009D3806"/>
    <w:rsid w:val="009D40A9"/>
    <w:rsid w:val="009D4E04"/>
    <w:rsid w:val="009D7831"/>
    <w:rsid w:val="009E04FE"/>
    <w:rsid w:val="009E05BF"/>
    <w:rsid w:val="009E43D5"/>
    <w:rsid w:val="009E5153"/>
    <w:rsid w:val="009E7414"/>
    <w:rsid w:val="009F0639"/>
    <w:rsid w:val="009F25B5"/>
    <w:rsid w:val="009F3DBF"/>
    <w:rsid w:val="009F5111"/>
    <w:rsid w:val="009F6823"/>
    <w:rsid w:val="00A03A0B"/>
    <w:rsid w:val="00A05D8F"/>
    <w:rsid w:val="00A07D8E"/>
    <w:rsid w:val="00A12EE2"/>
    <w:rsid w:val="00A21010"/>
    <w:rsid w:val="00A24AE5"/>
    <w:rsid w:val="00A31B0F"/>
    <w:rsid w:val="00A35321"/>
    <w:rsid w:val="00A35FC4"/>
    <w:rsid w:val="00A41452"/>
    <w:rsid w:val="00A4154D"/>
    <w:rsid w:val="00A41579"/>
    <w:rsid w:val="00A47092"/>
    <w:rsid w:val="00A4770A"/>
    <w:rsid w:val="00A52CEF"/>
    <w:rsid w:val="00A539FA"/>
    <w:rsid w:val="00A570C7"/>
    <w:rsid w:val="00A575BE"/>
    <w:rsid w:val="00A60590"/>
    <w:rsid w:val="00A61680"/>
    <w:rsid w:val="00A635E9"/>
    <w:rsid w:val="00A66017"/>
    <w:rsid w:val="00A66893"/>
    <w:rsid w:val="00A7000E"/>
    <w:rsid w:val="00A72F3A"/>
    <w:rsid w:val="00A85505"/>
    <w:rsid w:val="00A90308"/>
    <w:rsid w:val="00A90B69"/>
    <w:rsid w:val="00A9122B"/>
    <w:rsid w:val="00A92323"/>
    <w:rsid w:val="00A97E72"/>
    <w:rsid w:val="00AA29DA"/>
    <w:rsid w:val="00AA2B95"/>
    <w:rsid w:val="00AA32D9"/>
    <w:rsid w:val="00AA374A"/>
    <w:rsid w:val="00AA4E92"/>
    <w:rsid w:val="00AA6524"/>
    <w:rsid w:val="00AB0DE5"/>
    <w:rsid w:val="00AB1233"/>
    <w:rsid w:val="00AC1A38"/>
    <w:rsid w:val="00AC2125"/>
    <w:rsid w:val="00AC2863"/>
    <w:rsid w:val="00AC3F0A"/>
    <w:rsid w:val="00AC5DE7"/>
    <w:rsid w:val="00AD0062"/>
    <w:rsid w:val="00AD05E8"/>
    <w:rsid w:val="00AD4376"/>
    <w:rsid w:val="00AE1546"/>
    <w:rsid w:val="00AE5D62"/>
    <w:rsid w:val="00AF0EE3"/>
    <w:rsid w:val="00AF1331"/>
    <w:rsid w:val="00AF1903"/>
    <w:rsid w:val="00AF5FEF"/>
    <w:rsid w:val="00B00EB3"/>
    <w:rsid w:val="00B024BF"/>
    <w:rsid w:val="00B04940"/>
    <w:rsid w:val="00B05AE3"/>
    <w:rsid w:val="00B06E5D"/>
    <w:rsid w:val="00B112C6"/>
    <w:rsid w:val="00B142BC"/>
    <w:rsid w:val="00B1451E"/>
    <w:rsid w:val="00B15EE5"/>
    <w:rsid w:val="00B25B9A"/>
    <w:rsid w:val="00B27894"/>
    <w:rsid w:val="00B32DA5"/>
    <w:rsid w:val="00B335CD"/>
    <w:rsid w:val="00B355CB"/>
    <w:rsid w:val="00B37A9C"/>
    <w:rsid w:val="00B426E4"/>
    <w:rsid w:val="00B43B44"/>
    <w:rsid w:val="00B43E30"/>
    <w:rsid w:val="00B4414C"/>
    <w:rsid w:val="00B4517A"/>
    <w:rsid w:val="00B46227"/>
    <w:rsid w:val="00B508C8"/>
    <w:rsid w:val="00B52D5A"/>
    <w:rsid w:val="00B5775B"/>
    <w:rsid w:val="00B60AB8"/>
    <w:rsid w:val="00B64EA4"/>
    <w:rsid w:val="00B71EFD"/>
    <w:rsid w:val="00B722FE"/>
    <w:rsid w:val="00B74255"/>
    <w:rsid w:val="00B76DAE"/>
    <w:rsid w:val="00B774D7"/>
    <w:rsid w:val="00B8220B"/>
    <w:rsid w:val="00B825BF"/>
    <w:rsid w:val="00B920DB"/>
    <w:rsid w:val="00B96C8D"/>
    <w:rsid w:val="00B97B5C"/>
    <w:rsid w:val="00BA0F61"/>
    <w:rsid w:val="00BA2CEC"/>
    <w:rsid w:val="00BA42B2"/>
    <w:rsid w:val="00BA49CC"/>
    <w:rsid w:val="00BA5019"/>
    <w:rsid w:val="00BA5B99"/>
    <w:rsid w:val="00BA7380"/>
    <w:rsid w:val="00BB3481"/>
    <w:rsid w:val="00BB3572"/>
    <w:rsid w:val="00BC067B"/>
    <w:rsid w:val="00BC0E50"/>
    <w:rsid w:val="00BC2C68"/>
    <w:rsid w:val="00BC6A2C"/>
    <w:rsid w:val="00BC6BE0"/>
    <w:rsid w:val="00BD2429"/>
    <w:rsid w:val="00BD31EC"/>
    <w:rsid w:val="00BD3905"/>
    <w:rsid w:val="00BD5BCF"/>
    <w:rsid w:val="00BE0C1B"/>
    <w:rsid w:val="00BE2FF2"/>
    <w:rsid w:val="00BF0FBA"/>
    <w:rsid w:val="00BF1A4E"/>
    <w:rsid w:val="00C01FAA"/>
    <w:rsid w:val="00C030F9"/>
    <w:rsid w:val="00C0324D"/>
    <w:rsid w:val="00C074DE"/>
    <w:rsid w:val="00C1194F"/>
    <w:rsid w:val="00C128C2"/>
    <w:rsid w:val="00C12A38"/>
    <w:rsid w:val="00C150FC"/>
    <w:rsid w:val="00C16495"/>
    <w:rsid w:val="00C16BB4"/>
    <w:rsid w:val="00C17B6C"/>
    <w:rsid w:val="00C278B8"/>
    <w:rsid w:val="00C33DC6"/>
    <w:rsid w:val="00C37974"/>
    <w:rsid w:val="00C469F7"/>
    <w:rsid w:val="00C47A88"/>
    <w:rsid w:val="00C5042D"/>
    <w:rsid w:val="00C50458"/>
    <w:rsid w:val="00C508DB"/>
    <w:rsid w:val="00C51E48"/>
    <w:rsid w:val="00C51F66"/>
    <w:rsid w:val="00C52861"/>
    <w:rsid w:val="00C534FA"/>
    <w:rsid w:val="00C53AD5"/>
    <w:rsid w:val="00C54677"/>
    <w:rsid w:val="00C54C1D"/>
    <w:rsid w:val="00C57D49"/>
    <w:rsid w:val="00C63CC5"/>
    <w:rsid w:val="00C63F68"/>
    <w:rsid w:val="00C6416A"/>
    <w:rsid w:val="00C65959"/>
    <w:rsid w:val="00C665C5"/>
    <w:rsid w:val="00C72CFD"/>
    <w:rsid w:val="00C768A8"/>
    <w:rsid w:val="00C76A0C"/>
    <w:rsid w:val="00C77D2C"/>
    <w:rsid w:val="00C8537F"/>
    <w:rsid w:val="00C85B37"/>
    <w:rsid w:val="00C878CA"/>
    <w:rsid w:val="00C97736"/>
    <w:rsid w:val="00CA0EF4"/>
    <w:rsid w:val="00CA19E1"/>
    <w:rsid w:val="00CA1E07"/>
    <w:rsid w:val="00CA22C3"/>
    <w:rsid w:val="00CA48C6"/>
    <w:rsid w:val="00CB00A1"/>
    <w:rsid w:val="00CB011E"/>
    <w:rsid w:val="00CB0524"/>
    <w:rsid w:val="00CB0838"/>
    <w:rsid w:val="00CB5EBD"/>
    <w:rsid w:val="00CC046E"/>
    <w:rsid w:val="00CC0684"/>
    <w:rsid w:val="00CC2A72"/>
    <w:rsid w:val="00CC639E"/>
    <w:rsid w:val="00CC71D1"/>
    <w:rsid w:val="00CC721B"/>
    <w:rsid w:val="00CC7FA1"/>
    <w:rsid w:val="00CD230E"/>
    <w:rsid w:val="00CD4B8F"/>
    <w:rsid w:val="00CD5839"/>
    <w:rsid w:val="00CD6CAD"/>
    <w:rsid w:val="00CE2A7F"/>
    <w:rsid w:val="00CE75B5"/>
    <w:rsid w:val="00CF1005"/>
    <w:rsid w:val="00CF4946"/>
    <w:rsid w:val="00CF6503"/>
    <w:rsid w:val="00D000C3"/>
    <w:rsid w:val="00D01216"/>
    <w:rsid w:val="00D03A44"/>
    <w:rsid w:val="00D059BC"/>
    <w:rsid w:val="00D0629D"/>
    <w:rsid w:val="00D11831"/>
    <w:rsid w:val="00D13317"/>
    <w:rsid w:val="00D1335B"/>
    <w:rsid w:val="00D14CE5"/>
    <w:rsid w:val="00D2044A"/>
    <w:rsid w:val="00D21304"/>
    <w:rsid w:val="00D233ED"/>
    <w:rsid w:val="00D24827"/>
    <w:rsid w:val="00D300E0"/>
    <w:rsid w:val="00D329F8"/>
    <w:rsid w:val="00D3522A"/>
    <w:rsid w:val="00D35E82"/>
    <w:rsid w:val="00D35EC3"/>
    <w:rsid w:val="00D44CE6"/>
    <w:rsid w:val="00D44EF6"/>
    <w:rsid w:val="00D45B9C"/>
    <w:rsid w:val="00D4619C"/>
    <w:rsid w:val="00D464B4"/>
    <w:rsid w:val="00D46EEE"/>
    <w:rsid w:val="00D535E1"/>
    <w:rsid w:val="00D53BD8"/>
    <w:rsid w:val="00D54F5A"/>
    <w:rsid w:val="00D56B84"/>
    <w:rsid w:val="00D572A3"/>
    <w:rsid w:val="00D6114D"/>
    <w:rsid w:val="00D61F91"/>
    <w:rsid w:val="00D70DB9"/>
    <w:rsid w:val="00D73620"/>
    <w:rsid w:val="00D77AEE"/>
    <w:rsid w:val="00D824FB"/>
    <w:rsid w:val="00D83566"/>
    <w:rsid w:val="00D8627B"/>
    <w:rsid w:val="00D9177D"/>
    <w:rsid w:val="00D93260"/>
    <w:rsid w:val="00D95427"/>
    <w:rsid w:val="00D9588E"/>
    <w:rsid w:val="00DA0997"/>
    <w:rsid w:val="00DA13B3"/>
    <w:rsid w:val="00DB3107"/>
    <w:rsid w:val="00DB5B91"/>
    <w:rsid w:val="00DC05B4"/>
    <w:rsid w:val="00DC1215"/>
    <w:rsid w:val="00DC5DDF"/>
    <w:rsid w:val="00DC74CC"/>
    <w:rsid w:val="00DD0BF1"/>
    <w:rsid w:val="00DD1922"/>
    <w:rsid w:val="00DD305F"/>
    <w:rsid w:val="00DD7628"/>
    <w:rsid w:val="00DE0502"/>
    <w:rsid w:val="00DE060D"/>
    <w:rsid w:val="00DE18B8"/>
    <w:rsid w:val="00DE1F1C"/>
    <w:rsid w:val="00DE43D9"/>
    <w:rsid w:val="00DE6441"/>
    <w:rsid w:val="00DE77B0"/>
    <w:rsid w:val="00DF0E14"/>
    <w:rsid w:val="00DF188D"/>
    <w:rsid w:val="00DF4A6E"/>
    <w:rsid w:val="00DF5FD4"/>
    <w:rsid w:val="00DF736A"/>
    <w:rsid w:val="00DF7C81"/>
    <w:rsid w:val="00E00F69"/>
    <w:rsid w:val="00E01A34"/>
    <w:rsid w:val="00E01FA9"/>
    <w:rsid w:val="00E035C3"/>
    <w:rsid w:val="00E05B56"/>
    <w:rsid w:val="00E071C7"/>
    <w:rsid w:val="00E113A3"/>
    <w:rsid w:val="00E127E3"/>
    <w:rsid w:val="00E12B31"/>
    <w:rsid w:val="00E14FFE"/>
    <w:rsid w:val="00E1588E"/>
    <w:rsid w:val="00E17541"/>
    <w:rsid w:val="00E210CA"/>
    <w:rsid w:val="00E212B2"/>
    <w:rsid w:val="00E222D3"/>
    <w:rsid w:val="00E26AAD"/>
    <w:rsid w:val="00E27BE9"/>
    <w:rsid w:val="00E32028"/>
    <w:rsid w:val="00E330C4"/>
    <w:rsid w:val="00E33B6E"/>
    <w:rsid w:val="00E36D9B"/>
    <w:rsid w:val="00E40E84"/>
    <w:rsid w:val="00E42DD8"/>
    <w:rsid w:val="00E4594D"/>
    <w:rsid w:val="00E46734"/>
    <w:rsid w:val="00E5115A"/>
    <w:rsid w:val="00E523AB"/>
    <w:rsid w:val="00E61581"/>
    <w:rsid w:val="00E6369C"/>
    <w:rsid w:val="00E63889"/>
    <w:rsid w:val="00E6630E"/>
    <w:rsid w:val="00E704F8"/>
    <w:rsid w:val="00E762EB"/>
    <w:rsid w:val="00E77BD4"/>
    <w:rsid w:val="00E77D26"/>
    <w:rsid w:val="00E77F1D"/>
    <w:rsid w:val="00E80214"/>
    <w:rsid w:val="00E80661"/>
    <w:rsid w:val="00E828DB"/>
    <w:rsid w:val="00E849EE"/>
    <w:rsid w:val="00E850A0"/>
    <w:rsid w:val="00E86551"/>
    <w:rsid w:val="00E86712"/>
    <w:rsid w:val="00E87045"/>
    <w:rsid w:val="00E87C36"/>
    <w:rsid w:val="00E93171"/>
    <w:rsid w:val="00E94333"/>
    <w:rsid w:val="00E95889"/>
    <w:rsid w:val="00EA00EF"/>
    <w:rsid w:val="00EA150C"/>
    <w:rsid w:val="00EA1DCF"/>
    <w:rsid w:val="00EA2A92"/>
    <w:rsid w:val="00EA4528"/>
    <w:rsid w:val="00EA4B88"/>
    <w:rsid w:val="00EA4FCA"/>
    <w:rsid w:val="00EA5A63"/>
    <w:rsid w:val="00EA6B9D"/>
    <w:rsid w:val="00EA7399"/>
    <w:rsid w:val="00EB20C7"/>
    <w:rsid w:val="00EB2D68"/>
    <w:rsid w:val="00EB6580"/>
    <w:rsid w:val="00EB65BE"/>
    <w:rsid w:val="00EB69BF"/>
    <w:rsid w:val="00EC1D9D"/>
    <w:rsid w:val="00EC1E7A"/>
    <w:rsid w:val="00EC4121"/>
    <w:rsid w:val="00EC4213"/>
    <w:rsid w:val="00EC6D38"/>
    <w:rsid w:val="00ED05B6"/>
    <w:rsid w:val="00ED5412"/>
    <w:rsid w:val="00ED6817"/>
    <w:rsid w:val="00ED6F40"/>
    <w:rsid w:val="00ED79BC"/>
    <w:rsid w:val="00EE10AF"/>
    <w:rsid w:val="00EE29CB"/>
    <w:rsid w:val="00EE3CFA"/>
    <w:rsid w:val="00EE538A"/>
    <w:rsid w:val="00EE7939"/>
    <w:rsid w:val="00EF5A18"/>
    <w:rsid w:val="00EF7F6E"/>
    <w:rsid w:val="00F00B88"/>
    <w:rsid w:val="00F01E38"/>
    <w:rsid w:val="00F03039"/>
    <w:rsid w:val="00F05298"/>
    <w:rsid w:val="00F05323"/>
    <w:rsid w:val="00F15093"/>
    <w:rsid w:val="00F15330"/>
    <w:rsid w:val="00F15534"/>
    <w:rsid w:val="00F162D6"/>
    <w:rsid w:val="00F200EE"/>
    <w:rsid w:val="00F22E3D"/>
    <w:rsid w:val="00F24D74"/>
    <w:rsid w:val="00F25327"/>
    <w:rsid w:val="00F308B1"/>
    <w:rsid w:val="00F31D6A"/>
    <w:rsid w:val="00F3256F"/>
    <w:rsid w:val="00F325A3"/>
    <w:rsid w:val="00F36098"/>
    <w:rsid w:val="00F40018"/>
    <w:rsid w:val="00F40CD8"/>
    <w:rsid w:val="00F42CE4"/>
    <w:rsid w:val="00F42FAD"/>
    <w:rsid w:val="00F44170"/>
    <w:rsid w:val="00F47F5A"/>
    <w:rsid w:val="00F53F59"/>
    <w:rsid w:val="00F6034F"/>
    <w:rsid w:val="00F608F1"/>
    <w:rsid w:val="00F621F3"/>
    <w:rsid w:val="00F62CC7"/>
    <w:rsid w:val="00F65FE5"/>
    <w:rsid w:val="00F6601F"/>
    <w:rsid w:val="00F7085B"/>
    <w:rsid w:val="00F728C5"/>
    <w:rsid w:val="00F73945"/>
    <w:rsid w:val="00F774C8"/>
    <w:rsid w:val="00F8009B"/>
    <w:rsid w:val="00F800BB"/>
    <w:rsid w:val="00F801C6"/>
    <w:rsid w:val="00F8068B"/>
    <w:rsid w:val="00F82DE9"/>
    <w:rsid w:val="00F84740"/>
    <w:rsid w:val="00F91F4E"/>
    <w:rsid w:val="00F942DF"/>
    <w:rsid w:val="00F95FA3"/>
    <w:rsid w:val="00F97818"/>
    <w:rsid w:val="00FA0818"/>
    <w:rsid w:val="00FA118F"/>
    <w:rsid w:val="00FA2C00"/>
    <w:rsid w:val="00FA7435"/>
    <w:rsid w:val="00FA7A86"/>
    <w:rsid w:val="00FB118E"/>
    <w:rsid w:val="00FB1253"/>
    <w:rsid w:val="00FB1358"/>
    <w:rsid w:val="00FB28C9"/>
    <w:rsid w:val="00FB4841"/>
    <w:rsid w:val="00FB5604"/>
    <w:rsid w:val="00FB567B"/>
    <w:rsid w:val="00FB5ED3"/>
    <w:rsid w:val="00FB6CF1"/>
    <w:rsid w:val="00FC0BDC"/>
    <w:rsid w:val="00FC1761"/>
    <w:rsid w:val="00FC615F"/>
    <w:rsid w:val="00FD3201"/>
    <w:rsid w:val="00FD3FFA"/>
    <w:rsid w:val="00FD4ACD"/>
    <w:rsid w:val="00FD664A"/>
    <w:rsid w:val="00FD7134"/>
    <w:rsid w:val="00FE3BE5"/>
    <w:rsid w:val="00FE790E"/>
    <w:rsid w:val="00FF11D3"/>
    <w:rsid w:val="00FF3B12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BA3"/>
    <w:pPr>
      <w:spacing w:after="0" w:line="240" w:lineRule="auto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  <w:jc w:val="center"/>
    </w:trPr>
    <w:tcPr>
      <w:vAlign w:val="center"/>
    </w:tcPr>
  </w:style>
  <w:style w:type="paragraph" w:customStyle="1" w:styleId="CharTegnTegnChar">
    <w:name w:val="Char Tegn Tegn Char"/>
    <w:basedOn w:val="Normal"/>
    <w:uiPriority w:val="99"/>
    <w:rsid w:val="001A761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204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0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4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Revision">
    <w:name w:val="Revision"/>
    <w:hidden/>
    <w:rsid w:val="002E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E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2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33B6E"/>
    <w:pPr>
      <w:spacing w:before="100" w:beforeAutospacing="1" w:after="100" w:afterAutospacing="1"/>
    </w:pPr>
  </w:style>
  <w:style w:type="paragraph" w:customStyle="1" w:styleId="izmenanaslov">
    <w:name w:val="izmena_naslov"/>
    <w:basedOn w:val="Normal"/>
    <w:uiPriority w:val="99"/>
    <w:rsid w:val="00E33B6E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izmenapodnaslov">
    <w:name w:val="izmena_podnaslov"/>
    <w:basedOn w:val="Normal"/>
    <w:uiPriority w:val="99"/>
    <w:rsid w:val="00E33B6E"/>
    <w:pP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izmenatekst">
    <w:name w:val="izmena_tekst"/>
    <w:basedOn w:val="Normal"/>
    <w:uiPriority w:val="99"/>
    <w:rsid w:val="00E33B6E"/>
    <w:pPr>
      <w:spacing w:before="100" w:beforeAutospacing="1" w:after="100" w:afterAutospacing="1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BA3"/>
    <w:pPr>
      <w:spacing w:after="0" w:line="240" w:lineRule="auto"/>
    </w:pPr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  <w:tcPr>
      <w:vAlign w:val="center"/>
    </w:tcPr>
  </w:style>
  <w:style w:type="paragraph" w:customStyle="1" w:styleId="CharTegnTegnChar">
    <w:name w:val="Char Tegn Tegn Char"/>
    <w:basedOn w:val="Normal"/>
    <w:uiPriority w:val="99"/>
    <w:rsid w:val="001A761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204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0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4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Revision">
    <w:name w:val="Revision"/>
    <w:hidden/>
    <w:rsid w:val="002E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E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2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7D97-60E4-4FDC-A81D-2E9FC6AB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jovan</cp:lastModifiedBy>
  <cp:revision>2</cp:revision>
  <cp:lastPrinted>2017-04-12T13:30:00Z</cp:lastPrinted>
  <dcterms:created xsi:type="dcterms:W3CDTF">2017-04-13T12:54:00Z</dcterms:created>
  <dcterms:modified xsi:type="dcterms:W3CDTF">2017-04-13T12:54:00Z</dcterms:modified>
</cp:coreProperties>
</file>