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BD" w:rsidRPr="00FC1073" w:rsidRDefault="00AB0DBD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val="sr-Latn-CS"/>
        </w:rPr>
      </w:pPr>
    </w:p>
    <w:p w:rsidR="00AB0DBD" w:rsidRPr="00FC1073" w:rsidRDefault="00AB0DBD" w:rsidP="00AB0DBD">
      <w:pPr>
        <w:spacing w:after="0"/>
        <w:rPr>
          <w:rFonts w:ascii="Times New Roman" w:hAnsi="Times New Roman"/>
          <w:noProof/>
          <w:sz w:val="24"/>
          <w:szCs w:val="24"/>
          <w:u w:val="single"/>
          <w:lang w:val="sr-Latn-CS"/>
        </w:rPr>
      </w:pPr>
    </w:p>
    <w:p w:rsidR="000336BE" w:rsidRPr="00FC1073" w:rsidRDefault="00FC1073" w:rsidP="00ED18CB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PREDLOG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DOPUN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AMA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ORGANIZACIJI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NADLEŽNOSTI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DRŽAVNIH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RATNE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ZLOČINE</w:t>
      </w:r>
    </w:p>
    <w:p w:rsidR="000336BE" w:rsidRPr="00FC1073" w:rsidRDefault="000336BE" w:rsidP="00ED18CB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336BE" w:rsidRPr="00FC1073" w:rsidRDefault="00FC1073" w:rsidP="00ED18CB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1.</w:t>
      </w:r>
    </w:p>
    <w:p w:rsidR="000336BE" w:rsidRPr="00FC1073" w:rsidRDefault="000336BE" w:rsidP="00ED18CB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FC1073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organizaciji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nadležnosti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državnih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ratne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zločine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. 67/03, 135/04, 61/05, 101/07, 104/09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101/11 –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dr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5.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posle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dodaju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. 4.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5.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glase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0336BE" w:rsidRPr="00FC1073" w:rsidRDefault="000336BE" w:rsidP="00ED18CB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FC1073">
        <w:rPr>
          <w:rFonts w:ascii="Times New Roman" w:hAnsi="Times New Roman"/>
          <w:noProof/>
          <w:sz w:val="24"/>
          <w:szCs w:val="24"/>
          <w:lang w:val="sr-Latn-CS"/>
        </w:rPr>
        <w:tab/>
        <w:t>„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Tužiocu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ratne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zločine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funkcija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prestaje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navršenjem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radnog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veka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mu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istekao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mandat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izabran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Tužioca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ratne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zločine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0336BE" w:rsidRPr="00FC1073" w:rsidRDefault="00FC1073" w:rsidP="00B340E7">
      <w:pPr>
        <w:spacing w:after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Tužiocu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ratne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zločine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funkcija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prestaje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istekom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mandata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izabran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>.”</w:t>
      </w:r>
    </w:p>
    <w:p w:rsidR="000336BE" w:rsidRPr="00FC1073" w:rsidRDefault="000336BE" w:rsidP="00ED18CB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336BE" w:rsidRPr="00FC1073" w:rsidRDefault="00FC1073" w:rsidP="00ED18CB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2.</w:t>
      </w:r>
    </w:p>
    <w:p w:rsidR="000336BE" w:rsidRPr="00FC1073" w:rsidRDefault="000336BE" w:rsidP="00ED18CB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FC1073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stupa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narednog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objavljivanja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Službenom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glasniku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1073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FC1073">
        <w:rPr>
          <w:rFonts w:ascii="Times New Roman" w:hAnsi="Times New Roman"/>
          <w:noProof/>
          <w:sz w:val="24"/>
          <w:szCs w:val="24"/>
          <w:lang w:val="sr-Latn-CS"/>
        </w:rPr>
        <w:t>”.</w:t>
      </w:r>
    </w:p>
    <w:p w:rsidR="000336BE" w:rsidRPr="00FC1073" w:rsidRDefault="000336BE" w:rsidP="00ED18CB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336BE" w:rsidRPr="00FC1073" w:rsidRDefault="000336BE" w:rsidP="00ED18CB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336BE" w:rsidRPr="00FC1073" w:rsidRDefault="000336BE" w:rsidP="00ED18CB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336BE" w:rsidRPr="00FC1073" w:rsidRDefault="000336BE" w:rsidP="00ED18CB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336BE" w:rsidRPr="00FC1073" w:rsidRDefault="000336BE" w:rsidP="00ED18CB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336BE" w:rsidRPr="00FC1073" w:rsidRDefault="000336BE" w:rsidP="00ED18CB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336BE" w:rsidRPr="00FC1073" w:rsidRDefault="000336BE" w:rsidP="00ED18CB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336BE" w:rsidRPr="00FC1073" w:rsidRDefault="000336BE" w:rsidP="00ED18CB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336BE" w:rsidRPr="00FC1073" w:rsidRDefault="000336BE" w:rsidP="00ED18CB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336BE" w:rsidRPr="00FC1073" w:rsidRDefault="000336BE" w:rsidP="00ED18CB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336BE" w:rsidRPr="00FC1073" w:rsidRDefault="000336BE" w:rsidP="00ED18CB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336BE" w:rsidRPr="00FC1073" w:rsidRDefault="000336BE" w:rsidP="00ED18CB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336BE" w:rsidRPr="00FC1073" w:rsidRDefault="000336BE" w:rsidP="00ED18CB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336BE" w:rsidRPr="00FC1073" w:rsidRDefault="000336BE" w:rsidP="00ED18CB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336BE" w:rsidRPr="00FC1073" w:rsidRDefault="000336BE" w:rsidP="00ED18CB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336BE" w:rsidRPr="00FC1073" w:rsidRDefault="000336BE" w:rsidP="00ED18CB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336BE" w:rsidRPr="00FC1073" w:rsidRDefault="000336BE" w:rsidP="00ED18CB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336BE" w:rsidRPr="00FC1073" w:rsidRDefault="000336BE" w:rsidP="00ED18CB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336BE" w:rsidRPr="00FC1073" w:rsidRDefault="000336BE" w:rsidP="00ED18CB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336BE" w:rsidRPr="00FC1073" w:rsidRDefault="000336BE" w:rsidP="00ED18CB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336BE" w:rsidRPr="00FC1073" w:rsidRDefault="000336BE" w:rsidP="00ED18CB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336BE" w:rsidRPr="00FC1073" w:rsidRDefault="000336BE" w:rsidP="00ED18CB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336BE" w:rsidRPr="00FC1073" w:rsidRDefault="000336BE" w:rsidP="00ED18CB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336BE" w:rsidRPr="00FC1073" w:rsidRDefault="000336BE" w:rsidP="00ED18CB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336BE" w:rsidRPr="00FC1073" w:rsidRDefault="000336BE" w:rsidP="00ED18CB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336BE" w:rsidRPr="00FC1073" w:rsidRDefault="00FC1073" w:rsidP="00ED18CB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PREGLED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ORGANIZACIJI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NADLEŽNOSTI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DRŽAVNIH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RATNE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ZLOČINE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DOPUNJUJU</w:t>
      </w:r>
    </w:p>
    <w:p w:rsidR="000336BE" w:rsidRPr="00FC1073" w:rsidRDefault="000336BE" w:rsidP="00ED18CB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336BE" w:rsidRPr="00FC1073" w:rsidRDefault="00FC1073" w:rsidP="00097521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5.</w:t>
      </w:r>
    </w:p>
    <w:p w:rsidR="000336BE" w:rsidRPr="00FC1073" w:rsidRDefault="00FC1073" w:rsidP="00097521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Prilik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dl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ndid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 T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uži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tn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zl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čin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e, 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izb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nik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 T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uži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tn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zl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čin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aj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ndid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oj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j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bn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iskustv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bl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sti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krivičn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đun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dn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hum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nit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rn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ljudskih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a.</w:t>
      </w:r>
    </w:p>
    <w:p w:rsidR="000336BE" w:rsidRPr="00FC1073" w:rsidRDefault="00FC1073" w:rsidP="00097521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publički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ja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vni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tužil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dl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T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uži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tn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zl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čin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uputi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T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užil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štv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tn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zl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čin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nik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 ja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vn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tuži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vu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pism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nu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0336BE" w:rsidRPr="00FC1073" w:rsidRDefault="00FC1073" w:rsidP="00097521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Upućiv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 1. 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aje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aj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tiri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e, a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 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dluk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publičk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ja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vn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tuži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dl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T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uži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tn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zl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čin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pism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nu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upuć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nik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 ja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vn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tuži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</w:t>
      </w:r>
      <w:r w:rsidR="000336BE" w:rsidRPr="00FC1073">
        <w:rPr>
          <w:rFonts w:ascii="Times New Roman" w:hAnsi="Times New Roman" w:cs="Times New Roman"/>
          <w:noProof/>
          <w:sz w:val="24"/>
          <w:szCs w:val="24"/>
          <w:lang w:val="sr-Latn-CS"/>
        </w:rPr>
        <w:t>a.</w:t>
      </w:r>
    </w:p>
    <w:p w:rsidR="000336BE" w:rsidRPr="00FC1073" w:rsidRDefault="00FC1073" w:rsidP="00097521">
      <w:pPr>
        <w:spacing w:after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TUŽIOCU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RATNE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ZLOČINE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FUNKCIJA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PRESTAJE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NAVRŠENJEM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RADNOG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VEKA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MU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ISTEKAO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MANDAT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IZABRAN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TUŽIOCA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RATNE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ZLOČINE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E2873" w:rsidRPr="00FC1073" w:rsidRDefault="00FC1073" w:rsidP="00097521">
      <w:pPr>
        <w:spacing w:after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TUŽIOCU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RATNE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ZLOČINE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FUNKCIJA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PRESTAJE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ISTEKOM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MANDATA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IZABRAN</w:t>
      </w:r>
      <w:r w:rsidR="000336BE" w:rsidRPr="00FC107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E2873" w:rsidRPr="00FC1073" w:rsidRDefault="005E2873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 w:rsidRPr="00FC1073">
        <w:rPr>
          <w:rFonts w:ascii="Times New Roman" w:hAnsi="Times New Roman"/>
          <w:noProof/>
          <w:sz w:val="24"/>
          <w:szCs w:val="24"/>
          <w:lang w:val="sr-Latn-CS"/>
        </w:rPr>
        <w:br w:type="page"/>
      </w:r>
    </w:p>
    <w:p w:rsidR="00321354" w:rsidRPr="00FC1073" w:rsidRDefault="00FC1073" w:rsidP="00321354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lastRenderedPageBreak/>
        <w:t>O</w:t>
      </w:r>
      <w:r w:rsidR="00321354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B</w:t>
      </w:r>
      <w:r w:rsidR="00321354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</w:t>
      </w:r>
      <w:r w:rsidR="00321354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A</w:t>
      </w:r>
      <w:r w:rsidR="00321354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</w:t>
      </w:r>
      <w:r w:rsidR="00321354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L</w:t>
      </w:r>
      <w:r w:rsidR="00321354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</w:t>
      </w:r>
      <w:r w:rsidR="00321354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Ž</w:t>
      </w:r>
      <w:r w:rsidR="00321354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321354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321354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</w:p>
    <w:p w:rsidR="00321354" w:rsidRPr="00FC1073" w:rsidRDefault="00321354" w:rsidP="00321354">
      <w:pPr>
        <w:rPr>
          <w:b/>
          <w:noProof/>
          <w:lang w:val="sr-Latn-CS"/>
        </w:rPr>
      </w:pPr>
    </w:p>
    <w:p w:rsidR="00321354" w:rsidRPr="00FC1073" w:rsidRDefault="00321354" w:rsidP="00321354">
      <w:pPr>
        <w:rPr>
          <w:b/>
          <w:noProof/>
          <w:lang w:val="sr-Latn-CS"/>
        </w:rPr>
      </w:pPr>
    </w:p>
    <w:p w:rsidR="00321354" w:rsidRPr="00FC1073" w:rsidRDefault="00321354" w:rsidP="00321354">
      <w:pPr>
        <w:rPr>
          <w:noProof/>
          <w:lang w:val="sr-Latn-CS"/>
        </w:rPr>
      </w:pPr>
      <w:r w:rsidRPr="00FC1073">
        <w:rPr>
          <w:noProof/>
          <w:lang w:val="sr-Latn-CS"/>
        </w:rPr>
        <w:tab/>
        <w:t xml:space="preserve">I. </w:t>
      </w:r>
      <w:r w:rsidR="00FC1073">
        <w:rPr>
          <w:noProof/>
          <w:lang w:val="sr-Latn-CS"/>
        </w:rPr>
        <w:t>USTAVNI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OSNOV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ZA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DONOŠENJE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ZAKONA</w:t>
      </w:r>
    </w:p>
    <w:p w:rsidR="00321354" w:rsidRPr="00FC1073" w:rsidRDefault="00321354" w:rsidP="00321354">
      <w:pPr>
        <w:rPr>
          <w:noProof/>
          <w:lang w:val="sr-Latn-CS"/>
        </w:rPr>
      </w:pPr>
      <w:r w:rsidRPr="00FC1073">
        <w:rPr>
          <w:noProof/>
          <w:lang w:val="sr-Latn-CS"/>
        </w:rPr>
        <w:tab/>
      </w:r>
    </w:p>
    <w:p w:rsidR="00321354" w:rsidRPr="00FC1073" w:rsidRDefault="00321354" w:rsidP="00321354">
      <w:pPr>
        <w:jc w:val="both"/>
        <w:rPr>
          <w:noProof/>
          <w:lang w:val="sr-Latn-CS"/>
        </w:rPr>
      </w:pPr>
      <w:r w:rsidRPr="00FC1073">
        <w:rPr>
          <w:noProof/>
          <w:lang w:val="sr-Latn-CS"/>
        </w:rPr>
        <w:tab/>
      </w:r>
      <w:r w:rsidR="00FC1073">
        <w:rPr>
          <w:noProof/>
          <w:lang w:val="sr-Latn-CS"/>
        </w:rPr>
        <w:t>Ustavni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osnov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za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donošenje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Zakona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o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dopunama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Zakona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o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organizaciji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i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nadležnosti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državnih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organa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u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postupku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za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ratne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zločine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sadržan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je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u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članu</w:t>
      </w:r>
      <w:r w:rsidRPr="00FC1073">
        <w:rPr>
          <w:noProof/>
          <w:lang w:val="sr-Latn-CS"/>
        </w:rPr>
        <w:t xml:space="preserve"> 97. </w:t>
      </w:r>
      <w:r w:rsidR="00FC1073">
        <w:rPr>
          <w:noProof/>
          <w:lang w:val="sr-Latn-CS"/>
        </w:rPr>
        <w:t>tač</w:t>
      </w:r>
      <w:r w:rsidRPr="00FC1073">
        <w:rPr>
          <w:noProof/>
          <w:lang w:val="sr-Latn-CS"/>
        </w:rPr>
        <w:t xml:space="preserve">. 2. </w:t>
      </w:r>
      <w:r w:rsidR="00FC1073">
        <w:rPr>
          <w:noProof/>
          <w:lang w:val="sr-Latn-CS"/>
        </w:rPr>
        <w:t>i</w:t>
      </w:r>
      <w:r w:rsidRPr="00FC1073">
        <w:rPr>
          <w:noProof/>
          <w:lang w:val="sr-Latn-CS"/>
        </w:rPr>
        <w:t xml:space="preserve"> 16. </w:t>
      </w:r>
      <w:r w:rsidR="00FC1073">
        <w:rPr>
          <w:noProof/>
          <w:lang w:val="sr-Latn-CS"/>
        </w:rPr>
        <w:t>Ustava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Republike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Srbije</w:t>
      </w:r>
      <w:r w:rsidRPr="00FC1073">
        <w:rPr>
          <w:noProof/>
          <w:lang w:val="sr-Latn-CS"/>
        </w:rPr>
        <w:t xml:space="preserve">, </w:t>
      </w:r>
      <w:r w:rsidR="00FC1073">
        <w:rPr>
          <w:noProof/>
          <w:lang w:val="sr-Latn-CS"/>
        </w:rPr>
        <w:t>kojima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je</w:t>
      </w:r>
      <w:r w:rsidRPr="00FC1073">
        <w:rPr>
          <w:noProof/>
          <w:lang w:val="sr-Latn-CS"/>
        </w:rPr>
        <w:t xml:space="preserve">, </w:t>
      </w:r>
      <w:r w:rsidR="00FC1073">
        <w:rPr>
          <w:noProof/>
          <w:lang w:val="sr-Latn-CS"/>
        </w:rPr>
        <w:t>između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ostalog</w:t>
      </w:r>
      <w:r w:rsidRPr="00FC1073">
        <w:rPr>
          <w:noProof/>
          <w:lang w:val="sr-Latn-CS"/>
        </w:rPr>
        <w:t xml:space="preserve">, </w:t>
      </w:r>
      <w:r w:rsidR="00FC1073">
        <w:rPr>
          <w:noProof/>
          <w:lang w:val="sr-Latn-CS"/>
        </w:rPr>
        <w:t>propisano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da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Republika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Srbija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uređuje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i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obezbeđuje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postupke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pred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sudovima</w:t>
      </w:r>
      <w:r w:rsidRPr="00FC1073">
        <w:rPr>
          <w:noProof/>
          <w:lang w:val="sr-Latn-CS"/>
        </w:rPr>
        <w:t xml:space="preserve">, </w:t>
      </w:r>
      <w:r w:rsidR="00FC1073">
        <w:rPr>
          <w:noProof/>
          <w:lang w:val="sr-Latn-CS"/>
        </w:rPr>
        <w:t>kao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i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organizaciju</w:t>
      </w:r>
      <w:r w:rsidRPr="00FC1073">
        <w:rPr>
          <w:noProof/>
          <w:lang w:val="sr-Latn-CS"/>
        </w:rPr>
        <w:t xml:space="preserve">, </w:t>
      </w:r>
      <w:r w:rsidR="00FC1073">
        <w:rPr>
          <w:noProof/>
          <w:lang w:val="sr-Latn-CS"/>
        </w:rPr>
        <w:t>nadležnost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i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rad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republičkih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organa</w:t>
      </w:r>
      <w:r w:rsidRPr="00FC1073">
        <w:rPr>
          <w:noProof/>
          <w:lang w:val="sr-Latn-CS"/>
        </w:rPr>
        <w:t xml:space="preserve">. </w:t>
      </w:r>
    </w:p>
    <w:p w:rsidR="00321354" w:rsidRPr="00FC1073" w:rsidRDefault="00321354" w:rsidP="00321354">
      <w:pPr>
        <w:jc w:val="both"/>
        <w:rPr>
          <w:noProof/>
          <w:lang w:val="sr-Latn-CS"/>
        </w:rPr>
      </w:pPr>
    </w:p>
    <w:p w:rsidR="00321354" w:rsidRPr="00FC1073" w:rsidRDefault="00321354" w:rsidP="00321354">
      <w:pPr>
        <w:jc w:val="both"/>
        <w:rPr>
          <w:noProof/>
          <w:lang w:val="sr-Latn-CS"/>
        </w:rPr>
      </w:pPr>
      <w:r w:rsidRPr="00FC1073">
        <w:rPr>
          <w:noProof/>
          <w:lang w:val="sr-Latn-CS"/>
        </w:rPr>
        <w:tab/>
        <w:t xml:space="preserve"> </w:t>
      </w:r>
    </w:p>
    <w:p w:rsidR="00321354" w:rsidRPr="00FC1073" w:rsidRDefault="00321354" w:rsidP="00321354">
      <w:pPr>
        <w:jc w:val="both"/>
        <w:rPr>
          <w:noProof/>
          <w:lang w:val="sr-Latn-CS"/>
        </w:rPr>
      </w:pPr>
      <w:r w:rsidRPr="00FC1073">
        <w:rPr>
          <w:noProof/>
          <w:lang w:val="sr-Latn-CS"/>
        </w:rPr>
        <w:tab/>
        <w:t xml:space="preserve">II. </w:t>
      </w:r>
      <w:r w:rsidR="00FC1073">
        <w:rPr>
          <w:noProof/>
          <w:lang w:val="sr-Latn-CS"/>
        </w:rPr>
        <w:t>RAZLOZI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ZA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DONOŠENJE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ZAKONA</w:t>
      </w:r>
    </w:p>
    <w:p w:rsidR="00321354" w:rsidRPr="00FC1073" w:rsidRDefault="00321354" w:rsidP="00321354">
      <w:pPr>
        <w:jc w:val="both"/>
        <w:rPr>
          <w:noProof/>
          <w:lang w:val="sr-Latn-CS"/>
        </w:rPr>
      </w:pPr>
      <w:r w:rsidRPr="00FC1073">
        <w:rPr>
          <w:noProof/>
          <w:lang w:val="sr-Latn-CS"/>
        </w:rPr>
        <w:tab/>
        <w:t xml:space="preserve"> </w:t>
      </w:r>
    </w:p>
    <w:p w:rsidR="00321354" w:rsidRPr="00FC1073" w:rsidRDefault="00321354" w:rsidP="00321354">
      <w:pPr>
        <w:jc w:val="both"/>
        <w:rPr>
          <w:noProof/>
          <w:lang w:val="sr-Latn-CS"/>
        </w:rPr>
      </w:pPr>
      <w:r w:rsidRPr="00FC1073">
        <w:rPr>
          <w:noProof/>
          <w:lang w:val="sr-Latn-CS"/>
        </w:rPr>
        <w:tab/>
      </w:r>
      <w:r w:rsidR="00FC1073">
        <w:rPr>
          <w:noProof/>
          <w:lang w:val="sr-Latn-CS"/>
        </w:rPr>
        <w:t>Zakonom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o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organizaciji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i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nadležnosti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državnih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organa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u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postupku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za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ratne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zločine</w:t>
      </w:r>
      <w:r w:rsidRPr="00FC1073">
        <w:rPr>
          <w:noProof/>
          <w:lang w:val="sr-Latn-CS"/>
        </w:rPr>
        <w:t xml:space="preserve">  </w:t>
      </w:r>
      <w:r w:rsidR="00FC1073">
        <w:rPr>
          <w:noProof/>
          <w:lang w:val="sr-Latn-CS"/>
        </w:rPr>
        <w:t>uređeno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je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obrazovanje</w:t>
      </w:r>
      <w:r w:rsidRPr="00FC1073">
        <w:rPr>
          <w:noProof/>
          <w:lang w:val="sr-Latn-CS"/>
        </w:rPr>
        <w:t xml:space="preserve">, </w:t>
      </w:r>
      <w:r w:rsidR="00FC1073">
        <w:rPr>
          <w:noProof/>
          <w:lang w:val="sr-Latn-CS"/>
        </w:rPr>
        <w:t>organizacija</w:t>
      </w:r>
      <w:r w:rsidRPr="00FC1073">
        <w:rPr>
          <w:noProof/>
          <w:lang w:val="sr-Latn-CS"/>
        </w:rPr>
        <w:t xml:space="preserve">, </w:t>
      </w:r>
      <w:r w:rsidR="00FC1073">
        <w:rPr>
          <w:noProof/>
          <w:lang w:val="sr-Latn-CS"/>
        </w:rPr>
        <w:t>nadležnost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i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ovlašćenja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državnih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organa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i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njihovih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organizacionih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jedinica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radi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otkrivanja</w:t>
      </w:r>
      <w:r w:rsidRPr="00FC1073">
        <w:rPr>
          <w:noProof/>
          <w:lang w:val="sr-Latn-CS"/>
        </w:rPr>
        <w:t xml:space="preserve">, </w:t>
      </w:r>
      <w:r w:rsidR="00FC1073">
        <w:rPr>
          <w:noProof/>
          <w:lang w:val="sr-Latn-CS"/>
        </w:rPr>
        <w:t>krivičnog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gonjenja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i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suđenja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za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krivična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dela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ratnih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zločina</w:t>
      </w:r>
      <w:r w:rsidRPr="00FC1073">
        <w:rPr>
          <w:noProof/>
          <w:lang w:val="sr-Latn-CS"/>
        </w:rPr>
        <w:t xml:space="preserve">. </w:t>
      </w:r>
    </w:p>
    <w:p w:rsidR="00321354" w:rsidRPr="00FC1073" w:rsidRDefault="00321354" w:rsidP="00321354">
      <w:pPr>
        <w:jc w:val="both"/>
        <w:rPr>
          <w:noProof/>
          <w:lang w:val="sr-Latn-CS"/>
        </w:rPr>
      </w:pPr>
      <w:bookmarkStart w:id="0" w:name="str_37"/>
      <w:bookmarkEnd w:id="0"/>
      <w:r w:rsidRPr="00FC1073">
        <w:rPr>
          <w:noProof/>
          <w:lang w:val="sr-Latn-CS"/>
        </w:rPr>
        <w:tab/>
      </w:r>
      <w:r w:rsidR="00FC1073">
        <w:rPr>
          <w:noProof/>
          <w:lang w:val="sr-Latn-CS"/>
        </w:rPr>
        <w:t>Ustavom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Republike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Srbije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i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Zakonom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o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javnom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tužilaštvu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propisano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je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da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se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javni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tužilac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bira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na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mandat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od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šest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godina</w:t>
      </w:r>
      <w:r w:rsidRPr="00FC1073">
        <w:rPr>
          <w:noProof/>
          <w:lang w:val="sr-Latn-CS"/>
        </w:rPr>
        <w:t xml:space="preserve">. </w:t>
      </w:r>
      <w:r w:rsidR="00FC1073">
        <w:rPr>
          <w:noProof/>
          <w:lang w:val="sr-Latn-CS"/>
        </w:rPr>
        <w:t>Zakonom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javnom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tužilaštvu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propisano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je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da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funkcija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javnog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tužioca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prestaje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zbog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navršavanja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radnog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veka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kada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lice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koje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obavlja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tu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funkciju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navrši</w:t>
      </w:r>
      <w:r w:rsidRPr="00FC1073">
        <w:rPr>
          <w:noProof/>
          <w:lang w:val="sr-Latn-CS"/>
        </w:rPr>
        <w:t xml:space="preserve"> 65 </w:t>
      </w:r>
      <w:r w:rsidR="00FC1073">
        <w:rPr>
          <w:noProof/>
          <w:lang w:val="sr-Latn-CS"/>
        </w:rPr>
        <w:t>godina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života</w:t>
      </w:r>
      <w:r w:rsidRPr="00FC1073">
        <w:rPr>
          <w:noProof/>
          <w:lang w:val="sr-Latn-CS"/>
        </w:rPr>
        <w:t xml:space="preserve">. </w:t>
      </w:r>
    </w:p>
    <w:p w:rsidR="00321354" w:rsidRPr="00FC1073" w:rsidRDefault="00FC1073" w:rsidP="00321354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Zakonom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predlaže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Tužiocu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ratne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zločine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ta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funcija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prestaje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istekom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mandata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izabran</w:t>
      </w:r>
      <w:r w:rsidR="00321354" w:rsidRPr="00FC1073">
        <w:rPr>
          <w:noProof/>
          <w:lang w:val="sr-Latn-CS"/>
        </w:rPr>
        <w:t xml:space="preserve">, </w:t>
      </w:r>
      <w:r>
        <w:rPr>
          <w:noProof/>
          <w:lang w:val="sr-Latn-CS"/>
        </w:rPr>
        <w:t>bez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obzira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toku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trajanja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mandata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ispunjen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uslov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prestanak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funkcije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zbog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navršenja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radnog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veka</w:t>
      </w:r>
      <w:r w:rsidR="00321354" w:rsidRPr="00FC1073">
        <w:rPr>
          <w:noProof/>
          <w:lang w:val="sr-Latn-CS"/>
        </w:rPr>
        <w:t xml:space="preserve">. </w:t>
      </w:r>
      <w:r>
        <w:rPr>
          <w:noProof/>
          <w:lang w:val="sr-Latn-CS"/>
        </w:rPr>
        <w:t>Ovakvo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predlaže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razloga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specifičnosti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Tužilaštva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ratne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zločine</w:t>
      </w:r>
      <w:r w:rsidR="00321354" w:rsidRPr="00FC1073">
        <w:rPr>
          <w:noProof/>
          <w:lang w:val="sr-Latn-CS"/>
        </w:rPr>
        <w:t xml:space="preserve">, </w:t>
      </w:r>
      <w:r>
        <w:rPr>
          <w:noProof/>
          <w:lang w:val="sr-Latn-CS"/>
        </w:rPr>
        <w:t>koje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gonjenje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krivičnih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dela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ratnih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zločina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počinjenih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bivše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Jugoslavije</w:t>
      </w:r>
      <w:r w:rsidR="00321354" w:rsidRPr="00FC1073">
        <w:rPr>
          <w:noProof/>
          <w:lang w:val="sr-Latn-CS"/>
        </w:rPr>
        <w:t xml:space="preserve">. </w:t>
      </w:r>
      <w:r>
        <w:rPr>
          <w:noProof/>
          <w:lang w:val="sr-Latn-CS"/>
        </w:rPr>
        <w:t>Imajući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složenost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rdi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ovo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tužilaštvo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neophodno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obezbediti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kontinuitet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predmetima</w:t>
      </w:r>
      <w:r w:rsidR="00321354" w:rsidRPr="00FC1073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taj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omogućilo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tužilac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rukovodi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tužilaštvom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tu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funkciju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kraja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mandata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izabran</w:t>
      </w:r>
      <w:r w:rsidR="00321354" w:rsidRPr="00FC1073">
        <w:rPr>
          <w:noProof/>
          <w:lang w:val="sr-Latn-CS"/>
        </w:rPr>
        <w:t>.</w:t>
      </w:r>
    </w:p>
    <w:p w:rsidR="00321354" w:rsidRPr="00FC1073" w:rsidRDefault="00321354" w:rsidP="00321354">
      <w:pPr>
        <w:jc w:val="both"/>
        <w:rPr>
          <w:noProof/>
          <w:lang w:val="sr-Latn-CS"/>
        </w:rPr>
      </w:pPr>
    </w:p>
    <w:p w:rsidR="00321354" w:rsidRPr="00FC1073" w:rsidRDefault="00321354" w:rsidP="00321354">
      <w:pPr>
        <w:jc w:val="both"/>
        <w:rPr>
          <w:noProof/>
          <w:lang w:val="sr-Latn-CS"/>
        </w:rPr>
      </w:pPr>
    </w:p>
    <w:p w:rsidR="00321354" w:rsidRPr="00FC1073" w:rsidRDefault="00321354" w:rsidP="00321354">
      <w:pPr>
        <w:jc w:val="both"/>
        <w:rPr>
          <w:noProof/>
          <w:lang w:val="sr-Latn-CS"/>
        </w:rPr>
      </w:pPr>
      <w:r w:rsidRPr="00FC1073">
        <w:rPr>
          <w:noProof/>
          <w:lang w:val="sr-Latn-CS"/>
        </w:rPr>
        <w:tab/>
        <w:t xml:space="preserve">III. </w:t>
      </w:r>
      <w:r w:rsidR="00FC1073">
        <w:rPr>
          <w:noProof/>
          <w:lang w:val="sr-Latn-CS"/>
        </w:rPr>
        <w:t>OBJAŠNJENJE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OSNOVNIH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PRAVNIH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INSTITUTA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I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POJEDINAČNIH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REŠENJA</w:t>
      </w:r>
    </w:p>
    <w:p w:rsidR="00321354" w:rsidRPr="00FC1073" w:rsidRDefault="00321354" w:rsidP="00321354">
      <w:pPr>
        <w:jc w:val="both"/>
        <w:rPr>
          <w:noProof/>
          <w:lang w:val="sr-Latn-CS"/>
        </w:rPr>
      </w:pPr>
    </w:p>
    <w:p w:rsidR="00321354" w:rsidRPr="00FC1073" w:rsidRDefault="00FC1073" w:rsidP="00321354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lastRenderedPageBreak/>
        <w:t>Članom</w:t>
      </w:r>
      <w:r w:rsidR="00321354" w:rsidRPr="00FC1073">
        <w:rPr>
          <w:noProof/>
          <w:lang w:val="sr-Latn-CS"/>
        </w:rPr>
        <w:t xml:space="preserve"> 1. </w:t>
      </w:r>
      <w:r>
        <w:rPr>
          <w:noProof/>
          <w:lang w:val="sr-Latn-CS"/>
        </w:rPr>
        <w:t>Zakona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dopunjuje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član</w:t>
      </w:r>
      <w:r w:rsidR="00321354" w:rsidRPr="00FC1073">
        <w:rPr>
          <w:noProof/>
          <w:lang w:val="sr-Latn-CS"/>
        </w:rPr>
        <w:t xml:space="preserve"> 5. </w:t>
      </w:r>
      <w:r>
        <w:rPr>
          <w:noProof/>
          <w:lang w:val="sr-Latn-CS"/>
        </w:rPr>
        <w:t>Zakona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organizaciji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nadležnosti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državnih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ratne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zločine</w:t>
      </w:r>
      <w:r w:rsidR="00321354" w:rsidRPr="00FC1073">
        <w:rPr>
          <w:noProof/>
          <w:lang w:val="sr-Latn-CS"/>
        </w:rPr>
        <w:t xml:space="preserve">, </w:t>
      </w:r>
      <w:r>
        <w:rPr>
          <w:noProof/>
          <w:lang w:val="sr-Latn-CS"/>
        </w:rPr>
        <w:t>tako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dodaju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st</w:t>
      </w:r>
      <w:r w:rsidR="00321354" w:rsidRPr="00FC1073">
        <w:rPr>
          <w:noProof/>
          <w:lang w:val="sr-Latn-CS"/>
        </w:rPr>
        <w:t xml:space="preserve">. 4. </w:t>
      </w:r>
      <w:r>
        <w:rPr>
          <w:noProof/>
          <w:lang w:val="sr-Latn-CS"/>
        </w:rPr>
        <w:t>i</w:t>
      </w:r>
      <w:r w:rsidR="00321354" w:rsidRPr="00FC1073">
        <w:rPr>
          <w:noProof/>
          <w:lang w:val="sr-Latn-CS"/>
        </w:rPr>
        <w:t xml:space="preserve"> 5, </w:t>
      </w:r>
      <w:r>
        <w:rPr>
          <w:noProof/>
          <w:lang w:val="sr-Latn-CS"/>
        </w:rPr>
        <w:t>kojima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Tužiocu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ratne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zločine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funkcija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prestaje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navršenjem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radnog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veka</w:t>
      </w:r>
      <w:r w:rsidR="00321354" w:rsidRPr="00FC1073">
        <w:rPr>
          <w:noProof/>
          <w:lang w:val="sr-Latn-CS"/>
        </w:rPr>
        <w:t xml:space="preserve">, </w:t>
      </w:r>
      <w:r>
        <w:rPr>
          <w:noProof/>
          <w:lang w:val="sr-Latn-CS"/>
        </w:rPr>
        <w:t>ako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mu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istekao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mandat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izabran</w:t>
      </w:r>
      <w:r w:rsidR="00321354" w:rsidRPr="00FC1073">
        <w:rPr>
          <w:noProof/>
          <w:lang w:val="sr-Latn-CS"/>
        </w:rPr>
        <w:t xml:space="preserve">, </w:t>
      </w:r>
      <w:r>
        <w:rPr>
          <w:noProof/>
          <w:lang w:val="sr-Latn-CS"/>
        </w:rPr>
        <w:t>već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mu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funkcija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prestaje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istekom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mandata</w:t>
      </w:r>
      <w:r w:rsidR="00321354" w:rsidRPr="00FC1073">
        <w:rPr>
          <w:noProof/>
          <w:lang w:val="sr-Latn-CS"/>
        </w:rPr>
        <w:t xml:space="preserve">. </w:t>
      </w:r>
    </w:p>
    <w:p w:rsidR="00321354" w:rsidRPr="00FC1073" w:rsidRDefault="00FC1073" w:rsidP="00321354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321354" w:rsidRPr="00FC1073">
        <w:rPr>
          <w:noProof/>
          <w:lang w:val="sr-Latn-CS"/>
        </w:rPr>
        <w:t xml:space="preserve"> 2. </w:t>
      </w:r>
      <w:r>
        <w:rPr>
          <w:noProof/>
          <w:lang w:val="sr-Latn-CS"/>
        </w:rPr>
        <w:t>Zakona</w:t>
      </w:r>
      <w:r w:rsidR="00321354" w:rsidRPr="00FC1073">
        <w:rPr>
          <w:noProof/>
          <w:lang w:val="sr-Latn-CS"/>
        </w:rPr>
        <w:t xml:space="preserve"> </w:t>
      </w:r>
      <w:r>
        <w:rPr>
          <w:bCs/>
          <w:noProof/>
          <w:lang w:val="sr-Latn-CS"/>
        </w:rPr>
        <w:t>uređeno</w:t>
      </w:r>
      <w:r w:rsidR="00321354" w:rsidRPr="00FC1073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je</w:t>
      </w:r>
      <w:r w:rsidR="00321354" w:rsidRPr="00FC1073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stupanje</w:t>
      </w:r>
      <w:r w:rsidR="00321354" w:rsidRPr="00FC1073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zakona</w:t>
      </w:r>
      <w:r w:rsidR="00321354" w:rsidRPr="00FC1073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na</w:t>
      </w:r>
      <w:r w:rsidR="00321354" w:rsidRPr="00FC1073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snagu</w:t>
      </w:r>
      <w:r w:rsidR="00321354" w:rsidRPr="00FC1073">
        <w:rPr>
          <w:bCs/>
          <w:noProof/>
          <w:lang w:val="sr-Latn-CS"/>
        </w:rPr>
        <w:t xml:space="preserve">, </w:t>
      </w:r>
      <w:r>
        <w:rPr>
          <w:bCs/>
          <w:noProof/>
          <w:lang w:val="sr-Latn-CS"/>
        </w:rPr>
        <w:t>odnosno</w:t>
      </w:r>
      <w:r w:rsidR="00321354" w:rsidRPr="00FC1073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predviđeno</w:t>
      </w:r>
      <w:r w:rsidR="00321354" w:rsidRPr="00FC1073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je</w:t>
      </w:r>
      <w:r w:rsidR="00321354" w:rsidRPr="00FC1073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da</w:t>
      </w:r>
      <w:r w:rsidR="00321354" w:rsidRPr="00FC1073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zakon</w:t>
      </w:r>
      <w:r w:rsidR="00321354" w:rsidRPr="00FC1073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stupa</w:t>
      </w:r>
      <w:r w:rsidR="00321354" w:rsidRPr="00FC1073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na</w:t>
      </w:r>
      <w:r w:rsidR="00321354" w:rsidRPr="00FC1073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snagu</w:t>
      </w:r>
      <w:r w:rsidR="00321354" w:rsidRPr="00FC1073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narednog</w:t>
      </w:r>
      <w:r w:rsidR="00321354" w:rsidRPr="00FC1073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dana</w:t>
      </w:r>
      <w:r w:rsidR="00321354" w:rsidRPr="00FC1073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od</w:t>
      </w:r>
      <w:r w:rsidR="00321354" w:rsidRPr="00FC1073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dana</w:t>
      </w:r>
      <w:r w:rsidR="00321354" w:rsidRPr="00FC1073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objavljivanja</w:t>
      </w:r>
      <w:r w:rsidR="00321354" w:rsidRPr="00FC1073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</w:t>
      </w:r>
      <w:r w:rsidR="00321354" w:rsidRPr="00FC1073">
        <w:rPr>
          <w:bCs/>
          <w:noProof/>
          <w:lang w:val="sr-Latn-CS"/>
        </w:rPr>
        <w:t xml:space="preserve"> „</w:t>
      </w:r>
      <w:r>
        <w:rPr>
          <w:bCs/>
          <w:noProof/>
          <w:lang w:val="sr-Latn-CS"/>
        </w:rPr>
        <w:t>Službenom</w:t>
      </w:r>
      <w:r w:rsidR="00321354" w:rsidRPr="00FC1073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glasniku</w:t>
      </w:r>
      <w:r w:rsidR="00321354" w:rsidRPr="00FC1073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Republike</w:t>
      </w:r>
      <w:r w:rsidR="00321354" w:rsidRPr="00FC1073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Srbije</w:t>
      </w:r>
      <w:r w:rsidR="00321354" w:rsidRPr="00FC1073">
        <w:rPr>
          <w:bCs/>
          <w:noProof/>
          <w:lang w:val="sr-Latn-CS"/>
        </w:rPr>
        <w:t>”.</w:t>
      </w:r>
    </w:p>
    <w:p w:rsidR="00321354" w:rsidRPr="00FC1073" w:rsidRDefault="00321354" w:rsidP="00321354">
      <w:pPr>
        <w:jc w:val="both"/>
        <w:rPr>
          <w:noProof/>
          <w:lang w:val="sr-Latn-CS"/>
        </w:rPr>
      </w:pPr>
    </w:p>
    <w:p w:rsidR="00321354" w:rsidRPr="00FC1073" w:rsidRDefault="00321354" w:rsidP="00321354">
      <w:pPr>
        <w:jc w:val="both"/>
        <w:rPr>
          <w:noProof/>
          <w:lang w:val="sr-Latn-CS"/>
        </w:rPr>
      </w:pPr>
      <w:r w:rsidRPr="00FC1073">
        <w:rPr>
          <w:noProof/>
          <w:lang w:val="sr-Latn-CS"/>
        </w:rPr>
        <w:t xml:space="preserve">     </w:t>
      </w:r>
    </w:p>
    <w:p w:rsidR="00321354" w:rsidRPr="00FC1073" w:rsidRDefault="00321354" w:rsidP="00321354">
      <w:pPr>
        <w:jc w:val="both"/>
        <w:rPr>
          <w:noProof/>
          <w:lang w:val="sr-Latn-CS"/>
        </w:rPr>
      </w:pPr>
      <w:r w:rsidRPr="00FC1073">
        <w:rPr>
          <w:noProof/>
          <w:lang w:val="sr-Latn-CS"/>
        </w:rPr>
        <w:tab/>
        <w:t xml:space="preserve">IV. </w:t>
      </w:r>
      <w:r w:rsidR="00FC1073">
        <w:rPr>
          <w:noProof/>
          <w:lang w:val="sr-Latn-CS"/>
        </w:rPr>
        <w:t>FINANSIJSKA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SREDSTVA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POTREBNA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ZA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PRIMENU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ZAKONA</w:t>
      </w:r>
    </w:p>
    <w:p w:rsidR="00321354" w:rsidRPr="00FC1073" w:rsidRDefault="00321354" w:rsidP="00321354">
      <w:pPr>
        <w:jc w:val="both"/>
        <w:rPr>
          <w:noProof/>
          <w:lang w:val="sr-Latn-CS"/>
        </w:rPr>
      </w:pPr>
    </w:p>
    <w:p w:rsidR="00321354" w:rsidRPr="00FC1073" w:rsidRDefault="00321354" w:rsidP="00321354">
      <w:pPr>
        <w:jc w:val="both"/>
        <w:rPr>
          <w:noProof/>
          <w:lang w:val="sr-Latn-CS"/>
        </w:rPr>
      </w:pPr>
      <w:r w:rsidRPr="00FC1073">
        <w:rPr>
          <w:noProof/>
          <w:lang w:val="sr-Latn-CS"/>
        </w:rPr>
        <w:tab/>
      </w:r>
      <w:r w:rsidR="00FC1073">
        <w:rPr>
          <w:noProof/>
          <w:lang w:val="sr-Latn-CS"/>
        </w:rPr>
        <w:t>Za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sprovođenje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ovog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zakona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sredstva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su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obezbeđena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u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okviru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budžetskih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sredstava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Tužilaštva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za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ratne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zločine</w:t>
      </w:r>
      <w:r w:rsidRPr="00FC1073">
        <w:rPr>
          <w:noProof/>
          <w:lang w:val="sr-Latn-CS"/>
        </w:rPr>
        <w:t xml:space="preserve">, </w:t>
      </w:r>
      <w:r w:rsidR="00FC1073">
        <w:rPr>
          <w:noProof/>
          <w:lang w:val="sr-Latn-CS"/>
        </w:rPr>
        <w:t>razdeo</w:t>
      </w:r>
      <w:r w:rsidRPr="00FC1073">
        <w:rPr>
          <w:noProof/>
          <w:lang w:val="sr-Latn-CS"/>
        </w:rPr>
        <w:t xml:space="preserve"> 8.2, </w:t>
      </w:r>
      <w:r w:rsidR="00FC1073">
        <w:rPr>
          <w:noProof/>
          <w:lang w:val="sr-Latn-CS"/>
        </w:rPr>
        <w:t>program</w:t>
      </w:r>
      <w:r w:rsidRPr="00FC1073">
        <w:rPr>
          <w:noProof/>
          <w:lang w:val="sr-Latn-CS"/>
        </w:rPr>
        <w:t xml:space="preserve"> 1604-</w:t>
      </w:r>
      <w:r w:rsidR="00FC1073">
        <w:rPr>
          <w:noProof/>
          <w:lang w:val="sr-Latn-CS"/>
        </w:rPr>
        <w:t>Rad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tužilaštva</w:t>
      </w:r>
      <w:r w:rsidRPr="00FC1073">
        <w:rPr>
          <w:noProof/>
          <w:lang w:val="sr-Latn-CS"/>
        </w:rPr>
        <w:t xml:space="preserve">, </w:t>
      </w:r>
      <w:r w:rsidR="00FC1073">
        <w:rPr>
          <w:noProof/>
          <w:lang w:val="sr-Latn-CS"/>
        </w:rPr>
        <w:t>funkcija</w:t>
      </w:r>
      <w:r w:rsidRPr="00FC1073">
        <w:rPr>
          <w:noProof/>
          <w:lang w:val="sr-Latn-CS"/>
        </w:rPr>
        <w:t xml:space="preserve"> 330-</w:t>
      </w:r>
      <w:r w:rsidR="00FC1073">
        <w:rPr>
          <w:noProof/>
          <w:lang w:val="sr-Latn-CS"/>
        </w:rPr>
        <w:t>Sudovi</w:t>
      </w:r>
      <w:r w:rsidRPr="00FC1073">
        <w:rPr>
          <w:noProof/>
          <w:lang w:val="sr-Latn-CS"/>
        </w:rPr>
        <w:t xml:space="preserve">, </w:t>
      </w:r>
      <w:r w:rsidR="00FC1073">
        <w:rPr>
          <w:noProof/>
          <w:lang w:val="sr-Latn-CS"/>
        </w:rPr>
        <w:t>programska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aktivnost</w:t>
      </w:r>
      <w:r w:rsidRPr="00FC1073">
        <w:rPr>
          <w:noProof/>
          <w:lang w:val="sr-Latn-CS"/>
        </w:rPr>
        <w:t xml:space="preserve"> 0005-</w:t>
      </w:r>
      <w:r w:rsidR="00FC1073">
        <w:rPr>
          <w:noProof/>
          <w:lang w:val="sr-Latn-CS"/>
        </w:rPr>
        <w:t>Sprovođenje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tužilačkih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aktivnosti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Tužilaštva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za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ratne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zločine</w:t>
      </w:r>
      <w:r w:rsidRPr="00FC1073">
        <w:rPr>
          <w:noProof/>
          <w:lang w:val="sr-Latn-CS"/>
        </w:rPr>
        <w:t xml:space="preserve">, </w:t>
      </w:r>
      <w:r w:rsidR="00FC1073">
        <w:rPr>
          <w:noProof/>
          <w:lang w:val="sr-Latn-CS"/>
        </w:rPr>
        <w:t>ekonomske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klasifikacije</w:t>
      </w:r>
      <w:r w:rsidRPr="00FC1073">
        <w:rPr>
          <w:noProof/>
          <w:lang w:val="sr-Latn-CS"/>
        </w:rPr>
        <w:t xml:space="preserve"> 411- </w:t>
      </w:r>
      <w:r w:rsidR="00FC1073">
        <w:rPr>
          <w:noProof/>
          <w:lang w:val="sr-Latn-CS"/>
        </w:rPr>
        <w:t>Plate</w:t>
      </w:r>
      <w:r w:rsidRPr="00FC1073">
        <w:rPr>
          <w:noProof/>
          <w:lang w:val="sr-Latn-CS"/>
        </w:rPr>
        <w:t xml:space="preserve">, </w:t>
      </w:r>
      <w:r w:rsidR="00FC1073">
        <w:rPr>
          <w:noProof/>
          <w:lang w:val="sr-Latn-CS"/>
        </w:rPr>
        <w:t>dodaci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i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naknade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zaposlenih</w:t>
      </w:r>
      <w:r w:rsidRPr="00FC1073">
        <w:rPr>
          <w:noProof/>
          <w:lang w:val="sr-Latn-CS"/>
        </w:rPr>
        <w:t xml:space="preserve"> (</w:t>
      </w:r>
      <w:r w:rsidR="00FC1073">
        <w:rPr>
          <w:noProof/>
          <w:lang w:val="sr-Latn-CS"/>
        </w:rPr>
        <w:t>zarade</w:t>
      </w:r>
      <w:r w:rsidRPr="00FC1073">
        <w:rPr>
          <w:noProof/>
          <w:lang w:val="sr-Latn-CS"/>
        </w:rPr>
        <w:t xml:space="preserve">) </w:t>
      </w:r>
      <w:r w:rsidR="00FC1073">
        <w:rPr>
          <w:noProof/>
          <w:lang w:val="sr-Latn-CS"/>
        </w:rPr>
        <w:t>i</w:t>
      </w:r>
      <w:r w:rsidRPr="00FC1073">
        <w:rPr>
          <w:noProof/>
          <w:lang w:val="sr-Latn-CS"/>
        </w:rPr>
        <w:t xml:space="preserve"> 412-</w:t>
      </w:r>
      <w:r w:rsidR="00FC1073">
        <w:rPr>
          <w:noProof/>
          <w:lang w:val="sr-Latn-CS"/>
        </w:rPr>
        <w:t>Socijalni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doprinosi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na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teret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poslodavca</w:t>
      </w:r>
      <w:r w:rsidRPr="00FC1073">
        <w:rPr>
          <w:noProof/>
          <w:lang w:val="sr-Latn-CS"/>
        </w:rPr>
        <w:t xml:space="preserve">, </w:t>
      </w:r>
      <w:r w:rsidR="00FC1073">
        <w:rPr>
          <w:noProof/>
          <w:lang w:val="sr-Latn-CS"/>
        </w:rPr>
        <w:t>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u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narednim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godinama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sredstva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će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se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planirati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u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okviru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limita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opredeljenog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za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Tužilaštvo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za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ratne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zločine</w:t>
      </w:r>
      <w:r w:rsidRPr="00FC1073">
        <w:rPr>
          <w:noProof/>
          <w:lang w:val="sr-Latn-CS"/>
        </w:rPr>
        <w:t>.</w:t>
      </w:r>
    </w:p>
    <w:p w:rsidR="00321354" w:rsidRPr="00FC1073" w:rsidRDefault="00321354" w:rsidP="00321354">
      <w:pPr>
        <w:jc w:val="both"/>
        <w:rPr>
          <w:noProof/>
          <w:lang w:val="sr-Latn-CS"/>
        </w:rPr>
      </w:pPr>
    </w:p>
    <w:p w:rsidR="00321354" w:rsidRPr="00FC1073" w:rsidRDefault="00321354" w:rsidP="00321354">
      <w:pPr>
        <w:jc w:val="both"/>
        <w:rPr>
          <w:noProof/>
          <w:lang w:val="sr-Latn-CS"/>
        </w:rPr>
      </w:pPr>
      <w:r w:rsidRPr="00FC1073">
        <w:rPr>
          <w:noProof/>
          <w:lang w:val="sr-Latn-CS"/>
        </w:rPr>
        <w:tab/>
        <w:t xml:space="preserve">V. </w:t>
      </w:r>
      <w:r w:rsidR="00FC1073">
        <w:rPr>
          <w:noProof/>
          <w:lang w:val="sr-Latn-CS"/>
        </w:rPr>
        <w:t>RAZLOZI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ZA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DONOŠENJE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ZAKONA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PO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HITNOM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POSTUPKU</w:t>
      </w:r>
    </w:p>
    <w:p w:rsidR="00321354" w:rsidRPr="00FC1073" w:rsidRDefault="00321354" w:rsidP="00321354">
      <w:pPr>
        <w:jc w:val="both"/>
        <w:rPr>
          <w:noProof/>
          <w:lang w:val="sr-Latn-CS"/>
        </w:rPr>
      </w:pPr>
    </w:p>
    <w:p w:rsidR="00321354" w:rsidRPr="00FC1073" w:rsidRDefault="00321354" w:rsidP="00321354">
      <w:pPr>
        <w:jc w:val="both"/>
        <w:rPr>
          <w:noProof/>
          <w:lang w:val="sr-Latn-CS"/>
        </w:rPr>
      </w:pPr>
      <w:r w:rsidRPr="00FC1073">
        <w:rPr>
          <w:noProof/>
          <w:lang w:val="sr-Latn-CS"/>
        </w:rPr>
        <w:tab/>
      </w:r>
      <w:r w:rsidR="00FC1073">
        <w:rPr>
          <w:noProof/>
          <w:lang w:val="sr-Latn-CS"/>
        </w:rPr>
        <w:t>Predlaže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se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da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se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Zakon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o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dopunama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Zakona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o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organizaciji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i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nadležnosti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državnih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organa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u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postupku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za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ratne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zločine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sudijama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donese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po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hitnom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postupku</w:t>
      </w:r>
      <w:r w:rsidRPr="00FC1073">
        <w:rPr>
          <w:noProof/>
          <w:lang w:val="sr-Latn-CS"/>
        </w:rPr>
        <w:t xml:space="preserve">, </w:t>
      </w:r>
      <w:r w:rsidR="00FC1073">
        <w:rPr>
          <w:noProof/>
          <w:lang w:val="sr-Latn-CS"/>
        </w:rPr>
        <w:t>iz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razloga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što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bi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nedonošenje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zakona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po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hitnom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postupku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moglo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da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prouzrokuje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štetne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posledice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po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rad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Tužilaštva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za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ratne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zločine</w:t>
      </w:r>
      <w:r w:rsidRPr="00FC1073">
        <w:rPr>
          <w:noProof/>
          <w:lang w:val="sr-Latn-CS"/>
        </w:rPr>
        <w:t xml:space="preserve">, </w:t>
      </w:r>
      <w:r w:rsidR="00FC1073">
        <w:rPr>
          <w:noProof/>
          <w:lang w:val="sr-Latn-CS"/>
        </w:rPr>
        <w:t>kao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i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radi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ispunjenja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međunarodnih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obaveza</w:t>
      </w:r>
      <w:r w:rsidRPr="00FC1073">
        <w:rPr>
          <w:noProof/>
          <w:lang w:val="sr-Latn-CS"/>
        </w:rPr>
        <w:t>.</w:t>
      </w:r>
      <w:r w:rsidRPr="00FC1073">
        <w:rPr>
          <w:noProof/>
          <w:lang w:val="sr-Latn-CS"/>
        </w:rPr>
        <w:tab/>
        <w:t xml:space="preserve"> </w:t>
      </w:r>
    </w:p>
    <w:p w:rsidR="00321354" w:rsidRPr="00FC1073" w:rsidRDefault="00321354" w:rsidP="00321354">
      <w:pPr>
        <w:jc w:val="both"/>
        <w:rPr>
          <w:noProof/>
          <w:lang w:val="sr-Latn-CS"/>
        </w:rPr>
      </w:pPr>
    </w:p>
    <w:p w:rsidR="00321354" w:rsidRPr="00FC1073" w:rsidRDefault="00321354" w:rsidP="00321354">
      <w:pPr>
        <w:jc w:val="both"/>
        <w:rPr>
          <w:noProof/>
          <w:lang w:val="sr-Latn-CS"/>
        </w:rPr>
      </w:pPr>
    </w:p>
    <w:p w:rsidR="00321354" w:rsidRPr="00FC1073" w:rsidRDefault="00321354" w:rsidP="00321354">
      <w:pPr>
        <w:ind w:firstLine="720"/>
        <w:jc w:val="both"/>
        <w:rPr>
          <w:noProof/>
          <w:lang w:val="sr-Latn-CS"/>
        </w:rPr>
      </w:pPr>
      <w:r w:rsidRPr="00FC1073">
        <w:rPr>
          <w:noProof/>
          <w:lang w:val="sr-Latn-CS"/>
        </w:rPr>
        <w:t xml:space="preserve">VI. </w:t>
      </w:r>
      <w:r w:rsidR="00FC1073">
        <w:rPr>
          <w:noProof/>
          <w:lang w:val="sr-Latn-CS"/>
        </w:rPr>
        <w:t>RAZLOZI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ZBOG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KOJIH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SE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PREDLAŽE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DA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ZAKON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STUPI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NA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SNAGU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PRE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OSMOG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DANA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OD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DANA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OBJAVLJIVANJA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U</w:t>
      </w:r>
      <w:r w:rsidRPr="00FC1073">
        <w:rPr>
          <w:noProof/>
          <w:lang w:val="sr-Latn-CS"/>
        </w:rPr>
        <w:t xml:space="preserve"> „</w:t>
      </w:r>
      <w:r w:rsidR="00FC1073">
        <w:rPr>
          <w:noProof/>
          <w:lang w:val="sr-Latn-CS"/>
        </w:rPr>
        <w:t>SLUŽBENOM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GLASNIKU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REPUBLIKE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SRBIJE</w:t>
      </w:r>
      <w:r w:rsidRPr="00FC1073">
        <w:rPr>
          <w:noProof/>
          <w:lang w:val="sr-Latn-CS"/>
        </w:rPr>
        <w:t>”</w:t>
      </w:r>
    </w:p>
    <w:p w:rsidR="00321354" w:rsidRPr="00FC1073" w:rsidRDefault="00321354" w:rsidP="00321354">
      <w:pPr>
        <w:ind w:firstLine="720"/>
        <w:jc w:val="both"/>
        <w:rPr>
          <w:noProof/>
          <w:lang w:val="sr-Latn-CS"/>
        </w:rPr>
      </w:pPr>
    </w:p>
    <w:p w:rsidR="00321354" w:rsidRPr="00FC1073" w:rsidRDefault="00FC1073" w:rsidP="00321354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Odredbom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321354" w:rsidRPr="00FC1073">
        <w:rPr>
          <w:noProof/>
          <w:lang w:val="sr-Latn-CS"/>
        </w:rPr>
        <w:t xml:space="preserve"> 196. </w:t>
      </w:r>
      <w:r>
        <w:rPr>
          <w:noProof/>
          <w:lang w:val="sr-Latn-CS"/>
        </w:rPr>
        <w:t>stav</w:t>
      </w:r>
      <w:r w:rsidR="00321354" w:rsidRPr="00FC1073">
        <w:rPr>
          <w:noProof/>
          <w:lang w:val="sr-Latn-CS"/>
        </w:rPr>
        <w:t xml:space="preserve"> 4. </w:t>
      </w:r>
      <w:r>
        <w:rPr>
          <w:noProof/>
          <w:lang w:val="sr-Latn-CS"/>
        </w:rPr>
        <w:t>Ustava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propisano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zakoni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drugi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opšti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akti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stupe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pre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osmog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objavljivanja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samo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naročito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opravdani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razlozi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utvrđeni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prilikom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njihovog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321354" w:rsidRPr="00FC1073">
        <w:rPr>
          <w:noProof/>
          <w:lang w:val="sr-Latn-CS"/>
        </w:rPr>
        <w:t>.</w:t>
      </w:r>
      <w:r w:rsidR="00321354" w:rsidRPr="00FC1073">
        <w:rPr>
          <w:noProof/>
          <w:lang w:val="sr-Latn-CS"/>
        </w:rPr>
        <w:tab/>
      </w:r>
    </w:p>
    <w:p w:rsidR="00321354" w:rsidRPr="00FC1073" w:rsidRDefault="00321354" w:rsidP="00321354">
      <w:pPr>
        <w:ind w:firstLine="720"/>
        <w:jc w:val="both"/>
        <w:rPr>
          <w:noProof/>
          <w:lang w:val="sr-Latn-CS"/>
        </w:rPr>
      </w:pPr>
    </w:p>
    <w:p w:rsidR="00321354" w:rsidRPr="00FC1073" w:rsidRDefault="00FC1073" w:rsidP="00321354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lastRenderedPageBreak/>
        <w:t>U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dopunama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organizaciji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nadležnosti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državnih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ratne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zločine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naročito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opravdani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razlozi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stupi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narednog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objavljivanja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21354" w:rsidRPr="00FC1073">
        <w:rPr>
          <w:noProof/>
          <w:lang w:val="sr-Latn-CS"/>
        </w:rPr>
        <w:t xml:space="preserve"> „</w:t>
      </w:r>
      <w:r>
        <w:rPr>
          <w:noProof/>
          <w:lang w:val="sr-Latn-CS"/>
        </w:rPr>
        <w:t>Službenom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glasniku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321354" w:rsidRPr="00FC1073">
        <w:rPr>
          <w:noProof/>
          <w:lang w:val="sr-Latn-CS"/>
        </w:rPr>
        <w:t xml:space="preserve">”, </w:t>
      </w:r>
      <w:r>
        <w:rPr>
          <w:noProof/>
          <w:lang w:val="sr-Latn-CS"/>
        </w:rPr>
        <w:t>budući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neophodno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sprečavanja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nastanka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štetnih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posledica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Tužilaštva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ratne</w:t>
      </w:r>
      <w:r w:rsidR="00321354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zločine</w:t>
      </w:r>
      <w:r w:rsidR="00321354" w:rsidRPr="00FC1073">
        <w:rPr>
          <w:noProof/>
          <w:lang w:val="sr-Latn-CS"/>
        </w:rPr>
        <w:t>.</w:t>
      </w:r>
    </w:p>
    <w:p w:rsidR="00912B08" w:rsidRPr="00FC1073" w:rsidRDefault="00912B08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 w:rsidRPr="00FC1073">
        <w:rPr>
          <w:rFonts w:ascii="Times New Roman" w:hAnsi="Times New Roman"/>
          <w:noProof/>
          <w:sz w:val="24"/>
          <w:szCs w:val="24"/>
          <w:lang w:val="sr-Latn-CS"/>
        </w:rPr>
        <w:br w:type="page"/>
      </w:r>
    </w:p>
    <w:p w:rsidR="00912B08" w:rsidRPr="00FC1073" w:rsidRDefault="00FC1073" w:rsidP="00912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lastRenderedPageBreak/>
        <w:t>IZJAVA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USKLAĐENOSTI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PROPISA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PROPISIMA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</w:p>
    <w:p w:rsidR="00912B08" w:rsidRPr="00FC1073" w:rsidRDefault="00912B08" w:rsidP="00912B08">
      <w:pPr>
        <w:shd w:val="clear" w:color="auto" w:fill="FFFFFF"/>
        <w:rPr>
          <w:noProof/>
          <w:sz w:val="24"/>
          <w:szCs w:val="24"/>
          <w:lang w:val="sr-Latn-CS"/>
        </w:rPr>
      </w:pPr>
    </w:p>
    <w:p w:rsidR="00912B08" w:rsidRPr="00FC1073" w:rsidRDefault="00912B08" w:rsidP="00912B08">
      <w:pPr>
        <w:pStyle w:val="FootnoteText"/>
        <w:spacing w:line="240" w:lineRule="auto"/>
        <w:rPr>
          <w:noProof/>
          <w:lang w:val="sr-Latn-CS"/>
        </w:rPr>
      </w:pPr>
    </w:p>
    <w:p w:rsidR="00912B08" w:rsidRPr="00FC1073" w:rsidRDefault="00912B08" w:rsidP="00912B08">
      <w:pPr>
        <w:pStyle w:val="FootnoteText"/>
        <w:spacing w:line="240" w:lineRule="auto"/>
        <w:rPr>
          <w:noProof/>
          <w:lang w:val="sr-Latn-CS"/>
        </w:rPr>
      </w:pPr>
    </w:p>
    <w:p w:rsidR="00912B08" w:rsidRPr="00FC1073" w:rsidRDefault="00912B08" w:rsidP="00912B08">
      <w:pPr>
        <w:jc w:val="both"/>
        <w:rPr>
          <w:noProof/>
          <w:lang w:val="sr-Latn-CS"/>
        </w:rPr>
      </w:pPr>
      <w:r w:rsidRPr="00FC1073">
        <w:rPr>
          <w:b/>
          <w:noProof/>
          <w:lang w:val="sr-Latn-CS"/>
        </w:rPr>
        <w:t xml:space="preserve">1. </w:t>
      </w:r>
      <w:r w:rsidR="00FC1073">
        <w:rPr>
          <w:b/>
          <w:noProof/>
          <w:lang w:val="sr-Latn-CS"/>
        </w:rPr>
        <w:t>Ovlašćeni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predlagač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propisa</w:t>
      </w:r>
      <w:r w:rsidRPr="00FC1073">
        <w:rPr>
          <w:b/>
          <w:noProof/>
          <w:lang w:val="sr-Latn-CS"/>
        </w:rPr>
        <w:t xml:space="preserve">- </w:t>
      </w:r>
      <w:r w:rsidR="00FC1073">
        <w:rPr>
          <w:noProof/>
          <w:lang w:val="sr-Latn-CS"/>
        </w:rPr>
        <w:t>Vlada</w:t>
      </w:r>
    </w:p>
    <w:p w:rsidR="00912B08" w:rsidRPr="00FC1073" w:rsidRDefault="00912B08" w:rsidP="00912B08">
      <w:pPr>
        <w:jc w:val="both"/>
        <w:rPr>
          <w:noProof/>
          <w:lang w:val="sr-Latn-CS"/>
        </w:rPr>
      </w:pPr>
    </w:p>
    <w:p w:rsidR="00912B08" w:rsidRPr="00FC1073" w:rsidRDefault="00912B08" w:rsidP="00912B08">
      <w:pPr>
        <w:jc w:val="both"/>
        <w:rPr>
          <w:noProof/>
          <w:lang w:val="sr-Latn-CS"/>
        </w:rPr>
      </w:pPr>
      <w:r w:rsidRPr="00FC1073">
        <w:rPr>
          <w:b/>
          <w:noProof/>
          <w:lang w:val="sr-Latn-CS"/>
        </w:rPr>
        <w:t xml:space="preserve">    </w:t>
      </w:r>
      <w:r w:rsidR="00FC1073">
        <w:rPr>
          <w:b/>
          <w:noProof/>
          <w:lang w:val="sr-Latn-CS"/>
        </w:rPr>
        <w:t>Obrađivač</w:t>
      </w:r>
      <w:r w:rsidRPr="00FC1073">
        <w:rPr>
          <w:b/>
          <w:noProof/>
          <w:lang w:val="sr-Latn-CS"/>
        </w:rPr>
        <w:t xml:space="preserve"> </w:t>
      </w:r>
      <w:r w:rsidRPr="00FC1073">
        <w:rPr>
          <w:noProof/>
          <w:lang w:val="sr-Latn-CS"/>
        </w:rPr>
        <w:t xml:space="preserve">- </w:t>
      </w:r>
      <w:r w:rsidR="00FC1073">
        <w:rPr>
          <w:noProof/>
          <w:lang w:val="sr-Latn-CS"/>
        </w:rPr>
        <w:t>Ministarstvo</w:t>
      </w:r>
      <w:r w:rsidRPr="00FC1073">
        <w:rPr>
          <w:noProof/>
          <w:lang w:val="sr-Latn-CS"/>
        </w:rPr>
        <w:t xml:space="preserve"> </w:t>
      </w:r>
      <w:r w:rsidR="00FC1073">
        <w:rPr>
          <w:noProof/>
          <w:lang w:val="sr-Latn-CS"/>
        </w:rPr>
        <w:t>pravde</w:t>
      </w:r>
    </w:p>
    <w:p w:rsidR="00912B08" w:rsidRPr="00FC1073" w:rsidRDefault="00912B08" w:rsidP="00912B08">
      <w:pPr>
        <w:jc w:val="both"/>
        <w:rPr>
          <w:b/>
          <w:noProof/>
          <w:lang w:val="sr-Latn-CS"/>
        </w:rPr>
      </w:pPr>
    </w:p>
    <w:p w:rsidR="00912B08" w:rsidRPr="00FC1073" w:rsidRDefault="00912B08" w:rsidP="00912B08">
      <w:pPr>
        <w:jc w:val="both"/>
        <w:rPr>
          <w:b/>
          <w:noProof/>
          <w:lang w:val="sr-Latn-CS"/>
        </w:rPr>
      </w:pPr>
      <w:r w:rsidRPr="00FC1073">
        <w:rPr>
          <w:b/>
          <w:noProof/>
          <w:lang w:val="sr-Latn-CS"/>
        </w:rPr>
        <w:t xml:space="preserve">2. </w:t>
      </w:r>
      <w:r w:rsidR="00FC1073">
        <w:rPr>
          <w:b/>
          <w:noProof/>
          <w:lang w:val="sr-Latn-CS"/>
        </w:rPr>
        <w:t>Naziv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propisa</w:t>
      </w:r>
    </w:p>
    <w:p w:rsidR="00912B08" w:rsidRPr="00FC1073" w:rsidRDefault="00912B08" w:rsidP="00912B08">
      <w:pPr>
        <w:jc w:val="both"/>
        <w:rPr>
          <w:b/>
          <w:noProof/>
          <w:lang w:val="sr-Latn-CS"/>
        </w:rPr>
      </w:pPr>
    </w:p>
    <w:p w:rsidR="00912B08" w:rsidRPr="00FC1073" w:rsidRDefault="00FC1073" w:rsidP="00912B08">
      <w:pPr>
        <w:tabs>
          <w:tab w:val="left" w:pos="855"/>
        </w:tabs>
        <w:jc w:val="both"/>
        <w:rPr>
          <w:caps/>
          <w:noProof/>
          <w:lang w:val="sr-Latn-CS"/>
        </w:rPr>
      </w:pPr>
      <w:r>
        <w:rPr>
          <w:noProof/>
          <w:lang w:val="sr-Latn-CS"/>
        </w:rPr>
        <w:t>Predlog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dopunama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organizaciji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nadležnosti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državnih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ratne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zločine</w:t>
      </w:r>
    </w:p>
    <w:p w:rsidR="00912B08" w:rsidRPr="00FC1073" w:rsidRDefault="00912B08" w:rsidP="00912B08">
      <w:pPr>
        <w:jc w:val="both"/>
        <w:rPr>
          <w:noProof/>
          <w:lang w:val="sr-Latn-CS"/>
        </w:rPr>
      </w:pPr>
    </w:p>
    <w:p w:rsidR="00912B08" w:rsidRPr="00FC1073" w:rsidRDefault="00912B08" w:rsidP="00912B08">
      <w:pPr>
        <w:jc w:val="both"/>
        <w:rPr>
          <w:bCs/>
          <w:noProof/>
          <w:lang w:val="sr-Latn-CS"/>
        </w:rPr>
      </w:pPr>
      <w:r w:rsidRPr="00FC1073">
        <w:rPr>
          <w:noProof/>
          <w:lang w:val="sr-Latn-CS"/>
        </w:rPr>
        <w:t xml:space="preserve">Draft Law on </w:t>
      </w:r>
      <w:r w:rsidR="00FC1073">
        <w:rPr>
          <w:noProof/>
          <w:lang w:val="sr-Latn-CS"/>
        </w:rPr>
        <w:t>A</w:t>
      </w:r>
      <w:r w:rsidRPr="00FC1073">
        <w:rPr>
          <w:noProof/>
          <w:lang w:val="sr-Latn-CS"/>
        </w:rPr>
        <w:t xml:space="preserve">dditions to the </w:t>
      </w:r>
      <w:r w:rsidRPr="00FC1073">
        <w:rPr>
          <w:bCs/>
          <w:noProof/>
          <w:lang w:val="sr-Latn-CS"/>
        </w:rPr>
        <w:t xml:space="preserve">Law on </w:t>
      </w:r>
      <w:r w:rsidR="00FC1073">
        <w:rPr>
          <w:bCs/>
          <w:noProof/>
          <w:lang w:val="sr-Latn-CS"/>
        </w:rPr>
        <w:t>O</w:t>
      </w:r>
      <w:r w:rsidRPr="00FC1073">
        <w:rPr>
          <w:bCs/>
          <w:noProof/>
          <w:lang w:val="sr-Latn-CS"/>
        </w:rPr>
        <w:t>rganisation and Jurisdiction of Goverment Authorities in War Crime Procedure</w:t>
      </w:r>
    </w:p>
    <w:p w:rsidR="00912B08" w:rsidRPr="00FC1073" w:rsidRDefault="00912B08" w:rsidP="00912B08">
      <w:pPr>
        <w:jc w:val="both"/>
        <w:rPr>
          <w:rStyle w:val="Strong"/>
          <w:rFonts w:ascii="Verdana" w:hAnsi="Verdana"/>
          <w:noProof/>
          <w:color w:val="000000"/>
          <w:sz w:val="28"/>
          <w:szCs w:val="28"/>
          <w:lang w:val="sr-Latn-CS"/>
        </w:rPr>
      </w:pPr>
    </w:p>
    <w:p w:rsidR="00912B08" w:rsidRPr="00FC1073" w:rsidRDefault="00912B08" w:rsidP="00912B08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FC1073">
        <w:rPr>
          <w:b/>
          <w:noProof/>
          <w:lang w:val="sr-Latn-CS"/>
        </w:rPr>
        <w:t xml:space="preserve">3. </w:t>
      </w:r>
      <w:r w:rsidR="00FC1073">
        <w:rPr>
          <w:b/>
          <w:noProof/>
          <w:lang w:val="sr-Latn-CS"/>
        </w:rPr>
        <w:t>Usklađenost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propisa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sa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odredbama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Sporazuma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o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stabilizaciji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i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pridruživanju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između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Evropskih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zajednica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i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njihovih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država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članica</w:t>
      </w:r>
      <w:r w:rsidRPr="00FC1073">
        <w:rPr>
          <w:b/>
          <w:noProof/>
          <w:lang w:val="sr-Latn-CS"/>
        </w:rPr>
        <w:t xml:space="preserve">, </w:t>
      </w:r>
      <w:r w:rsidR="00FC1073">
        <w:rPr>
          <w:b/>
          <w:noProof/>
          <w:lang w:val="sr-Latn-CS"/>
        </w:rPr>
        <w:t>sa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jedne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strane</w:t>
      </w:r>
      <w:r w:rsidRPr="00FC1073">
        <w:rPr>
          <w:b/>
          <w:noProof/>
          <w:lang w:val="sr-Latn-CS"/>
        </w:rPr>
        <w:t xml:space="preserve">, </w:t>
      </w:r>
      <w:r w:rsidR="00FC1073">
        <w:rPr>
          <w:b/>
          <w:noProof/>
          <w:lang w:val="sr-Latn-CS"/>
        </w:rPr>
        <w:t>i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Republike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Srbije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sa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druge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strane</w:t>
      </w:r>
      <w:r w:rsidRPr="00FC1073">
        <w:rPr>
          <w:b/>
          <w:noProof/>
          <w:lang w:val="sr-Latn-CS"/>
        </w:rPr>
        <w:t xml:space="preserve"> („</w:t>
      </w:r>
      <w:r w:rsidR="00FC1073">
        <w:rPr>
          <w:b/>
          <w:noProof/>
          <w:lang w:val="sr-Latn-CS"/>
        </w:rPr>
        <w:t>Službeni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glasnik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RS</w:t>
      </w:r>
      <w:r w:rsidRPr="00FC1073">
        <w:rPr>
          <w:b/>
          <w:noProof/>
          <w:lang w:val="sr-Latn-CS"/>
        </w:rPr>
        <w:t xml:space="preserve">”, </w:t>
      </w:r>
      <w:r w:rsidR="00FC1073">
        <w:rPr>
          <w:b/>
          <w:noProof/>
          <w:lang w:val="sr-Latn-CS"/>
        </w:rPr>
        <w:t>broj</w:t>
      </w:r>
      <w:r w:rsidRPr="00FC1073">
        <w:rPr>
          <w:b/>
          <w:noProof/>
          <w:lang w:val="sr-Latn-CS"/>
        </w:rPr>
        <w:t xml:space="preserve"> 83/08) (</w:t>
      </w:r>
      <w:r w:rsidR="00FC1073">
        <w:rPr>
          <w:b/>
          <w:noProof/>
          <w:lang w:val="sr-Latn-CS"/>
        </w:rPr>
        <w:t>u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daljem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tekstu</w:t>
      </w:r>
      <w:r w:rsidRPr="00FC1073">
        <w:rPr>
          <w:b/>
          <w:noProof/>
          <w:lang w:val="sr-Latn-CS"/>
        </w:rPr>
        <w:t xml:space="preserve">: </w:t>
      </w:r>
      <w:r w:rsidR="00FC1073">
        <w:rPr>
          <w:b/>
          <w:noProof/>
          <w:lang w:val="sr-Latn-CS"/>
        </w:rPr>
        <w:t>Sporazum</w:t>
      </w:r>
      <w:r w:rsidRPr="00FC1073">
        <w:rPr>
          <w:b/>
          <w:noProof/>
          <w:lang w:val="sr-Latn-CS"/>
        </w:rPr>
        <w:t xml:space="preserve">), </w:t>
      </w:r>
      <w:r w:rsidR="00FC1073">
        <w:rPr>
          <w:b/>
          <w:noProof/>
          <w:lang w:val="sr-Latn-CS"/>
        </w:rPr>
        <w:t>odnosno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sa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odredbama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Prelaznog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sporazuma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o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trgovini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i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trgovinskim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pitanjima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između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Evropske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zajednice</w:t>
      </w:r>
      <w:r w:rsidRPr="00FC1073">
        <w:rPr>
          <w:b/>
          <w:noProof/>
          <w:lang w:val="sr-Latn-CS"/>
        </w:rPr>
        <w:t xml:space="preserve">, </w:t>
      </w:r>
      <w:r w:rsidR="00FC1073">
        <w:rPr>
          <w:b/>
          <w:noProof/>
          <w:lang w:val="sr-Latn-CS"/>
        </w:rPr>
        <w:t>sa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jedne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strane</w:t>
      </w:r>
      <w:r w:rsidRPr="00FC1073">
        <w:rPr>
          <w:b/>
          <w:noProof/>
          <w:lang w:val="sr-Latn-CS"/>
        </w:rPr>
        <w:t xml:space="preserve">, </w:t>
      </w:r>
      <w:r w:rsidR="00FC1073">
        <w:rPr>
          <w:b/>
          <w:noProof/>
          <w:lang w:val="sr-Latn-CS"/>
        </w:rPr>
        <w:t>i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Republike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Srbije</w:t>
      </w:r>
      <w:r w:rsidRPr="00FC1073">
        <w:rPr>
          <w:b/>
          <w:noProof/>
          <w:lang w:val="sr-Latn-CS"/>
        </w:rPr>
        <w:t xml:space="preserve">, </w:t>
      </w:r>
      <w:r w:rsidR="00FC1073">
        <w:rPr>
          <w:b/>
          <w:noProof/>
          <w:lang w:val="sr-Latn-CS"/>
        </w:rPr>
        <w:t>sa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druge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strane</w:t>
      </w:r>
      <w:r w:rsidRPr="00FC1073">
        <w:rPr>
          <w:b/>
          <w:noProof/>
          <w:lang w:val="sr-Latn-CS"/>
        </w:rPr>
        <w:t xml:space="preserve"> („</w:t>
      </w:r>
      <w:r w:rsidR="00FC1073">
        <w:rPr>
          <w:b/>
          <w:noProof/>
          <w:lang w:val="sr-Latn-CS"/>
        </w:rPr>
        <w:t>Službeni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glasnik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RS</w:t>
      </w:r>
      <w:r w:rsidRPr="00FC1073">
        <w:rPr>
          <w:b/>
          <w:noProof/>
          <w:lang w:val="sr-Latn-CS"/>
        </w:rPr>
        <w:t xml:space="preserve">”, </w:t>
      </w:r>
      <w:r w:rsidR="00FC1073">
        <w:rPr>
          <w:b/>
          <w:noProof/>
          <w:lang w:val="sr-Latn-CS"/>
        </w:rPr>
        <w:t>broj</w:t>
      </w:r>
      <w:r w:rsidRPr="00FC1073">
        <w:rPr>
          <w:b/>
          <w:noProof/>
          <w:lang w:val="sr-Latn-CS"/>
        </w:rPr>
        <w:t xml:space="preserve"> 83/08) (</w:t>
      </w:r>
      <w:r w:rsidR="00FC1073">
        <w:rPr>
          <w:b/>
          <w:noProof/>
          <w:lang w:val="sr-Latn-CS"/>
        </w:rPr>
        <w:t>u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daljem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tekstu</w:t>
      </w:r>
      <w:r w:rsidRPr="00FC1073">
        <w:rPr>
          <w:b/>
          <w:noProof/>
          <w:lang w:val="sr-Latn-CS"/>
        </w:rPr>
        <w:t xml:space="preserve">: </w:t>
      </w:r>
      <w:r w:rsidR="00FC1073">
        <w:rPr>
          <w:b/>
          <w:noProof/>
          <w:lang w:val="sr-Latn-CS"/>
        </w:rPr>
        <w:t>Prelazni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sporazum</w:t>
      </w:r>
      <w:r w:rsidRPr="00FC1073">
        <w:rPr>
          <w:b/>
          <w:noProof/>
          <w:lang w:val="sr-Latn-CS"/>
        </w:rPr>
        <w:t>):</w:t>
      </w:r>
    </w:p>
    <w:p w:rsidR="00912B08" w:rsidRPr="00FC1073" w:rsidRDefault="00912B08" w:rsidP="00912B08">
      <w:pPr>
        <w:jc w:val="both"/>
        <w:rPr>
          <w:b/>
          <w:noProof/>
          <w:lang w:val="sr-Latn-CS"/>
        </w:rPr>
      </w:pPr>
    </w:p>
    <w:p w:rsidR="00912B08" w:rsidRPr="00FC1073" w:rsidRDefault="00FC1073" w:rsidP="00912B08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a</w:t>
      </w:r>
      <w:r w:rsidR="00912B08" w:rsidRPr="00FC1073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Odredba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Prelaznog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koja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odnose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normativnu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sadržinu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propisa</w:t>
      </w:r>
      <w:r w:rsidR="00912B08" w:rsidRPr="00FC1073">
        <w:rPr>
          <w:b/>
          <w:noProof/>
          <w:lang w:val="sr-Latn-CS"/>
        </w:rPr>
        <w:t>,</w:t>
      </w:r>
    </w:p>
    <w:p w:rsidR="00912B08" w:rsidRPr="00FC1073" w:rsidRDefault="00912B08" w:rsidP="00912B08">
      <w:pPr>
        <w:jc w:val="both"/>
        <w:rPr>
          <w:b/>
          <w:noProof/>
          <w:lang w:val="sr-Latn-CS"/>
        </w:rPr>
      </w:pPr>
    </w:p>
    <w:p w:rsidR="00912B08" w:rsidRPr="00FC1073" w:rsidRDefault="00FC1073" w:rsidP="00912B08">
      <w:pPr>
        <w:jc w:val="both"/>
        <w:rPr>
          <w:noProof/>
          <w:lang w:val="sr-Latn-CS"/>
        </w:rPr>
      </w:pPr>
      <w:r>
        <w:rPr>
          <w:noProof/>
          <w:lang w:val="sr-Latn-CS"/>
        </w:rPr>
        <w:t>Naslov</w:t>
      </w:r>
      <w:r w:rsidR="00912B08" w:rsidRPr="00FC1073">
        <w:rPr>
          <w:noProof/>
          <w:lang w:val="sr-Latn-CS"/>
        </w:rPr>
        <w:t xml:space="preserve"> VII. – </w:t>
      </w:r>
      <w:r>
        <w:rPr>
          <w:noProof/>
          <w:lang w:val="sr-Latn-CS"/>
        </w:rPr>
        <w:t>Pravosuđe</w:t>
      </w:r>
      <w:r w:rsidR="00912B08" w:rsidRPr="00FC1073">
        <w:rPr>
          <w:noProof/>
          <w:lang w:val="sr-Latn-CS"/>
        </w:rPr>
        <w:t xml:space="preserve">, </w:t>
      </w:r>
      <w:r>
        <w:rPr>
          <w:noProof/>
          <w:lang w:val="sr-Latn-CS"/>
        </w:rPr>
        <w:t>slobode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bezbednost</w:t>
      </w:r>
      <w:r w:rsidR="00912B08" w:rsidRPr="00FC1073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kojeg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član</w:t>
      </w:r>
      <w:r w:rsidR="00912B08" w:rsidRPr="00FC1073">
        <w:rPr>
          <w:noProof/>
          <w:lang w:val="sr-Latn-CS"/>
        </w:rPr>
        <w:t xml:space="preserve"> 80 – </w:t>
      </w:r>
      <w:r>
        <w:rPr>
          <w:noProof/>
          <w:lang w:val="sr-Latn-CS"/>
        </w:rPr>
        <w:t>Jačanje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institucija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vladavina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912B08" w:rsidRPr="00FC1073">
        <w:rPr>
          <w:noProof/>
          <w:lang w:val="sr-Latn-CS"/>
        </w:rPr>
        <w:t>.</w:t>
      </w:r>
    </w:p>
    <w:p w:rsidR="00912B08" w:rsidRPr="00FC1073" w:rsidRDefault="00912B08" w:rsidP="00912B08">
      <w:pPr>
        <w:jc w:val="both"/>
        <w:rPr>
          <w:b/>
          <w:noProof/>
          <w:lang w:val="sr-Latn-CS"/>
        </w:rPr>
      </w:pPr>
    </w:p>
    <w:p w:rsidR="00912B08" w:rsidRPr="00FC1073" w:rsidRDefault="00FC1073" w:rsidP="00912B08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b</w:t>
      </w:r>
      <w:r w:rsidR="00912B08" w:rsidRPr="00FC1073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Prelazni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rok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usklađivanje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zakonodavstva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prema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odredbama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Prelaznog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912B08" w:rsidRPr="00FC1073">
        <w:rPr>
          <w:b/>
          <w:noProof/>
          <w:lang w:val="sr-Latn-CS"/>
        </w:rPr>
        <w:t>,</w:t>
      </w:r>
    </w:p>
    <w:p w:rsidR="00912B08" w:rsidRPr="00FC1073" w:rsidRDefault="00912B08" w:rsidP="00912B08">
      <w:pPr>
        <w:jc w:val="both"/>
        <w:rPr>
          <w:b/>
          <w:noProof/>
          <w:lang w:val="sr-Latn-CS"/>
        </w:rPr>
      </w:pPr>
    </w:p>
    <w:p w:rsidR="00912B08" w:rsidRPr="00FC1073" w:rsidRDefault="00FC1073" w:rsidP="00912B08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lastRenderedPageBreak/>
        <w:t>v</w:t>
      </w:r>
      <w:r w:rsidR="00912B08" w:rsidRPr="00FC1073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Ocena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ispunjenosti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obaveze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koje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proizlaze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navedene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odredbe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Prelaznog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912B08" w:rsidRPr="00FC1073">
        <w:rPr>
          <w:b/>
          <w:noProof/>
          <w:lang w:val="sr-Latn-CS"/>
        </w:rPr>
        <w:t>,</w:t>
      </w:r>
    </w:p>
    <w:p w:rsidR="00912B08" w:rsidRPr="00FC1073" w:rsidRDefault="00912B08" w:rsidP="00912B08">
      <w:pPr>
        <w:jc w:val="both"/>
        <w:rPr>
          <w:b/>
          <w:noProof/>
          <w:lang w:val="sr-Latn-CS"/>
        </w:rPr>
      </w:pPr>
    </w:p>
    <w:p w:rsidR="00912B08" w:rsidRPr="00FC1073" w:rsidRDefault="00FC1073" w:rsidP="00912B08">
      <w:pPr>
        <w:jc w:val="both"/>
        <w:rPr>
          <w:noProof/>
          <w:lang w:val="sr-Latn-CS"/>
        </w:rPr>
      </w:pPr>
      <w:r>
        <w:rPr>
          <w:noProof/>
          <w:lang w:val="sr-Latn-CS"/>
        </w:rPr>
        <w:t>Naslov</w:t>
      </w:r>
      <w:r w:rsidR="00912B08" w:rsidRPr="00FC1073">
        <w:rPr>
          <w:noProof/>
          <w:lang w:val="sr-Latn-CS"/>
        </w:rPr>
        <w:t xml:space="preserve"> VII. – </w:t>
      </w:r>
      <w:r>
        <w:rPr>
          <w:noProof/>
          <w:lang w:val="sr-Latn-CS"/>
        </w:rPr>
        <w:t>Pravosuđe</w:t>
      </w:r>
      <w:r w:rsidR="00912B08" w:rsidRPr="00FC1073">
        <w:rPr>
          <w:noProof/>
          <w:lang w:val="sr-Latn-CS"/>
        </w:rPr>
        <w:t xml:space="preserve">, </w:t>
      </w:r>
      <w:r>
        <w:rPr>
          <w:noProof/>
          <w:lang w:val="sr-Latn-CS"/>
        </w:rPr>
        <w:t>slobode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bezbednost</w:t>
      </w:r>
      <w:r w:rsidR="00912B08" w:rsidRPr="00FC1073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kojeg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član</w:t>
      </w:r>
      <w:r w:rsidR="00912B08" w:rsidRPr="00FC1073">
        <w:rPr>
          <w:noProof/>
          <w:lang w:val="sr-Latn-CS"/>
        </w:rPr>
        <w:t xml:space="preserve"> 80 – </w:t>
      </w:r>
      <w:r>
        <w:rPr>
          <w:noProof/>
          <w:lang w:val="sr-Latn-CS"/>
        </w:rPr>
        <w:t>Jačanje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institucija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vladavina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912B08" w:rsidRPr="00FC1073">
        <w:rPr>
          <w:noProof/>
          <w:lang w:val="sr-Latn-CS"/>
        </w:rPr>
        <w:t>.</w:t>
      </w:r>
    </w:p>
    <w:p w:rsidR="00912B08" w:rsidRPr="00FC1073" w:rsidRDefault="00912B08" w:rsidP="00912B08">
      <w:pPr>
        <w:jc w:val="both"/>
        <w:rPr>
          <w:b/>
          <w:noProof/>
          <w:lang w:val="sr-Latn-CS"/>
        </w:rPr>
      </w:pPr>
    </w:p>
    <w:p w:rsidR="00912B08" w:rsidRPr="00FC1073" w:rsidRDefault="00FC1073" w:rsidP="00912B08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g</w:t>
      </w:r>
      <w:r w:rsidR="00912B08" w:rsidRPr="00FC1073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Razlozi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delimično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ispunjavanje</w:t>
      </w:r>
      <w:r w:rsidR="00912B08" w:rsidRPr="00FC1073">
        <w:rPr>
          <w:b/>
          <w:noProof/>
          <w:lang w:val="sr-Latn-CS"/>
        </w:rPr>
        <w:t xml:space="preserve">, </w:t>
      </w:r>
      <w:r>
        <w:rPr>
          <w:b/>
          <w:noProof/>
          <w:lang w:val="sr-Latn-CS"/>
        </w:rPr>
        <w:t>odnosno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neispunjavanje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obaveza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koje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proizlaze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navedene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odredbe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Prelaznog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912B08" w:rsidRPr="00FC1073">
        <w:rPr>
          <w:b/>
          <w:noProof/>
          <w:lang w:val="sr-Latn-CS"/>
        </w:rPr>
        <w:t>,</w:t>
      </w:r>
    </w:p>
    <w:p w:rsidR="00912B08" w:rsidRPr="00FC1073" w:rsidRDefault="00912B08" w:rsidP="00912B08">
      <w:pPr>
        <w:jc w:val="both"/>
        <w:rPr>
          <w:b/>
          <w:noProof/>
          <w:lang w:val="sr-Latn-CS"/>
        </w:rPr>
      </w:pPr>
    </w:p>
    <w:p w:rsidR="00912B08" w:rsidRPr="00FC1073" w:rsidRDefault="00FC1073" w:rsidP="00912B08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d</w:t>
      </w:r>
      <w:r w:rsidR="00912B08" w:rsidRPr="00FC1073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Veza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Nacionalnim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programom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usvajanje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pravnih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tekovina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  <w:r w:rsidR="00912B08" w:rsidRPr="00FC1073">
        <w:rPr>
          <w:b/>
          <w:noProof/>
          <w:lang w:val="sr-Latn-CS"/>
        </w:rPr>
        <w:t>.</w:t>
      </w:r>
    </w:p>
    <w:p w:rsidR="00912B08" w:rsidRPr="00FC1073" w:rsidRDefault="00912B08" w:rsidP="00912B08">
      <w:pPr>
        <w:jc w:val="both"/>
        <w:rPr>
          <w:b/>
          <w:noProof/>
          <w:lang w:val="sr-Latn-CS"/>
        </w:rPr>
      </w:pPr>
    </w:p>
    <w:p w:rsidR="00912B08" w:rsidRPr="00FC1073" w:rsidRDefault="00FC1073" w:rsidP="00912B08">
      <w:pPr>
        <w:tabs>
          <w:tab w:val="left" w:pos="855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Predlog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dopunama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organizaciji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nadležnosti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državnih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ratne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zločine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Nacionalnim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programom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usvajanje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pravnih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tekovina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912B08" w:rsidRPr="00FC1073">
        <w:rPr>
          <w:noProof/>
          <w:lang w:val="sr-Latn-CS"/>
        </w:rPr>
        <w:t>.</w:t>
      </w:r>
    </w:p>
    <w:p w:rsidR="00912B08" w:rsidRPr="00FC1073" w:rsidRDefault="00912B08" w:rsidP="00912B08">
      <w:pPr>
        <w:jc w:val="both"/>
        <w:rPr>
          <w:b/>
          <w:noProof/>
          <w:lang w:val="sr-Latn-CS"/>
        </w:rPr>
      </w:pPr>
    </w:p>
    <w:p w:rsidR="00912B08" w:rsidRPr="00FC1073" w:rsidRDefault="00912B08" w:rsidP="00912B08">
      <w:pPr>
        <w:tabs>
          <w:tab w:val="num" w:pos="567"/>
        </w:tabs>
        <w:ind w:left="567" w:right="-720" w:hanging="540"/>
        <w:rPr>
          <w:noProof/>
          <w:color w:val="000000"/>
          <w:lang w:val="sr-Latn-CS"/>
        </w:rPr>
      </w:pPr>
      <w:r w:rsidRPr="00FC1073">
        <w:rPr>
          <w:noProof/>
          <w:color w:val="000000"/>
          <w:lang w:val="sr-Latn-CS"/>
        </w:rPr>
        <w:t xml:space="preserve"> - /</w:t>
      </w:r>
    </w:p>
    <w:p w:rsidR="00912B08" w:rsidRPr="00FC1073" w:rsidRDefault="00912B08" w:rsidP="00912B08">
      <w:pPr>
        <w:tabs>
          <w:tab w:val="num" w:pos="567"/>
        </w:tabs>
        <w:ind w:left="567" w:right="-720" w:hanging="540"/>
        <w:rPr>
          <w:noProof/>
          <w:color w:val="000000"/>
          <w:lang w:val="sr-Latn-CS"/>
        </w:rPr>
      </w:pPr>
    </w:p>
    <w:p w:rsidR="00912B08" w:rsidRPr="00FC1073" w:rsidRDefault="00912B08" w:rsidP="00912B08">
      <w:pPr>
        <w:tabs>
          <w:tab w:val="num" w:pos="567"/>
        </w:tabs>
        <w:ind w:left="567" w:right="-720" w:hanging="540"/>
        <w:rPr>
          <w:noProof/>
          <w:color w:val="000000"/>
          <w:lang w:val="sr-Latn-CS"/>
        </w:rPr>
      </w:pPr>
    </w:p>
    <w:p w:rsidR="00912B08" w:rsidRPr="00FC1073" w:rsidRDefault="00912B08" w:rsidP="00912B08">
      <w:pPr>
        <w:tabs>
          <w:tab w:val="num" w:pos="567"/>
        </w:tabs>
        <w:ind w:left="567" w:right="-720" w:hanging="540"/>
        <w:rPr>
          <w:noProof/>
          <w:color w:val="000000"/>
          <w:lang w:val="sr-Latn-CS"/>
        </w:rPr>
      </w:pPr>
    </w:p>
    <w:p w:rsidR="00912B08" w:rsidRPr="00FC1073" w:rsidRDefault="00912B08" w:rsidP="00912B08">
      <w:pPr>
        <w:tabs>
          <w:tab w:val="num" w:pos="567"/>
        </w:tabs>
        <w:ind w:left="567" w:right="-720" w:hanging="540"/>
        <w:rPr>
          <w:noProof/>
          <w:color w:val="000000"/>
          <w:lang w:val="sr-Latn-CS"/>
        </w:rPr>
      </w:pPr>
    </w:p>
    <w:p w:rsidR="00912B08" w:rsidRPr="00FC1073" w:rsidRDefault="00912B08" w:rsidP="00912B08">
      <w:pPr>
        <w:jc w:val="both"/>
        <w:rPr>
          <w:b/>
          <w:noProof/>
          <w:lang w:val="sr-Latn-CS"/>
        </w:rPr>
      </w:pPr>
    </w:p>
    <w:p w:rsidR="00912B08" w:rsidRPr="00FC1073" w:rsidRDefault="00912B08" w:rsidP="00912B08">
      <w:pPr>
        <w:jc w:val="both"/>
        <w:rPr>
          <w:b/>
          <w:noProof/>
          <w:lang w:val="sr-Latn-CS"/>
        </w:rPr>
      </w:pPr>
      <w:r w:rsidRPr="00FC1073">
        <w:rPr>
          <w:b/>
          <w:noProof/>
          <w:lang w:val="sr-Latn-CS"/>
        </w:rPr>
        <w:t xml:space="preserve">4. </w:t>
      </w:r>
      <w:r w:rsidR="00FC1073">
        <w:rPr>
          <w:b/>
          <w:noProof/>
          <w:lang w:val="sr-Latn-CS"/>
        </w:rPr>
        <w:t>Usklađenost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propisa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sa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propisima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Evropske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unije</w:t>
      </w:r>
      <w:r w:rsidRPr="00FC1073">
        <w:rPr>
          <w:b/>
          <w:noProof/>
          <w:lang w:val="sr-Latn-CS"/>
        </w:rPr>
        <w:t>:</w:t>
      </w:r>
    </w:p>
    <w:p w:rsidR="00912B08" w:rsidRPr="00FC1073" w:rsidRDefault="00912B08" w:rsidP="00912B08">
      <w:pPr>
        <w:jc w:val="both"/>
        <w:rPr>
          <w:noProof/>
          <w:lang w:val="sr-Latn-CS"/>
        </w:rPr>
      </w:pPr>
    </w:p>
    <w:p w:rsidR="00912B08" w:rsidRPr="00FC1073" w:rsidRDefault="00FC1073" w:rsidP="00912B08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a</w:t>
      </w:r>
      <w:r w:rsidR="00912B08" w:rsidRPr="00FC1073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Navođenje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odredbi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primarnih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izvora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prava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ocene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usklađenosti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njima</w:t>
      </w:r>
      <w:r w:rsidR="00912B08" w:rsidRPr="00FC1073">
        <w:rPr>
          <w:b/>
          <w:noProof/>
          <w:lang w:val="sr-Latn-CS"/>
        </w:rPr>
        <w:t xml:space="preserve">, </w:t>
      </w:r>
    </w:p>
    <w:p w:rsidR="00912B08" w:rsidRPr="00FC1073" w:rsidRDefault="00FC1073" w:rsidP="00912B08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b</w:t>
      </w:r>
      <w:r w:rsidR="00912B08" w:rsidRPr="00FC1073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Navođenje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sekundarnih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izvora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prava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ocene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usklađenosti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njima</w:t>
      </w:r>
      <w:r w:rsidR="00912B08" w:rsidRPr="00FC1073">
        <w:rPr>
          <w:b/>
          <w:noProof/>
          <w:lang w:val="sr-Latn-CS"/>
        </w:rPr>
        <w:t>,</w:t>
      </w:r>
    </w:p>
    <w:p w:rsidR="00912B08" w:rsidRPr="00FC1073" w:rsidRDefault="00FC1073" w:rsidP="00912B08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912B08" w:rsidRPr="00FC1073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Navođenje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ostalih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izvora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prava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njima</w:t>
      </w:r>
      <w:r w:rsidR="00912B08" w:rsidRPr="00FC1073">
        <w:rPr>
          <w:b/>
          <w:noProof/>
          <w:lang w:val="sr-Latn-CS"/>
        </w:rPr>
        <w:t xml:space="preserve">, </w:t>
      </w:r>
    </w:p>
    <w:p w:rsidR="00912B08" w:rsidRPr="00FC1073" w:rsidRDefault="00FC1073" w:rsidP="00912B08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g</w:t>
      </w:r>
      <w:r w:rsidR="00912B08" w:rsidRPr="00FC1073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Razlozi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delimičnu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</w:t>
      </w:r>
      <w:r w:rsidR="00912B08" w:rsidRPr="00FC1073">
        <w:rPr>
          <w:b/>
          <w:noProof/>
          <w:lang w:val="sr-Latn-CS"/>
        </w:rPr>
        <w:t xml:space="preserve">, </w:t>
      </w:r>
      <w:r>
        <w:rPr>
          <w:b/>
          <w:noProof/>
          <w:lang w:val="sr-Latn-CS"/>
        </w:rPr>
        <w:t>odnosno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neusklađenost</w:t>
      </w:r>
      <w:r w:rsidR="00912B08" w:rsidRPr="00FC1073">
        <w:rPr>
          <w:b/>
          <w:noProof/>
          <w:lang w:val="sr-Latn-CS"/>
        </w:rPr>
        <w:t>,</w:t>
      </w:r>
    </w:p>
    <w:p w:rsidR="00912B08" w:rsidRPr="00FC1073" w:rsidRDefault="00FC1073" w:rsidP="00912B08">
      <w:pPr>
        <w:jc w:val="both"/>
        <w:rPr>
          <w:noProof/>
          <w:lang w:val="sr-Latn-CS"/>
        </w:rPr>
      </w:pPr>
      <w:r>
        <w:rPr>
          <w:b/>
          <w:noProof/>
          <w:lang w:val="sr-Latn-CS"/>
        </w:rPr>
        <w:t>d</w:t>
      </w:r>
      <w:r w:rsidR="00912B08" w:rsidRPr="00FC1073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Rok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kojem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je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predviđeno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postizanje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potpune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usklađenosti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propisa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propisima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912B08" w:rsidRPr="00FC10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  <w:r w:rsidR="00912B08" w:rsidRPr="00FC1073">
        <w:rPr>
          <w:b/>
          <w:noProof/>
          <w:lang w:val="sr-Latn-CS"/>
        </w:rPr>
        <w:t>.</w:t>
      </w:r>
      <w:r w:rsidR="00912B08" w:rsidRPr="00FC1073">
        <w:rPr>
          <w:noProof/>
          <w:lang w:val="sr-Latn-CS"/>
        </w:rPr>
        <w:t xml:space="preserve"> </w:t>
      </w:r>
    </w:p>
    <w:p w:rsidR="00912B08" w:rsidRPr="00FC1073" w:rsidRDefault="00912B08" w:rsidP="00912B08">
      <w:pPr>
        <w:jc w:val="both"/>
        <w:rPr>
          <w:b/>
          <w:noProof/>
          <w:lang w:val="sr-Latn-CS"/>
        </w:rPr>
      </w:pPr>
    </w:p>
    <w:p w:rsidR="00912B08" w:rsidRPr="00FC1073" w:rsidRDefault="00912B08" w:rsidP="00912B08">
      <w:pPr>
        <w:jc w:val="both"/>
        <w:rPr>
          <w:b/>
          <w:noProof/>
          <w:lang w:val="sr-Latn-CS"/>
        </w:rPr>
      </w:pPr>
      <w:r w:rsidRPr="00FC1073">
        <w:rPr>
          <w:b/>
          <w:noProof/>
          <w:lang w:val="sr-Latn-CS"/>
        </w:rPr>
        <w:lastRenderedPageBreak/>
        <w:t>- /</w:t>
      </w:r>
    </w:p>
    <w:p w:rsidR="00912B08" w:rsidRPr="00FC1073" w:rsidRDefault="00912B08" w:rsidP="00912B08">
      <w:pPr>
        <w:jc w:val="both"/>
        <w:rPr>
          <w:b/>
          <w:noProof/>
          <w:lang w:val="sr-Latn-CS"/>
        </w:rPr>
      </w:pPr>
    </w:p>
    <w:p w:rsidR="00912B08" w:rsidRPr="00FC1073" w:rsidRDefault="00912B08" w:rsidP="00912B08">
      <w:pPr>
        <w:jc w:val="both"/>
        <w:rPr>
          <w:b/>
          <w:noProof/>
          <w:color w:val="000000"/>
          <w:lang w:val="sr-Latn-CS"/>
        </w:rPr>
      </w:pPr>
      <w:r w:rsidRPr="00FC1073">
        <w:rPr>
          <w:b/>
          <w:noProof/>
          <w:lang w:val="sr-Latn-CS"/>
        </w:rPr>
        <w:t xml:space="preserve">5. </w:t>
      </w:r>
      <w:r w:rsidR="00FC1073">
        <w:rPr>
          <w:b/>
          <w:noProof/>
          <w:lang w:val="sr-Latn-CS"/>
        </w:rPr>
        <w:t>Ako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ne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postoje</w:t>
      </w:r>
      <w:r w:rsidRPr="00FC1073">
        <w:rPr>
          <w:b/>
          <w:noProof/>
          <w:lang w:val="sr-Latn-CS"/>
        </w:rPr>
        <w:t xml:space="preserve">  </w:t>
      </w:r>
      <w:r w:rsidR="00FC1073">
        <w:rPr>
          <w:b/>
          <w:noProof/>
          <w:lang w:val="sr-Latn-CS"/>
        </w:rPr>
        <w:t>odgovarajuće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nadležnosti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Evropske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unije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u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materiji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koju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reguliše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propis</w:t>
      </w:r>
      <w:r w:rsidRPr="00FC1073">
        <w:rPr>
          <w:b/>
          <w:noProof/>
          <w:color w:val="000000"/>
          <w:lang w:val="sr-Latn-CS"/>
        </w:rPr>
        <w:t xml:space="preserve">, </w:t>
      </w:r>
      <w:r w:rsidR="00FC1073">
        <w:rPr>
          <w:b/>
          <w:noProof/>
          <w:color w:val="000000"/>
          <w:lang w:val="sr-Latn-CS"/>
        </w:rPr>
        <w:t>i</w:t>
      </w:r>
      <w:r w:rsidRPr="00FC1073">
        <w:rPr>
          <w:b/>
          <w:noProof/>
          <w:color w:val="000000"/>
          <w:lang w:val="sr-Latn-CS"/>
        </w:rPr>
        <w:t>/</w:t>
      </w:r>
      <w:r w:rsidR="00FC1073">
        <w:rPr>
          <w:b/>
          <w:noProof/>
          <w:color w:val="000000"/>
          <w:lang w:val="sr-Latn-CS"/>
        </w:rPr>
        <w:t>ili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ne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postoje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odgovarajući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sekundarni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izvori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prava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Evropske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unije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sa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kojima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je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potrebno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obezbediti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usklađenost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treba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obrazložiti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tu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činjenicu</w:t>
      </w:r>
      <w:r w:rsidRPr="00FC1073">
        <w:rPr>
          <w:b/>
          <w:noProof/>
          <w:color w:val="000000"/>
          <w:lang w:val="sr-Latn-CS"/>
        </w:rPr>
        <w:t xml:space="preserve">. </w:t>
      </w:r>
      <w:r w:rsidR="00FC1073">
        <w:rPr>
          <w:b/>
          <w:noProof/>
          <w:color w:val="000000"/>
          <w:lang w:val="sr-Latn-CS"/>
        </w:rPr>
        <w:t>U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ovom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slučaju</w:t>
      </w:r>
      <w:r w:rsidRPr="00FC1073">
        <w:rPr>
          <w:b/>
          <w:noProof/>
          <w:color w:val="000000"/>
          <w:lang w:val="sr-Latn-CS"/>
        </w:rPr>
        <w:t xml:space="preserve">, </w:t>
      </w:r>
      <w:r w:rsidR="00FC1073">
        <w:rPr>
          <w:b/>
          <w:noProof/>
          <w:color w:val="000000"/>
          <w:lang w:val="sr-Latn-CS"/>
        </w:rPr>
        <w:t>nije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potrebno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popunjavati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Tabelu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usklađenosti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propisa</w:t>
      </w:r>
      <w:r w:rsidRPr="00FC1073">
        <w:rPr>
          <w:b/>
          <w:noProof/>
          <w:color w:val="000000"/>
          <w:lang w:val="sr-Latn-CS"/>
        </w:rPr>
        <w:t xml:space="preserve">. </w:t>
      </w:r>
      <w:r w:rsidR="00FC1073">
        <w:rPr>
          <w:b/>
          <w:noProof/>
          <w:color w:val="000000"/>
          <w:lang w:val="sr-Latn-CS"/>
        </w:rPr>
        <w:t>Tabelu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usklađenosti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nije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potrebno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popunjavati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i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ukoliko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se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domaćim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propisom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ne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vrši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prenos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odredbi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sekundarnog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izvora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prava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Evropske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unije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već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se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isključivo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vrši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primena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ili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sprovođenje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nekog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zahteva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koji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proizilazi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iz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odredbe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sekundarnog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izvora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prava</w:t>
      </w:r>
      <w:r w:rsidRPr="00FC1073">
        <w:rPr>
          <w:b/>
          <w:noProof/>
          <w:color w:val="000000"/>
          <w:lang w:val="sr-Latn-CS"/>
        </w:rPr>
        <w:t xml:space="preserve"> (</w:t>
      </w:r>
      <w:r w:rsidR="00FC1073">
        <w:rPr>
          <w:b/>
          <w:noProof/>
          <w:color w:val="000000"/>
          <w:lang w:val="sr-Latn-CS"/>
        </w:rPr>
        <w:t>npr</w:t>
      </w:r>
      <w:r w:rsidRPr="00FC1073">
        <w:rPr>
          <w:b/>
          <w:noProof/>
          <w:color w:val="000000"/>
          <w:lang w:val="sr-Latn-CS"/>
        </w:rPr>
        <w:t xml:space="preserve">. </w:t>
      </w:r>
      <w:r w:rsidR="00FC1073">
        <w:rPr>
          <w:b/>
          <w:noProof/>
          <w:color w:val="000000"/>
          <w:lang w:val="sr-Latn-CS"/>
        </w:rPr>
        <w:t>Predlogom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odluke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o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izradi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strateške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procene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uticaja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biće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sprovedena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obaveza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iz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člana</w:t>
      </w:r>
      <w:r w:rsidRPr="00FC1073">
        <w:rPr>
          <w:b/>
          <w:noProof/>
          <w:color w:val="000000"/>
          <w:lang w:val="sr-Latn-CS"/>
        </w:rPr>
        <w:t xml:space="preserve"> 4. </w:t>
      </w:r>
      <w:r w:rsidR="00FC1073">
        <w:rPr>
          <w:b/>
          <w:noProof/>
          <w:color w:val="000000"/>
          <w:lang w:val="sr-Latn-CS"/>
        </w:rPr>
        <w:t>Direktive</w:t>
      </w:r>
      <w:r w:rsidRPr="00FC1073">
        <w:rPr>
          <w:b/>
          <w:noProof/>
          <w:color w:val="000000"/>
          <w:lang w:val="sr-Latn-CS"/>
        </w:rPr>
        <w:t xml:space="preserve"> 2001/42/</w:t>
      </w:r>
      <w:r w:rsidR="00FC1073">
        <w:rPr>
          <w:b/>
          <w:noProof/>
          <w:color w:val="000000"/>
          <w:lang w:val="sr-Latn-CS"/>
        </w:rPr>
        <w:t>EZ</w:t>
      </w:r>
      <w:r w:rsidRPr="00FC1073">
        <w:rPr>
          <w:b/>
          <w:noProof/>
          <w:color w:val="000000"/>
          <w:lang w:val="sr-Latn-CS"/>
        </w:rPr>
        <w:t xml:space="preserve">, </w:t>
      </w:r>
      <w:r w:rsidR="00FC1073">
        <w:rPr>
          <w:b/>
          <w:noProof/>
          <w:color w:val="000000"/>
          <w:lang w:val="sr-Latn-CS"/>
        </w:rPr>
        <w:t>ali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se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ne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vrši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i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prenos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te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odredbe</w:t>
      </w:r>
      <w:r w:rsidRPr="00FC1073">
        <w:rPr>
          <w:b/>
          <w:noProof/>
          <w:color w:val="000000"/>
          <w:lang w:val="sr-Latn-CS"/>
        </w:rPr>
        <w:t xml:space="preserve"> </w:t>
      </w:r>
      <w:r w:rsidR="00FC1073">
        <w:rPr>
          <w:b/>
          <w:noProof/>
          <w:color w:val="000000"/>
          <w:lang w:val="sr-Latn-CS"/>
        </w:rPr>
        <w:t>Direktive</w:t>
      </w:r>
      <w:r w:rsidRPr="00FC1073">
        <w:rPr>
          <w:b/>
          <w:noProof/>
          <w:color w:val="000000"/>
          <w:lang w:val="sr-Latn-CS"/>
        </w:rPr>
        <w:t>).</w:t>
      </w:r>
    </w:p>
    <w:p w:rsidR="00912B08" w:rsidRPr="00FC1073" w:rsidRDefault="00912B08" w:rsidP="00912B08">
      <w:pPr>
        <w:jc w:val="both"/>
        <w:rPr>
          <w:b/>
          <w:noProof/>
          <w:color w:val="000000"/>
          <w:lang w:val="sr-Latn-CS"/>
        </w:rPr>
      </w:pPr>
    </w:p>
    <w:p w:rsidR="00912B08" w:rsidRPr="00FC1073" w:rsidRDefault="00FC1073" w:rsidP="00912B08">
      <w:pPr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Ne</w:t>
      </w:r>
      <w:r w:rsidR="00912B08" w:rsidRPr="00FC107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postoje</w:t>
      </w:r>
      <w:r w:rsidR="00912B08" w:rsidRPr="00FC107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odgovarajući</w:t>
      </w:r>
      <w:r w:rsidR="00912B08" w:rsidRPr="00FC107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propisi</w:t>
      </w:r>
      <w:r w:rsidR="00912B08" w:rsidRPr="00FC107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Evropske</w:t>
      </w:r>
      <w:r w:rsidR="00912B08" w:rsidRPr="00FC107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unije</w:t>
      </w:r>
      <w:r w:rsidR="00912B08" w:rsidRPr="00FC107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</w:t>
      </w:r>
      <w:r w:rsidR="00912B08" w:rsidRPr="00FC107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kojima</w:t>
      </w:r>
      <w:r w:rsidR="00912B08" w:rsidRPr="00FC107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912B08" w:rsidRPr="00FC107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potrebno</w:t>
      </w:r>
      <w:r w:rsidR="00912B08" w:rsidRPr="00FC107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obezbediti</w:t>
      </w:r>
      <w:r w:rsidR="00912B08" w:rsidRPr="00FC107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usklađenost</w:t>
      </w:r>
      <w:r w:rsidR="00912B08" w:rsidRPr="00FC107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Zakona</w:t>
      </w:r>
      <w:r w:rsidR="00912B08" w:rsidRPr="00FC107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912B08" w:rsidRPr="00FC107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dopunama</w:t>
      </w:r>
      <w:r w:rsidR="00912B08" w:rsidRPr="00FC107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Zakona</w:t>
      </w:r>
      <w:r w:rsidR="00912B08" w:rsidRPr="00FC107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912B08" w:rsidRPr="00FC1073">
        <w:rPr>
          <w:noProof/>
          <w:color w:val="000000"/>
          <w:lang w:val="sr-Latn-CS"/>
        </w:rPr>
        <w:t xml:space="preserve"> </w:t>
      </w:r>
      <w:r>
        <w:rPr>
          <w:noProof/>
          <w:lang w:val="sr-Latn-CS"/>
        </w:rPr>
        <w:t>organizaciji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nadležnosti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državnih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ratne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zločine</w:t>
      </w:r>
      <w:r w:rsidR="00912B08" w:rsidRPr="00FC1073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s</w:t>
      </w:r>
      <w:r w:rsidR="00912B08" w:rsidRPr="00FC107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obzirom</w:t>
      </w:r>
      <w:r w:rsidR="00912B08" w:rsidRPr="00FC107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912B08" w:rsidRPr="00FC107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su</w:t>
      </w:r>
      <w:r w:rsidR="00912B08" w:rsidRPr="00FC107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predmetne</w:t>
      </w:r>
      <w:r w:rsidR="00912B08" w:rsidRPr="00FC107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izmene</w:t>
      </w:r>
      <w:r w:rsidR="00912B08" w:rsidRPr="00FC107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malog</w:t>
      </w:r>
      <w:r w:rsidR="00912B08" w:rsidRPr="00FC107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obima</w:t>
      </w:r>
      <w:r w:rsidR="00912B08" w:rsidRPr="00FC107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912B08" w:rsidRPr="00FC107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912B08" w:rsidRPr="00FC107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nisu</w:t>
      </w:r>
      <w:r w:rsidR="00912B08" w:rsidRPr="00FC107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relevantne</w:t>
      </w:r>
      <w:r w:rsidR="00912B08" w:rsidRPr="00FC107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</w:t>
      </w:r>
      <w:r w:rsidR="00912B08" w:rsidRPr="00FC107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stanovišta</w:t>
      </w:r>
      <w:r w:rsidR="00912B08" w:rsidRPr="00FC107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prava</w:t>
      </w:r>
      <w:r w:rsidR="00912B08" w:rsidRPr="00FC107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Evropske</w:t>
      </w:r>
      <w:r w:rsidR="00912B08" w:rsidRPr="00FC107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unije</w:t>
      </w:r>
      <w:r w:rsidR="00912B08" w:rsidRPr="00FC1073">
        <w:rPr>
          <w:noProof/>
          <w:color w:val="000000"/>
          <w:lang w:val="sr-Latn-CS"/>
        </w:rPr>
        <w:t>.</w:t>
      </w:r>
    </w:p>
    <w:p w:rsidR="00912B08" w:rsidRPr="00FC1073" w:rsidRDefault="00912B08" w:rsidP="00912B08">
      <w:pPr>
        <w:jc w:val="both"/>
        <w:rPr>
          <w:noProof/>
          <w:lang w:val="sr-Latn-CS"/>
        </w:rPr>
      </w:pPr>
    </w:p>
    <w:p w:rsidR="00912B08" w:rsidRPr="00FC1073" w:rsidRDefault="00912B08" w:rsidP="00912B08">
      <w:pPr>
        <w:jc w:val="both"/>
        <w:rPr>
          <w:b/>
          <w:noProof/>
          <w:lang w:val="sr-Latn-CS"/>
        </w:rPr>
      </w:pPr>
      <w:r w:rsidRPr="00FC1073">
        <w:rPr>
          <w:b/>
          <w:noProof/>
          <w:lang w:val="sr-Latn-CS"/>
        </w:rPr>
        <w:t xml:space="preserve">6. </w:t>
      </w:r>
      <w:r w:rsidR="00FC1073">
        <w:rPr>
          <w:b/>
          <w:noProof/>
          <w:lang w:val="sr-Latn-CS"/>
        </w:rPr>
        <w:t>Da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li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su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prethodno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navedeni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izvori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prava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EU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prevedeni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na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srpski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jezik</w:t>
      </w:r>
      <w:r w:rsidRPr="00FC1073">
        <w:rPr>
          <w:b/>
          <w:noProof/>
          <w:lang w:val="sr-Latn-CS"/>
        </w:rPr>
        <w:t>?</w:t>
      </w:r>
    </w:p>
    <w:p w:rsidR="00912B08" w:rsidRPr="00FC1073" w:rsidRDefault="00912B08" w:rsidP="00912B08">
      <w:pPr>
        <w:jc w:val="both"/>
        <w:rPr>
          <w:b/>
          <w:noProof/>
          <w:lang w:val="sr-Latn-CS"/>
        </w:rPr>
      </w:pPr>
    </w:p>
    <w:p w:rsidR="00912B08" w:rsidRPr="00FC1073" w:rsidRDefault="00912B08" w:rsidP="00912B08">
      <w:pPr>
        <w:jc w:val="both"/>
        <w:rPr>
          <w:b/>
          <w:noProof/>
          <w:lang w:val="sr-Latn-CS"/>
        </w:rPr>
      </w:pPr>
      <w:r w:rsidRPr="00FC1073">
        <w:rPr>
          <w:b/>
          <w:noProof/>
          <w:lang w:val="sr-Latn-CS"/>
        </w:rPr>
        <w:t xml:space="preserve">- </w:t>
      </w:r>
      <w:r w:rsidRPr="00FC1073">
        <w:rPr>
          <w:noProof/>
          <w:lang w:val="sr-Latn-CS"/>
        </w:rPr>
        <w:t>/</w:t>
      </w:r>
    </w:p>
    <w:p w:rsidR="00912B08" w:rsidRPr="00FC1073" w:rsidRDefault="00912B08" w:rsidP="00912B08">
      <w:pPr>
        <w:jc w:val="both"/>
        <w:rPr>
          <w:b/>
          <w:noProof/>
          <w:lang w:val="sr-Latn-CS"/>
        </w:rPr>
      </w:pPr>
    </w:p>
    <w:p w:rsidR="00912B08" w:rsidRPr="00FC1073" w:rsidRDefault="00912B08" w:rsidP="00912B08">
      <w:pPr>
        <w:jc w:val="both"/>
        <w:rPr>
          <w:b/>
          <w:noProof/>
          <w:lang w:val="sr-Latn-CS"/>
        </w:rPr>
      </w:pPr>
      <w:r w:rsidRPr="00FC1073">
        <w:rPr>
          <w:b/>
          <w:noProof/>
          <w:lang w:val="sr-Latn-CS"/>
        </w:rPr>
        <w:t xml:space="preserve">7. </w:t>
      </w:r>
      <w:r w:rsidR="00FC1073">
        <w:rPr>
          <w:b/>
          <w:noProof/>
          <w:lang w:val="sr-Latn-CS"/>
        </w:rPr>
        <w:t>Da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li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je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propis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preveden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na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neki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službeni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jezik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EU</w:t>
      </w:r>
      <w:r w:rsidRPr="00FC1073">
        <w:rPr>
          <w:b/>
          <w:noProof/>
          <w:lang w:val="sr-Latn-CS"/>
        </w:rPr>
        <w:t>?</w:t>
      </w:r>
    </w:p>
    <w:p w:rsidR="00912B08" w:rsidRPr="00FC1073" w:rsidRDefault="00912B08" w:rsidP="00912B08">
      <w:pPr>
        <w:jc w:val="both"/>
        <w:rPr>
          <w:b/>
          <w:noProof/>
          <w:lang w:val="sr-Latn-CS"/>
        </w:rPr>
      </w:pPr>
    </w:p>
    <w:p w:rsidR="00912B08" w:rsidRPr="00FC1073" w:rsidRDefault="00912B08" w:rsidP="00912B08">
      <w:pPr>
        <w:jc w:val="both"/>
        <w:rPr>
          <w:b/>
          <w:noProof/>
          <w:lang w:val="sr-Latn-CS"/>
        </w:rPr>
      </w:pPr>
      <w:r w:rsidRPr="00FC1073">
        <w:rPr>
          <w:b/>
          <w:noProof/>
          <w:lang w:val="sr-Latn-CS"/>
        </w:rPr>
        <w:t xml:space="preserve">- </w:t>
      </w:r>
      <w:r w:rsidR="00FC1073">
        <w:rPr>
          <w:noProof/>
          <w:lang w:val="sr-Latn-CS"/>
        </w:rPr>
        <w:t>Ne</w:t>
      </w:r>
      <w:r w:rsidRPr="00FC1073">
        <w:rPr>
          <w:noProof/>
          <w:lang w:val="sr-Latn-CS"/>
        </w:rPr>
        <w:t>.</w:t>
      </w:r>
    </w:p>
    <w:p w:rsidR="00912B08" w:rsidRPr="00FC1073" w:rsidRDefault="00912B08" w:rsidP="00912B08">
      <w:pPr>
        <w:jc w:val="both"/>
        <w:rPr>
          <w:b/>
          <w:noProof/>
          <w:lang w:val="sr-Latn-CS"/>
        </w:rPr>
      </w:pPr>
    </w:p>
    <w:p w:rsidR="00912B08" w:rsidRPr="00FC1073" w:rsidRDefault="00912B08" w:rsidP="00912B08">
      <w:pPr>
        <w:jc w:val="both"/>
        <w:rPr>
          <w:b/>
          <w:noProof/>
          <w:lang w:val="sr-Latn-CS"/>
        </w:rPr>
      </w:pPr>
      <w:r w:rsidRPr="00FC1073">
        <w:rPr>
          <w:b/>
          <w:noProof/>
          <w:lang w:val="sr-Latn-CS"/>
        </w:rPr>
        <w:t xml:space="preserve">8. </w:t>
      </w:r>
      <w:r w:rsidR="00FC1073">
        <w:rPr>
          <w:b/>
          <w:noProof/>
          <w:lang w:val="sr-Latn-CS"/>
        </w:rPr>
        <w:t>Učešće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konsultanata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u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izradi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propisa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i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njihovo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mišljenje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o</w:t>
      </w:r>
      <w:r w:rsidRPr="00FC1073">
        <w:rPr>
          <w:b/>
          <w:noProof/>
          <w:lang w:val="sr-Latn-CS"/>
        </w:rPr>
        <w:t xml:space="preserve"> </w:t>
      </w:r>
      <w:r w:rsidR="00FC1073">
        <w:rPr>
          <w:b/>
          <w:noProof/>
          <w:lang w:val="sr-Latn-CS"/>
        </w:rPr>
        <w:t>usklađenosti</w:t>
      </w:r>
    </w:p>
    <w:p w:rsidR="00912B08" w:rsidRPr="00FC1073" w:rsidRDefault="00912B08" w:rsidP="00912B08">
      <w:pPr>
        <w:jc w:val="both"/>
        <w:rPr>
          <w:b/>
          <w:noProof/>
          <w:lang w:val="sr-Latn-CS"/>
        </w:rPr>
      </w:pPr>
    </w:p>
    <w:p w:rsidR="000336BE" w:rsidRPr="00FC1073" w:rsidRDefault="00FC1073" w:rsidP="00A507FB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noProof/>
          <w:lang w:val="sr-Latn-CS"/>
        </w:rPr>
        <w:t>U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pripreme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Predloga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ostvarena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saradnja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Evropskom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komisijom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s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izradu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predmetnog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akta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neophodno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ostvariti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ovaj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konkretni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oblik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saradnje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navedenom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evropskom</w:t>
      </w:r>
      <w:r w:rsidR="00912B08" w:rsidRPr="00FC1073">
        <w:rPr>
          <w:noProof/>
          <w:lang w:val="sr-Latn-CS"/>
        </w:rPr>
        <w:t xml:space="preserve"> </w:t>
      </w:r>
      <w:r>
        <w:rPr>
          <w:noProof/>
          <w:lang w:val="sr-Latn-CS"/>
        </w:rPr>
        <w:t>institucijom</w:t>
      </w:r>
      <w:r w:rsidR="00912B08" w:rsidRPr="00FC1073">
        <w:rPr>
          <w:noProof/>
          <w:lang w:val="sr-Latn-CS"/>
        </w:rPr>
        <w:t>.</w:t>
      </w:r>
    </w:p>
    <w:sectPr w:rsidR="000336BE" w:rsidRPr="00FC1073" w:rsidSect="00BB70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645" w:rsidRDefault="00174645" w:rsidP="00FC1073">
      <w:pPr>
        <w:spacing w:after="0" w:line="240" w:lineRule="auto"/>
      </w:pPr>
      <w:r>
        <w:separator/>
      </w:r>
    </w:p>
  </w:endnote>
  <w:endnote w:type="continuationSeparator" w:id="0">
    <w:p w:rsidR="00174645" w:rsidRDefault="00174645" w:rsidP="00FC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073" w:rsidRDefault="00FC10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073" w:rsidRDefault="00FC107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073" w:rsidRDefault="00FC10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645" w:rsidRDefault="00174645" w:rsidP="00FC1073">
      <w:pPr>
        <w:spacing w:after="0" w:line="240" w:lineRule="auto"/>
      </w:pPr>
      <w:r>
        <w:separator/>
      </w:r>
    </w:p>
  </w:footnote>
  <w:footnote w:type="continuationSeparator" w:id="0">
    <w:p w:rsidR="00174645" w:rsidRDefault="00174645" w:rsidP="00FC1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073" w:rsidRDefault="00FC10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073" w:rsidRDefault="00FC107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073" w:rsidRDefault="00FC10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D18CB"/>
    <w:rsid w:val="000336BE"/>
    <w:rsid w:val="00097521"/>
    <w:rsid w:val="000B3454"/>
    <w:rsid w:val="00174645"/>
    <w:rsid w:val="002E066F"/>
    <w:rsid w:val="00321354"/>
    <w:rsid w:val="004072C7"/>
    <w:rsid w:val="00503833"/>
    <w:rsid w:val="005E2873"/>
    <w:rsid w:val="0072074F"/>
    <w:rsid w:val="007D2FD7"/>
    <w:rsid w:val="008B2243"/>
    <w:rsid w:val="00912B08"/>
    <w:rsid w:val="009C1388"/>
    <w:rsid w:val="00A10D1B"/>
    <w:rsid w:val="00A27D47"/>
    <w:rsid w:val="00A507FB"/>
    <w:rsid w:val="00AB0DBD"/>
    <w:rsid w:val="00B340E7"/>
    <w:rsid w:val="00BB7081"/>
    <w:rsid w:val="00E506FC"/>
    <w:rsid w:val="00ED18CB"/>
    <w:rsid w:val="00F16E2A"/>
    <w:rsid w:val="00F775A0"/>
    <w:rsid w:val="00FC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08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uiPriority w:val="99"/>
    <w:rsid w:val="00097521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FootnoteText">
    <w:name w:val="footnote text"/>
    <w:basedOn w:val="Normal"/>
    <w:link w:val="FootnoteTextChar"/>
    <w:semiHidden/>
    <w:unhideWhenUsed/>
    <w:rsid w:val="00912B08"/>
    <w:pPr>
      <w:spacing w:after="0" w:line="240" w:lineRule="atLeast"/>
      <w:jc w:val="both"/>
    </w:pPr>
    <w:rPr>
      <w:rFonts w:ascii="Times New Roman" w:eastAsia="Times New Roman" w:hAnsi="Times New Roman"/>
      <w:sz w:val="24"/>
      <w:szCs w:val="20"/>
      <w:lang w:val="hu-HU"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912B08"/>
    <w:rPr>
      <w:rFonts w:ascii="Times New Roman" w:eastAsia="Times New Roman" w:hAnsi="Times New Roman"/>
      <w:sz w:val="24"/>
      <w:szCs w:val="20"/>
      <w:lang w:val="hu-HU" w:eastAsia="hr-HR"/>
    </w:rPr>
  </w:style>
  <w:style w:type="character" w:styleId="Strong">
    <w:name w:val="Strong"/>
    <w:basedOn w:val="DefaultParagraphFont"/>
    <w:qFormat/>
    <w:locked/>
    <w:rsid w:val="00912B08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C1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1073"/>
  </w:style>
  <w:style w:type="paragraph" w:styleId="Footer">
    <w:name w:val="footer"/>
    <w:basedOn w:val="Normal"/>
    <w:link w:val="FooterChar"/>
    <w:uiPriority w:val="99"/>
    <w:semiHidden/>
    <w:unhideWhenUsed/>
    <w:rsid w:val="00FC1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1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08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uiPriority w:val="99"/>
    <w:rsid w:val="00097521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FootnoteText">
    <w:name w:val="footnote text"/>
    <w:basedOn w:val="Normal"/>
    <w:link w:val="FootnoteTextChar"/>
    <w:semiHidden/>
    <w:unhideWhenUsed/>
    <w:rsid w:val="00912B08"/>
    <w:pPr>
      <w:spacing w:after="0" w:line="240" w:lineRule="atLeast"/>
      <w:jc w:val="both"/>
    </w:pPr>
    <w:rPr>
      <w:rFonts w:ascii="Times New Roman" w:eastAsia="Times New Roman" w:hAnsi="Times New Roman"/>
      <w:sz w:val="24"/>
      <w:szCs w:val="20"/>
      <w:lang w:val="hu-HU"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912B08"/>
    <w:rPr>
      <w:rFonts w:ascii="Times New Roman" w:eastAsia="Times New Roman" w:hAnsi="Times New Roman"/>
      <w:sz w:val="24"/>
      <w:szCs w:val="20"/>
      <w:lang w:val="hu-HU" w:eastAsia="hr-HR"/>
    </w:rPr>
  </w:style>
  <w:style w:type="character" w:styleId="Strong">
    <w:name w:val="Strong"/>
    <w:basedOn w:val="DefaultParagraphFont"/>
    <w:qFormat/>
    <w:locked/>
    <w:rsid w:val="00912B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1405</Words>
  <Characters>8011</Characters>
  <Application>Microsoft Office Word</Application>
  <DocSecurity>0</DocSecurity>
  <Lines>66</Lines>
  <Paragraphs>18</Paragraphs>
  <ScaleCrop>false</ScaleCrop>
  <Company/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 PETROVIC</dc:creator>
  <cp:lastModifiedBy>jovan</cp:lastModifiedBy>
  <cp:revision>2</cp:revision>
  <cp:lastPrinted>2015-01-13T15:12:00Z</cp:lastPrinted>
  <dcterms:created xsi:type="dcterms:W3CDTF">2015-01-19T13:52:00Z</dcterms:created>
  <dcterms:modified xsi:type="dcterms:W3CDTF">2015-01-19T13:52:00Z</dcterms:modified>
</cp:coreProperties>
</file>