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28" w:rsidRPr="00AC2672" w:rsidRDefault="00AC2672" w:rsidP="00D16B28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4124A2" w:rsidRPr="00AC2672" w:rsidRDefault="004124A2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6B28" w:rsidRPr="00AC2672" w:rsidRDefault="00D16B28" w:rsidP="00B2150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C2D0C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D16B28" w:rsidRPr="00AC2672" w:rsidRDefault="00D16B28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6B28" w:rsidRPr="00AC2672" w:rsidRDefault="00AC2672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ostalog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Ustavom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21503" w:rsidRPr="00AC2672" w:rsidRDefault="00B21503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6B28" w:rsidRPr="00AC2672" w:rsidRDefault="00D16B28" w:rsidP="00B2150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  <w:r w:rsidR="00BC2D0C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D16B28" w:rsidRPr="00AC2672" w:rsidRDefault="00D16B28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6B28" w:rsidRPr="00AC2672" w:rsidRDefault="00BC2D0C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Problemi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trebalo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reši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ciljevi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postižu</w:t>
      </w:r>
    </w:p>
    <w:p w:rsidR="00D16B28" w:rsidRPr="00AC2672" w:rsidRDefault="00D16B28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7267" w:rsidRPr="00AC2672" w:rsidRDefault="00AC2672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550BC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funkcionalnog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jedinstva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poreskih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drugostepeni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drugostepeni</w:t>
      </w:r>
      <w:r w:rsidR="004A4C8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4A4C8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664EA" w:rsidRPr="00AC2672" w:rsidRDefault="00AC2672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nezavisni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prvostepeni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potpunosti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devolutivno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dejstvo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žalbe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izjavljenoj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žalbi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odlučivati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prvostepeni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664EA" w:rsidRPr="00AC2672" w:rsidRDefault="00AC2672" w:rsidP="003664E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Predložena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zasnovana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ostalih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inicijativama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Asocijacije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privrednika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</w:t>
      </w:r>
      <w:r w:rsidR="00AE163C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C7129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komor</w:t>
      </w:r>
      <w:r w:rsidR="00AE163C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C7129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EC7129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Američka</w:t>
      </w:r>
      <w:r w:rsidR="00B34B46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B34B46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komora</w:t>
      </w:r>
      <w:r w:rsidR="00B34B46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34B46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Britansko</w:t>
      </w:r>
      <w:r w:rsidR="00B34B46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srpska</w:t>
      </w:r>
      <w:r w:rsidR="00B34B46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B34B46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komora</w:t>
      </w:r>
      <w:r w:rsidR="00B34B46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Nemačko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srpska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komora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Francusko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srpska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komora</w:t>
      </w:r>
      <w:r w:rsidR="00EC7129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C7129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3664E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67267" w:rsidRPr="00AC2672" w:rsidRDefault="00AC2672" w:rsidP="003664E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33/97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31/01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snik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izričito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dl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žn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kviru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rg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vn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oj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21503" w:rsidRPr="00AC2672" w:rsidRDefault="00AC2672" w:rsidP="003664E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poreskoj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administraciji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 80/02, 84/02-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, 23/03-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, 70/03, 55/04, 61/05, 85/05-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, 62/06-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, 61/07, 20/09, 72/09-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, 53/10, 101/11, 2/12-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93/12, 47/13, 108/13, 68/14,105/14, 91/15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112/15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15/16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ZPPPA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tj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brisanjem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drugostepenog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Poreskoj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propisivanjem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ZPPPA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usklađuju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21503" w:rsidRPr="00AC2672" w:rsidRDefault="00AC2672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žalbom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inicira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preispitivanje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zakonitosti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konkretnog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6A756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prvostepenog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većini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zemalja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okruženju</w:t>
      </w:r>
      <w:r w:rsidR="00F363E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načelo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prvostepeni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žalbi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formiran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nezavisni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22B8A" w:rsidRPr="00AC2672" w:rsidRDefault="00AC2672" w:rsidP="00322B8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sastoji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činjenici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pojedine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precizirati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pravnotehničko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usaglašavanje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ZPPPA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realizovala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tumačenja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doprinelo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bržem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efikasnijem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administracije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većoj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doslednosti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22B8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67267" w:rsidRPr="00AC2672" w:rsidRDefault="00AC2672" w:rsidP="00322B8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PIB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PIB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izuzetnim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situacijama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neposrednim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odlučivanjem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podatke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izjašnjavanja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činjenicama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odlučivanje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22B8A" w:rsidRPr="00AC2672" w:rsidRDefault="00322B8A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6B28" w:rsidRPr="00AC2672" w:rsidRDefault="00BC2D0C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Razmatrane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problemi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reše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D16B28" w:rsidRPr="00AC2672" w:rsidRDefault="00D16B28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6B28" w:rsidRPr="00AC2672" w:rsidRDefault="00AC2672" w:rsidP="00D16B28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žele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postići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21503" w:rsidRPr="00AC2672" w:rsidRDefault="00B21503" w:rsidP="00D16B28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6B28" w:rsidRPr="00AC2672" w:rsidRDefault="00BC2D0C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Zašto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najbolji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problema</w:t>
      </w:r>
    </w:p>
    <w:p w:rsidR="00D16B28" w:rsidRPr="00AC2672" w:rsidRDefault="00D16B28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6B28" w:rsidRPr="00AC2672" w:rsidRDefault="00AC2672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Uređivanjem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doprinos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pravnoj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transparentnost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vođenju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Naime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jednaka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nađu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istoj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pravnoj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postiže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transparentnost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njegovoj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D7957" w:rsidRPr="00AC2672" w:rsidRDefault="00ED7957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21503" w:rsidRPr="00AC2672" w:rsidRDefault="00B21503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6B28" w:rsidRPr="00AC2672" w:rsidRDefault="00D16B28" w:rsidP="00BC2D0C">
      <w:pPr>
        <w:spacing w:after="0" w:line="240" w:lineRule="auto"/>
        <w:jc w:val="both"/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  <w:r w:rsidR="00BC2D0C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OBJAŠNJENJE</w:t>
      </w:r>
      <w:r w:rsidRPr="00AC2672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OSNOVNIH</w:t>
      </w:r>
      <w:r w:rsidRPr="00AC2672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PRAVNIH</w:t>
      </w:r>
      <w:r w:rsidRPr="00AC2672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INSTITUTA</w:t>
      </w:r>
      <w:r w:rsidRPr="00AC2672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Pr="00AC2672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POJEDINAČNIH</w:t>
      </w:r>
      <w:r w:rsidRPr="00AC2672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>REŠENJA</w:t>
      </w:r>
      <w:r w:rsidRPr="00AC2672">
        <w:rPr>
          <w:rFonts w:ascii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</w:p>
    <w:p w:rsidR="00B52C24" w:rsidRPr="00AC2672" w:rsidRDefault="00B52C24" w:rsidP="00B52C2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E" w:rsidRPr="00AC2672" w:rsidRDefault="00AC2672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EF6874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 1, 3, 1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E111A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-19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, 2</w:t>
      </w:r>
      <w:r w:rsidR="00E111A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D7957" w:rsidRPr="00AC2672" w:rsidRDefault="00AC2672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drugostepenom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dosadašnjeg</w:t>
      </w:r>
      <w:r w:rsidR="00B21503" w:rsidRPr="00AC2672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drugostepenog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obrazovanog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Poreskoj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drugostepeni</w:t>
      </w:r>
      <w:r w:rsidR="004A4C8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4A4C8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nezavisnom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B2150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poreskom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91077" w:rsidRPr="00AC2672" w:rsidRDefault="00AC2672" w:rsidP="0009107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drugostepenim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poreskim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primenjivaće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počev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91077" w:rsidRPr="00AC2672" w:rsidRDefault="00AC2672" w:rsidP="0009107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FD43A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prestaju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drugostepenom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poreskom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FD43A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D43A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drugostepeni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4A4C8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D43A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FD43A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FD43A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preuzeće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zaposlene</w:t>
      </w:r>
      <w:r w:rsidR="00FD43AA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AD5EFE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angažovane</w:t>
      </w:r>
      <w:r w:rsidR="00AD5EFE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D5EFE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AD5EFE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informacioni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arhivu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opremu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831C3" w:rsidRPr="00AC2672" w:rsidRDefault="00AC2672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okončan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drugostepenim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poreskim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organom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preuzeće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drugostepeni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0280D" w:rsidRPr="00AC2672" w:rsidRDefault="0020280D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4941" w:rsidRPr="00AC2672" w:rsidRDefault="00AC2672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741C2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41C2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962FCB" w:rsidRPr="00AC2672" w:rsidRDefault="00AC2672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inspekcijskom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A4C8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36/15),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počeo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oblike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inspekcijskog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inspekcijskom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ustanoviti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ZPPPA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supsidijarnu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3F254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3F254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3F254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poreskom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739CE" w:rsidRPr="00AC2672" w:rsidRDefault="002739CE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27EEC" w:rsidRPr="00AC2672" w:rsidRDefault="00AC2672" w:rsidP="005831C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A27EEC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A27EEC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8A7D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640B1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831C3" w:rsidRPr="00AC2672" w:rsidRDefault="00AC2672" w:rsidP="000B427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preciziranje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prestanka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="005831C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43EE3" w:rsidRPr="00AC2672" w:rsidRDefault="00843EE3" w:rsidP="000B427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A4C88" w:rsidRPr="00AC2672" w:rsidRDefault="004A4C88" w:rsidP="000B427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A4C88" w:rsidRPr="00AC2672" w:rsidRDefault="004A4C88" w:rsidP="000B427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62DD1" w:rsidRPr="00AC2672" w:rsidRDefault="005831C3" w:rsidP="000B427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D62DD1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62DD1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5, 6, 2</w:t>
      </w:r>
      <w:r w:rsidR="00E111A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D62DD1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62DD1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41942" w:rsidRPr="00AC2672" w:rsidRDefault="00AC2672" w:rsidP="00716B65">
      <w:pPr>
        <w:spacing w:after="0" w:line="240" w:lineRule="auto"/>
        <w:ind w:firstLine="720"/>
        <w:jc w:val="both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Vrši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preciziranje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6726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privremenom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oduzimanju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PIB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onemogući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osnivači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vlasnici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PIB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osnivaju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preduzetničku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radnju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izbegavanja</w:t>
      </w:r>
      <w:r w:rsidR="0098071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98071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98071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41942" w:rsidRPr="00AC2672">
        <w:rPr>
          <w:noProof/>
          <w:lang w:val="sr-Latn-CS"/>
        </w:rPr>
        <w:t xml:space="preserve"> </w:t>
      </w:r>
    </w:p>
    <w:p w:rsidR="00980713" w:rsidRPr="00AC2672" w:rsidRDefault="00AC2672" w:rsidP="00716B6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poreskim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obveznicima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otvoren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stečaja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stečajnog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sudije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vratiti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oduzeti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PIB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stečaja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16B65" w:rsidRPr="00AC2672" w:rsidRDefault="00AC2672" w:rsidP="00716B6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proširuje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="006A756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A756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A756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preduzima</w:t>
      </w:r>
      <w:r w:rsidR="006A756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F363E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3E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propisanog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registrovati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statusne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ulog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PIB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vraćen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PIB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E69F0" w:rsidRPr="00AC2672" w:rsidRDefault="00AC2672" w:rsidP="00716B6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navedenom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izmenom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preciziranje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prekršajnih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ZPPPA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16B65" w:rsidRPr="00AC2672" w:rsidRDefault="00716B65" w:rsidP="00716B6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16B65" w:rsidRPr="00AC2672" w:rsidRDefault="00AC2672" w:rsidP="00716B6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716B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5A17" w:rsidRPr="00AC2672" w:rsidRDefault="00AC2672" w:rsidP="00716B6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ZUP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počinje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E69F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izjašnjavanja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stranke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odlučiti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5A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izuzetnim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situacijama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neposrednim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odlučivanjem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izjašnjavanja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činjenicama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odlučivanje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41942" w:rsidRPr="00AC2672" w:rsidRDefault="00D41942" w:rsidP="00716B6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53117" w:rsidRPr="00AC2672" w:rsidRDefault="00AC2672" w:rsidP="00716B6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3F254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-1</w:t>
      </w:r>
      <w:r w:rsidR="003F254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53117" w:rsidRPr="00AC2672" w:rsidRDefault="00AC2672" w:rsidP="00716B6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preciziranje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pravnotehničko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usaglašavanje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ZPPPA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realizovala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doprinelo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bržem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efikasnijem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administracije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većoj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doslednosti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</w:t>
      </w:r>
      <w:r w:rsidR="002028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53117" w:rsidRPr="00AC2672" w:rsidRDefault="00AC2672" w:rsidP="00453117">
      <w:pPr>
        <w:pStyle w:val="ListParagraph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ustanovljavanju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87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ZPPPA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poreskom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obvezniku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organizaciji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nadležnoj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prinudnu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naplatu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izvršno</w:t>
      </w:r>
      <w:r w:rsidR="006A756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A756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momentu</w:t>
      </w:r>
      <w:r w:rsidR="006A756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6A756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jednoj</w:t>
      </w:r>
      <w:r w:rsidR="006A756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A756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="006A756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53117" w:rsidRPr="00AC2672" w:rsidRDefault="00AC2672" w:rsidP="00453117">
      <w:pPr>
        <w:pStyle w:val="ListParagraph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popisu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pokretnih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nepokretnih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stvari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raspolaže</w:t>
      </w:r>
      <w:r w:rsidR="00453117" w:rsidRPr="00AC2672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prinudne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zaloga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hipoteka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uspostavljena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53117" w:rsidRPr="00AC2672" w:rsidRDefault="00AC2672" w:rsidP="00453117">
      <w:pPr>
        <w:pStyle w:val="ListParagraph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preciziranje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sekundarne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43EE3" w:rsidRPr="00AC2672" w:rsidRDefault="00843EE3" w:rsidP="0045311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53117" w:rsidRPr="00AC2672" w:rsidRDefault="00AC2672" w:rsidP="0045311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3F254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16B65" w:rsidRPr="00AC2672" w:rsidRDefault="00AC2672" w:rsidP="00716B6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preciziranje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45311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propisivanjem</w:t>
      </w:r>
      <w:r w:rsidR="0098071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8071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8071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A8000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vanrednog</w:t>
      </w:r>
      <w:r w:rsidR="00A8000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A8000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A8000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ZPPPA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menjačkog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priređivanja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igara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sreću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fiskalnih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kasa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terenske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A8000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terensku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poreskom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obvezniku</w:t>
      </w:r>
      <w:r w:rsidR="00D4194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A4C88" w:rsidRPr="00AC2672" w:rsidRDefault="004A4C88" w:rsidP="00716B6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91077" w:rsidRPr="00AC2672" w:rsidRDefault="00AC2672" w:rsidP="00716B6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E111A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91077" w:rsidRPr="00AC2672" w:rsidRDefault="00AC2672" w:rsidP="0009107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163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preciziranje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vanbilansnom</w:t>
      </w:r>
      <w:r w:rsidR="008A68E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poreskom</w:t>
      </w:r>
      <w:r w:rsidR="008A68E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računovodstvu</w:t>
      </w:r>
      <w:r w:rsidR="008A68E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neplaćene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poreskih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brisani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propisanog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nastupila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apsolutna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zastarelost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namirenja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reguliše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stečajni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bankrotstva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spornih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dubioznih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potraživanja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8000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spornih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dubioznih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potraživanja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propiše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podzakonskog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regulisano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računovodstvo</w:t>
      </w:r>
      <w:r w:rsidR="0009107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82250" w:rsidRPr="00AC2672" w:rsidRDefault="00F82250" w:rsidP="0009107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82250" w:rsidRPr="00AC2672" w:rsidRDefault="00AC2672" w:rsidP="0009107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</w:t>
      </w:r>
    </w:p>
    <w:p w:rsidR="00965825" w:rsidRPr="00AC2672" w:rsidRDefault="00AC2672" w:rsidP="0009107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porezu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dodatu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stranog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punomoćnika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stranog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izvršavati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ostvarivati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evidencione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poreskih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znači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strano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izjednačava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poreskim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obveznikom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domaćim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licem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propisivanje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stranog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odredilo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punomoćnika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evidentiralo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PDV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82250" w:rsidRPr="00AC2672" w:rsidRDefault="00AC2672" w:rsidP="0009107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porezu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dodatu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91077" w:rsidRPr="00AC2672" w:rsidRDefault="00091077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6B28" w:rsidRPr="00AC2672" w:rsidRDefault="00AC2672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A27EEC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27EEC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111A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F8225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62DD1" w:rsidRPr="00AC2672" w:rsidRDefault="00AC2672" w:rsidP="00091077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333ED4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3ED4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33ED4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33ED4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33ED4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76DB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D76DB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091077" w:rsidRPr="00AC267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BC2D0C" w:rsidRPr="00AC2672" w:rsidRDefault="00BC2D0C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91077" w:rsidRPr="00AC2672" w:rsidRDefault="00091077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6B28" w:rsidRPr="00AC2672" w:rsidRDefault="00D16B28" w:rsidP="0009107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IV</w:t>
      </w:r>
      <w:r w:rsidR="00BC2D0C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PROCENA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POTREBNIH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D16B28" w:rsidRPr="00AC2672" w:rsidRDefault="00D16B28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6B28" w:rsidRPr="00AC2672" w:rsidRDefault="00AC2672" w:rsidP="00D16B2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D16B2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C2D0C" w:rsidRPr="00AC2672" w:rsidRDefault="00BC2D0C" w:rsidP="00BC2D0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C2D0C" w:rsidRPr="00AC2672" w:rsidRDefault="00BC2D0C" w:rsidP="00BC2D0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C270D" w:rsidRPr="00AC2672" w:rsidRDefault="00AC270D" w:rsidP="0009107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BC2D0C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HITNOM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</w:p>
    <w:p w:rsidR="00AC270D" w:rsidRPr="00AC2672" w:rsidRDefault="00AC270D" w:rsidP="00AC270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C270D" w:rsidRPr="00AC2672" w:rsidRDefault="00AC2672" w:rsidP="00AC270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hitnom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0134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Poslovnika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oj 20/12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prečišćen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nesmetan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obezbedili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blagovremenu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predloženih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zakonskih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pozitivan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ostvarivanje</w:t>
      </w:r>
      <w:r w:rsidR="00AC270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="004124A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4124A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124A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obezbeđivanje</w:t>
      </w:r>
      <w:r w:rsidR="004124A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transparentnosti</w:t>
      </w:r>
      <w:r w:rsidR="004124A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124A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vođenju</w:t>
      </w:r>
      <w:r w:rsidR="004124A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4124A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4124A2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43EE3" w:rsidRPr="00AC2672" w:rsidRDefault="00843EE3" w:rsidP="00AC270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43EE3" w:rsidRPr="00AC2672" w:rsidRDefault="00843EE3" w:rsidP="00AC270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A4C88" w:rsidRPr="00AC2672" w:rsidRDefault="004A4C88" w:rsidP="00AC270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A4C88" w:rsidRPr="00AC2672" w:rsidRDefault="004A4C88" w:rsidP="00AC270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43EE3" w:rsidRPr="00AC2672" w:rsidRDefault="00843EE3" w:rsidP="00AC270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E7DD0" w:rsidRPr="00AC2672" w:rsidRDefault="003E7DD0" w:rsidP="0009107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VI.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ANALIZA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3E7DD0" w:rsidRPr="00AC2672" w:rsidRDefault="003E7DD0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3E7DD0" w:rsidRPr="00AC2672" w:rsidRDefault="00AC2672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Budući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administracija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procesnom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doprinelo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fiskalne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materijalnim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precizno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iskazati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apsolutnom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čega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iznosima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odredbi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Poslovnika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 61/06-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prečišćen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69/08, 88/09, 33/10, 69/10, 20/11, 37/11, 30/13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76/14). </w:t>
      </w:r>
    </w:p>
    <w:p w:rsidR="00FD43AA" w:rsidRPr="00AC2672" w:rsidRDefault="00FD43AA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3E7DD0" w:rsidRPr="00AC2672" w:rsidRDefault="00AC2672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nekoliko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ključnih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predloženih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jačanja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uspostavljanjem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jasnih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preciziranjem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pojmova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osiguravaju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jednoobraznost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unapređuju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obveznicima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obezbeđujući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izvesnost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neizvesnost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javlja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neusaglašenosti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318DF" w:rsidRPr="00AC2672" w:rsidRDefault="001318DF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3E7DD0" w:rsidRPr="00AC2672" w:rsidRDefault="003E7DD0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1.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najverovatnije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E7DD0" w:rsidRPr="00AC2672" w:rsidRDefault="00AC2672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dakle</w:t>
      </w:r>
      <w:r w:rsidR="00EC7129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radnju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D43AA" w:rsidRPr="00AC2672" w:rsidRDefault="00FD43AA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3E7DD0" w:rsidRPr="00AC2672" w:rsidRDefault="00AC2672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pozitivan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318DF" w:rsidRPr="00AC2672" w:rsidRDefault="003E7DD0" w:rsidP="001318D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obveznike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vodeći</w:t>
      </w:r>
      <w:r w:rsidR="00EC7129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EC7129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propisivanjem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drugostepeni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drugostepeni</w:t>
      </w:r>
      <w:r w:rsidR="004A4C8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EC7129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nezavisni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prvostepeni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potpunosti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devolutivno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dejstvo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žalbe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izjavljenoj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žalbi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odlučivati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prvostepeni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1318DF" w:rsidRPr="00AC2672" w:rsidRDefault="00AC2672" w:rsidP="001318D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redovno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sredstvo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ulaže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ugroženog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povređenog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subjektivnog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žalioca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prekršenih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formalnih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materijalnih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318DF" w:rsidRPr="00AC2672" w:rsidRDefault="00AC2672" w:rsidP="001318D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5E278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E278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žalbu</w:t>
      </w:r>
      <w:r w:rsidR="005E278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E278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zagarantovano</w:t>
      </w:r>
      <w:r w:rsidR="005E2783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Ustavom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spada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građanska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Koristeći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podstiču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poštovanje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principa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zakonitosti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štite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318DF" w:rsidRPr="00AC2672" w:rsidRDefault="001318DF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318DF" w:rsidRPr="00AC2672" w:rsidRDefault="00AC2672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ZPPPA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tj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brisanjem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drugostepenog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Poreskoj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propisivanjem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drugostepenog</w:t>
      </w:r>
      <w:r w:rsidR="004A4C8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A8000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8000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A8000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8000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poreskom</w:t>
      </w:r>
      <w:r w:rsidR="00A8000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usklađuju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opštem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A8000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izričito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dl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žn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kviru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rg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vn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oj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395D" w:rsidRPr="00AC2672" w:rsidRDefault="0016395D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395D" w:rsidRPr="00AC2672" w:rsidRDefault="00AC2672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ZPPPA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doprinosi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smanjenju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zloupotreba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nesavesnih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poreskih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svega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statusnih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318DF" w:rsidRPr="00AC2672" w:rsidRDefault="00AC2672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Naime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obveznici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osnivači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PIB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moći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osnivati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PIB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moći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statusne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novoosnovanog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dospele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neizmirene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395D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raskid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veze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novoosnovanog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povezanim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izbegavanje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poreskih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395D" w:rsidRPr="00AC2672" w:rsidRDefault="0016395D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3E7DD0" w:rsidRPr="00AC2672" w:rsidRDefault="003E7DD0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2.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Kakve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stvoriti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građanima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privredi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malim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srednjim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3E7DD0" w:rsidRPr="00AC2672" w:rsidRDefault="00AC2672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trebalo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stvori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poreskim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obveznicima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drugostepeni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1318DF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preuzeti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zaposlene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informacioni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arhivu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opremu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drugostepeni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ustanovljen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Poreskoj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9B6AA7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stvoriti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građanima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privredi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E7DD0" w:rsidRPr="00AC2672" w:rsidRDefault="003E7DD0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3E7DD0" w:rsidRPr="00AC2672" w:rsidRDefault="003E7DD0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  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pozitivne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takve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opravdavaju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on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stvoriti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E7DD0" w:rsidRPr="00AC2672" w:rsidRDefault="00AC2672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obveznici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snositi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E111A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="00E111A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111A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111A8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111A8" w:rsidRPr="00AC2672" w:rsidRDefault="00E111A8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3E7DD0" w:rsidRPr="00AC2672" w:rsidRDefault="003E7DD0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podržava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stvaranje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tržišna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konkurencija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E7DD0" w:rsidRPr="00AC2672" w:rsidRDefault="00AC2672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Ocenjuje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doprineti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stvaranju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određenoj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posredstvom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poboljšanja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jačanju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="00D33565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posredno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pozitivno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očuvanje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konkurencije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E7DD0" w:rsidRPr="00AC2672" w:rsidRDefault="003E7DD0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3E7DD0" w:rsidRPr="00AC2672" w:rsidRDefault="003E7DD0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imale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priliku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izjasne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E7DD0" w:rsidRPr="00AC2672" w:rsidRDefault="00AC2672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zakonskog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usvojene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inicijative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izmenom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poreskih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brojnih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E7DD0" w:rsidRPr="00AC2672" w:rsidRDefault="003E7DD0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3E7DD0" w:rsidRPr="00AC2672" w:rsidRDefault="003E7DD0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6.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preduzeti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ostvarilo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ono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672">
        <w:rPr>
          <w:rFonts w:ascii="Times New Roman" w:hAnsi="Times New Roman" w:cs="Times New Roman"/>
          <w:noProof/>
          <w:sz w:val="24"/>
          <w:szCs w:val="24"/>
          <w:lang w:val="sr-Latn-CS"/>
        </w:rPr>
        <w:t>namerava</w:t>
      </w:r>
      <w:r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E7DD0" w:rsidRPr="00AC2672" w:rsidRDefault="00AC2672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naplaćuje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kontroliše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lokalnih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izvorne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E7DD0" w:rsidRPr="00AC2672" w:rsidRDefault="00AC2672" w:rsidP="003E7D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ističemo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periodičnim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publikovanjem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Biltena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službenih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objašnjenja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stručnih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njihovim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objavljivanjem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zvaničnoj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pogodan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transparentnost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informisanost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dostupnost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informacijama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doprinelo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ostvarivanju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postavljenih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E7DD0" w:rsidRPr="00AC2672" w:rsidRDefault="00AC2672" w:rsidP="002D02C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ostvarili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žele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postići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davati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njegovoj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uputstva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3E7DD0" w:rsidRPr="00AC267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sectPr w:rsidR="003E7DD0" w:rsidRPr="00AC2672" w:rsidSect="00E11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33" w:rsidRDefault="00347433" w:rsidP="004975A9">
      <w:pPr>
        <w:spacing w:after="0" w:line="240" w:lineRule="auto"/>
      </w:pPr>
      <w:r>
        <w:separator/>
      </w:r>
    </w:p>
  </w:endnote>
  <w:endnote w:type="continuationSeparator" w:id="0">
    <w:p w:rsidR="00347433" w:rsidRDefault="00347433" w:rsidP="0049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72" w:rsidRDefault="00AC26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2055304504"/>
      <w:docPartObj>
        <w:docPartGallery w:val="Page Numbers (Bottom of Page)"/>
        <w:docPartUnique/>
      </w:docPartObj>
    </w:sdtPr>
    <w:sdtEndPr/>
    <w:sdtContent>
      <w:p w:rsidR="004975A9" w:rsidRPr="00AC2672" w:rsidRDefault="00AC071F">
        <w:pPr>
          <w:pStyle w:val="Footer"/>
          <w:jc w:val="right"/>
          <w:rPr>
            <w:noProof/>
            <w:lang w:val="sr-Latn-CS"/>
          </w:rPr>
        </w:pPr>
        <w:r w:rsidRPr="00AC2672">
          <w:rPr>
            <w:noProof/>
            <w:lang w:val="sr-Latn-CS"/>
          </w:rPr>
          <w:fldChar w:fldCharType="begin"/>
        </w:r>
        <w:r w:rsidR="009B52DC" w:rsidRPr="00AC2672">
          <w:rPr>
            <w:noProof/>
            <w:lang w:val="sr-Latn-CS"/>
          </w:rPr>
          <w:instrText xml:space="preserve"> PAGE   \* MERGEFORMAT </w:instrText>
        </w:r>
        <w:r w:rsidRPr="00AC2672">
          <w:rPr>
            <w:noProof/>
            <w:lang w:val="sr-Latn-CS"/>
          </w:rPr>
          <w:fldChar w:fldCharType="separate"/>
        </w:r>
        <w:r w:rsidR="00AC2672">
          <w:rPr>
            <w:noProof/>
            <w:lang w:val="sr-Latn-CS"/>
          </w:rPr>
          <w:t>6</w:t>
        </w:r>
        <w:r w:rsidRPr="00AC2672">
          <w:rPr>
            <w:noProof/>
            <w:lang w:val="sr-Latn-CS"/>
          </w:rPr>
          <w:fldChar w:fldCharType="end"/>
        </w:r>
      </w:p>
    </w:sdtContent>
  </w:sdt>
  <w:p w:rsidR="004975A9" w:rsidRPr="00AC2672" w:rsidRDefault="004975A9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72" w:rsidRDefault="00AC2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33" w:rsidRDefault="00347433" w:rsidP="004975A9">
      <w:pPr>
        <w:spacing w:after="0" w:line="240" w:lineRule="auto"/>
      </w:pPr>
      <w:r>
        <w:separator/>
      </w:r>
    </w:p>
  </w:footnote>
  <w:footnote w:type="continuationSeparator" w:id="0">
    <w:p w:rsidR="00347433" w:rsidRDefault="00347433" w:rsidP="0049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72" w:rsidRDefault="00AC26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72" w:rsidRDefault="00AC26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72" w:rsidRDefault="00AC2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614"/>
    <w:multiLevelType w:val="hybridMultilevel"/>
    <w:tmpl w:val="35A66B24"/>
    <w:lvl w:ilvl="0" w:tplc="2C4A6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7074B"/>
    <w:multiLevelType w:val="hybridMultilevel"/>
    <w:tmpl w:val="C994B266"/>
    <w:lvl w:ilvl="0" w:tplc="F746CE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2F3B33"/>
    <w:multiLevelType w:val="hybridMultilevel"/>
    <w:tmpl w:val="4CF4BECA"/>
    <w:lvl w:ilvl="0" w:tplc="B7803E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2253CA"/>
    <w:multiLevelType w:val="hybridMultilevel"/>
    <w:tmpl w:val="C5CEEC2A"/>
    <w:lvl w:ilvl="0" w:tplc="79AC370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2C"/>
    <w:rsid w:val="000032CF"/>
    <w:rsid w:val="00012A6A"/>
    <w:rsid w:val="0005544D"/>
    <w:rsid w:val="00056675"/>
    <w:rsid w:val="00071E18"/>
    <w:rsid w:val="0008286E"/>
    <w:rsid w:val="000906A6"/>
    <w:rsid w:val="00091077"/>
    <w:rsid w:val="000B427C"/>
    <w:rsid w:val="000B5E15"/>
    <w:rsid w:val="000C2CC3"/>
    <w:rsid w:val="000C5FEB"/>
    <w:rsid w:val="000D3818"/>
    <w:rsid w:val="000E06BC"/>
    <w:rsid w:val="000E7205"/>
    <w:rsid w:val="000F0E86"/>
    <w:rsid w:val="00117A81"/>
    <w:rsid w:val="001318DF"/>
    <w:rsid w:val="001432CF"/>
    <w:rsid w:val="0014432C"/>
    <w:rsid w:val="00155135"/>
    <w:rsid w:val="0016395D"/>
    <w:rsid w:val="00163EF0"/>
    <w:rsid w:val="00164ACE"/>
    <w:rsid w:val="0017000B"/>
    <w:rsid w:val="00171068"/>
    <w:rsid w:val="0018163C"/>
    <w:rsid w:val="00185474"/>
    <w:rsid w:val="00185896"/>
    <w:rsid w:val="001A1705"/>
    <w:rsid w:val="001C4D94"/>
    <w:rsid w:val="001D6F3A"/>
    <w:rsid w:val="001E7D71"/>
    <w:rsid w:val="001F1102"/>
    <w:rsid w:val="0020280D"/>
    <w:rsid w:val="00221604"/>
    <w:rsid w:val="00222D96"/>
    <w:rsid w:val="0022310F"/>
    <w:rsid w:val="002271F8"/>
    <w:rsid w:val="00231C04"/>
    <w:rsid w:val="00244475"/>
    <w:rsid w:val="00250167"/>
    <w:rsid w:val="002522F7"/>
    <w:rsid w:val="002727CD"/>
    <w:rsid w:val="002739CE"/>
    <w:rsid w:val="002832F7"/>
    <w:rsid w:val="002B2717"/>
    <w:rsid w:val="002C264F"/>
    <w:rsid w:val="002D02CA"/>
    <w:rsid w:val="002F2796"/>
    <w:rsid w:val="0030134F"/>
    <w:rsid w:val="00311006"/>
    <w:rsid w:val="00313E0C"/>
    <w:rsid w:val="003204DD"/>
    <w:rsid w:val="00322B8A"/>
    <w:rsid w:val="00325037"/>
    <w:rsid w:val="003332C7"/>
    <w:rsid w:val="00333ED4"/>
    <w:rsid w:val="0033428C"/>
    <w:rsid w:val="00343DD1"/>
    <w:rsid w:val="003440FF"/>
    <w:rsid w:val="00347433"/>
    <w:rsid w:val="00351247"/>
    <w:rsid w:val="003550BC"/>
    <w:rsid w:val="003575E0"/>
    <w:rsid w:val="003664EA"/>
    <w:rsid w:val="0039378A"/>
    <w:rsid w:val="003A1B75"/>
    <w:rsid w:val="003A240A"/>
    <w:rsid w:val="003B0883"/>
    <w:rsid w:val="003B3989"/>
    <w:rsid w:val="003D7B73"/>
    <w:rsid w:val="003E06D8"/>
    <w:rsid w:val="003E2AB6"/>
    <w:rsid w:val="003E73F2"/>
    <w:rsid w:val="003E7DD0"/>
    <w:rsid w:val="003F1808"/>
    <w:rsid w:val="003F2548"/>
    <w:rsid w:val="004124A2"/>
    <w:rsid w:val="00413677"/>
    <w:rsid w:val="004279FF"/>
    <w:rsid w:val="00446406"/>
    <w:rsid w:val="00450AFC"/>
    <w:rsid w:val="00453117"/>
    <w:rsid w:val="00453848"/>
    <w:rsid w:val="00466FBC"/>
    <w:rsid w:val="00471F5D"/>
    <w:rsid w:val="004744A4"/>
    <w:rsid w:val="004906FF"/>
    <w:rsid w:val="00494217"/>
    <w:rsid w:val="004960DE"/>
    <w:rsid w:val="004975A9"/>
    <w:rsid w:val="004A4C88"/>
    <w:rsid w:val="004A58F9"/>
    <w:rsid w:val="004A6DF3"/>
    <w:rsid w:val="004B56B0"/>
    <w:rsid w:val="004C3419"/>
    <w:rsid w:val="004C5A17"/>
    <w:rsid w:val="004D0F38"/>
    <w:rsid w:val="004D5E6B"/>
    <w:rsid w:val="004F1FD9"/>
    <w:rsid w:val="00504E5F"/>
    <w:rsid w:val="00507389"/>
    <w:rsid w:val="0051640F"/>
    <w:rsid w:val="0053697A"/>
    <w:rsid w:val="0054258F"/>
    <w:rsid w:val="005507E5"/>
    <w:rsid w:val="00557582"/>
    <w:rsid w:val="0057294F"/>
    <w:rsid w:val="00575F41"/>
    <w:rsid w:val="005831C3"/>
    <w:rsid w:val="00593169"/>
    <w:rsid w:val="005E1F91"/>
    <w:rsid w:val="005E2783"/>
    <w:rsid w:val="005E281A"/>
    <w:rsid w:val="005E299F"/>
    <w:rsid w:val="005E6BBD"/>
    <w:rsid w:val="00607921"/>
    <w:rsid w:val="0061537A"/>
    <w:rsid w:val="00620123"/>
    <w:rsid w:val="006333CC"/>
    <w:rsid w:val="00640B1F"/>
    <w:rsid w:val="0065083A"/>
    <w:rsid w:val="00661705"/>
    <w:rsid w:val="006678BD"/>
    <w:rsid w:val="00671F65"/>
    <w:rsid w:val="0067593C"/>
    <w:rsid w:val="006875A9"/>
    <w:rsid w:val="00691AD5"/>
    <w:rsid w:val="006A06AA"/>
    <w:rsid w:val="006A6230"/>
    <w:rsid w:val="006A7563"/>
    <w:rsid w:val="006C7774"/>
    <w:rsid w:val="006D1FD7"/>
    <w:rsid w:val="006D5920"/>
    <w:rsid w:val="006D5EBB"/>
    <w:rsid w:val="007046C6"/>
    <w:rsid w:val="00711A50"/>
    <w:rsid w:val="0071563C"/>
    <w:rsid w:val="00716B65"/>
    <w:rsid w:val="00725E1C"/>
    <w:rsid w:val="00741C27"/>
    <w:rsid w:val="00753CC3"/>
    <w:rsid w:val="007560F3"/>
    <w:rsid w:val="007605C9"/>
    <w:rsid w:val="00764DF2"/>
    <w:rsid w:val="00770511"/>
    <w:rsid w:val="0077621B"/>
    <w:rsid w:val="0078483A"/>
    <w:rsid w:val="00790B20"/>
    <w:rsid w:val="007A0A47"/>
    <w:rsid w:val="007C2FF0"/>
    <w:rsid w:val="007C5768"/>
    <w:rsid w:val="007C71A9"/>
    <w:rsid w:val="007D3998"/>
    <w:rsid w:val="007E3709"/>
    <w:rsid w:val="0081481B"/>
    <w:rsid w:val="008225CC"/>
    <w:rsid w:val="00825A12"/>
    <w:rsid w:val="00825CBC"/>
    <w:rsid w:val="00830CAF"/>
    <w:rsid w:val="00843EE3"/>
    <w:rsid w:val="008603F8"/>
    <w:rsid w:val="008610E9"/>
    <w:rsid w:val="00882FDA"/>
    <w:rsid w:val="008A294A"/>
    <w:rsid w:val="008A68E0"/>
    <w:rsid w:val="008A7DC3"/>
    <w:rsid w:val="008B2B90"/>
    <w:rsid w:val="008C323C"/>
    <w:rsid w:val="008C636D"/>
    <w:rsid w:val="008D439F"/>
    <w:rsid w:val="008E4B8D"/>
    <w:rsid w:val="0090343D"/>
    <w:rsid w:val="00910085"/>
    <w:rsid w:val="00913DFD"/>
    <w:rsid w:val="0091475F"/>
    <w:rsid w:val="00930393"/>
    <w:rsid w:val="00933DF2"/>
    <w:rsid w:val="0094248D"/>
    <w:rsid w:val="0095136D"/>
    <w:rsid w:val="00962FCB"/>
    <w:rsid w:val="00965825"/>
    <w:rsid w:val="00967267"/>
    <w:rsid w:val="0097314E"/>
    <w:rsid w:val="00975177"/>
    <w:rsid w:val="0097540F"/>
    <w:rsid w:val="00980713"/>
    <w:rsid w:val="00984DB6"/>
    <w:rsid w:val="009A71CB"/>
    <w:rsid w:val="009B52DC"/>
    <w:rsid w:val="009B655B"/>
    <w:rsid w:val="009B6AA7"/>
    <w:rsid w:val="009D733D"/>
    <w:rsid w:val="009E4E1E"/>
    <w:rsid w:val="009E4F3A"/>
    <w:rsid w:val="009F043A"/>
    <w:rsid w:val="009F475B"/>
    <w:rsid w:val="00A224D3"/>
    <w:rsid w:val="00A25D08"/>
    <w:rsid w:val="00A264E4"/>
    <w:rsid w:val="00A26BD2"/>
    <w:rsid w:val="00A27EEC"/>
    <w:rsid w:val="00A301A4"/>
    <w:rsid w:val="00A30C1D"/>
    <w:rsid w:val="00A30F43"/>
    <w:rsid w:val="00A330BD"/>
    <w:rsid w:val="00A40D70"/>
    <w:rsid w:val="00A42EFB"/>
    <w:rsid w:val="00A479A8"/>
    <w:rsid w:val="00A51D6F"/>
    <w:rsid w:val="00A80000"/>
    <w:rsid w:val="00A872C0"/>
    <w:rsid w:val="00AA170C"/>
    <w:rsid w:val="00AA17F9"/>
    <w:rsid w:val="00AA6AD6"/>
    <w:rsid w:val="00AB44B1"/>
    <w:rsid w:val="00AC071F"/>
    <w:rsid w:val="00AC2672"/>
    <w:rsid w:val="00AC270D"/>
    <w:rsid w:val="00AC5EA0"/>
    <w:rsid w:val="00AD50FE"/>
    <w:rsid w:val="00AD5EFE"/>
    <w:rsid w:val="00AD64AA"/>
    <w:rsid w:val="00AE0575"/>
    <w:rsid w:val="00AE163C"/>
    <w:rsid w:val="00AF7AE5"/>
    <w:rsid w:val="00B03136"/>
    <w:rsid w:val="00B1380C"/>
    <w:rsid w:val="00B2049D"/>
    <w:rsid w:val="00B21503"/>
    <w:rsid w:val="00B322CF"/>
    <w:rsid w:val="00B34B46"/>
    <w:rsid w:val="00B41651"/>
    <w:rsid w:val="00B52C24"/>
    <w:rsid w:val="00B637A1"/>
    <w:rsid w:val="00B7367A"/>
    <w:rsid w:val="00B85BBD"/>
    <w:rsid w:val="00B945A9"/>
    <w:rsid w:val="00BA726F"/>
    <w:rsid w:val="00BB4839"/>
    <w:rsid w:val="00BC2D0C"/>
    <w:rsid w:val="00BD5D8D"/>
    <w:rsid w:val="00BE26F2"/>
    <w:rsid w:val="00BF2A8A"/>
    <w:rsid w:val="00BF6318"/>
    <w:rsid w:val="00C14941"/>
    <w:rsid w:val="00C22738"/>
    <w:rsid w:val="00C30CA4"/>
    <w:rsid w:val="00C6472F"/>
    <w:rsid w:val="00C665ED"/>
    <w:rsid w:val="00C84CD8"/>
    <w:rsid w:val="00C96D9B"/>
    <w:rsid w:val="00CA4952"/>
    <w:rsid w:val="00CB070F"/>
    <w:rsid w:val="00CB3A20"/>
    <w:rsid w:val="00CC1C9A"/>
    <w:rsid w:val="00CC43F0"/>
    <w:rsid w:val="00CC5514"/>
    <w:rsid w:val="00CD4593"/>
    <w:rsid w:val="00CE34D8"/>
    <w:rsid w:val="00CE69F0"/>
    <w:rsid w:val="00CF0CA7"/>
    <w:rsid w:val="00CF4AF3"/>
    <w:rsid w:val="00D16B28"/>
    <w:rsid w:val="00D17D9F"/>
    <w:rsid w:val="00D33565"/>
    <w:rsid w:val="00D41942"/>
    <w:rsid w:val="00D44628"/>
    <w:rsid w:val="00D4520B"/>
    <w:rsid w:val="00D47343"/>
    <w:rsid w:val="00D5640D"/>
    <w:rsid w:val="00D62DD1"/>
    <w:rsid w:val="00D70929"/>
    <w:rsid w:val="00D7149A"/>
    <w:rsid w:val="00D76DB5"/>
    <w:rsid w:val="00D81DD2"/>
    <w:rsid w:val="00D84B08"/>
    <w:rsid w:val="00D970EC"/>
    <w:rsid w:val="00DA1C75"/>
    <w:rsid w:val="00DA445A"/>
    <w:rsid w:val="00DE4988"/>
    <w:rsid w:val="00DE5B99"/>
    <w:rsid w:val="00DE65DB"/>
    <w:rsid w:val="00DF1A76"/>
    <w:rsid w:val="00DF3239"/>
    <w:rsid w:val="00DF49DC"/>
    <w:rsid w:val="00E016FA"/>
    <w:rsid w:val="00E111A8"/>
    <w:rsid w:val="00E150DA"/>
    <w:rsid w:val="00E16572"/>
    <w:rsid w:val="00E1754E"/>
    <w:rsid w:val="00E64CB6"/>
    <w:rsid w:val="00E660FC"/>
    <w:rsid w:val="00E7150D"/>
    <w:rsid w:val="00E80BA5"/>
    <w:rsid w:val="00E82117"/>
    <w:rsid w:val="00E91890"/>
    <w:rsid w:val="00EA11DD"/>
    <w:rsid w:val="00EC7129"/>
    <w:rsid w:val="00ED6135"/>
    <w:rsid w:val="00ED7957"/>
    <w:rsid w:val="00EF6874"/>
    <w:rsid w:val="00F0256E"/>
    <w:rsid w:val="00F02AAF"/>
    <w:rsid w:val="00F17729"/>
    <w:rsid w:val="00F241DE"/>
    <w:rsid w:val="00F363E2"/>
    <w:rsid w:val="00F41453"/>
    <w:rsid w:val="00F42FB3"/>
    <w:rsid w:val="00F436A2"/>
    <w:rsid w:val="00F5383E"/>
    <w:rsid w:val="00F71B64"/>
    <w:rsid w:val="00F82250"/>
    <w:rsid w:val="00F967B4"/>
    <w:rsid w:val="00FA7F4B"/>
    <w:rsid w:val="00FB29CA"/>
    <w:rsid w:val="00FC4776"/>
    <w:rsid w:val="00FD43AA"/>
    <w:rsid w:val="00FF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CAFB7A-5696-4A30-8497-4869E751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A9"/>
  </w:style>
  <w:style w:type="paragraph" w:styleId="Footer">
    <w:name w:val="footer"/>
    <w:basedOn w:val="Normal"/>
    <w:link w:val="FooterChar"/>
    <w:uiPriority w:val="99"/>
    <w:unhideWhenUsed/>
    <w:rsid w:val="0049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A9"/>
  </w:style>
  <w:style w:type="paragraph" w:styleId="ListParagraph">
    <w:name w:val="List Paragraph"/>
    <w:basedOn w:val="Normal"/>
    <w:uiPriority w:val="34"/>
    <w:qFormat/>
    <w:rsid w:val="00AC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Blesic</dc:creator>
  <cp:lastModifiedBy>Bojan Grgic</cp:lastModifiedBy>
  <cp:revision>2</cp:revision>
  <cp:lastPrinted>2016-12-15T12:42:00Z</cp:lastPrinted>
  <dcterms:created xsi:type="dcterms:W3CDTF">2016-12-19T13:21:00Z</dcterms:created>
  <dcterms:modified xsi:type="dcterms:W3CDTF">2016-12-19T13:21:00Z</dcterms:modified>
</cp:coreProperties>
</file>