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5F" w:rsidRPr="0052048E" w:rsidRDefault="00D1775F" w:rsidP="002939B9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939B9" w:rsidRPr="0052048E" w:rsidRDefault="002939B9" w:rsidP="002939B9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939B9" w:rsidRPr="0052048E" w:rsidRDefault="002939B9" w:rsidP="002939B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2A16FE" w:rsidRPr="0052048E" w:rsidRDefault="002A16FE" w:rsidP="002939B9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037472" w:rsidRPr="0052048E" w:rsidRDefault="0052048E" w:rsidP="00141DEA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PREDLOG</w:t>
      </w:r>
      <w:r w:rsidR="006503CB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ZAKONA</w:t>
      </w:r>
    </w:p>
    <w:p w:rsidR="00037472" w:rsidRPr="0052048E" w:rsidRDefault="0052048E" w:rsidP="00141DEA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IZMENAMA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DOPUNI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ZAKONA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REGULISANJU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JAVNOG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DUGA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SAVEZNE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REPUBLIKE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JUGOSLAVIJE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PO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OSNOVU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DEVIZNE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ŠTEDNJE</w:t>
      </w:r>
      <w:r w:rsidR="00037472" w:rsidRPr="005204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  <w:t>GRAĐANA</w:t>
      </w:r>
    </w:p>
    <w:p w:rsidR="00037472" w:rsidRPr="0052048E" w:rsidRDefault="00037472" w:rsidP="002939B9">
      <w:pPr>
        <w:pStyle w:val="wyq060---pododeljak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939B9" w:rsidRPr="0052048E" w:rsidRDefault="002939B9" w:rsidP="002939B9">
      <w:pPr>
        <w:pStyle w:val="wyq060---pododeljak"/>
        <w:shd w:val="clear" w:color="auto" w:fill="FFFFFF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037472" w:rsidRPr="0052048E" w:rsidRDefault="0052048E" w:rsidP="00141DEA">
      <w:pPr>
        <w:pStyle w:val="clan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noProof/>
          <w:color w:val="000000"/>
          <w:lang w:val="sr-Latn-CS"/>
        </w:rPr>
      </w:pPr>
      <w:bookmarkStart w:id="0" w:name="clan_1"/>
      <w:bookmarkEnd w:id="0"/>
      <w:r>
        <w:rPr>
          <w:rFonts w:ascii="Times New Roman" w:hAnsi="Times New Roman" w:cs="Times New Roman"/>
          <w:b w:val="0"/>
          <w:noProof/>
          <w:color w:val="000000"/>
          <w:lang w:val="sr-Latn-CS"/>
        </w:rPr>
        <w:t>Član</w:t>
      </w:r>
      <w:r w:rsidR="00037472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1.</w:t>
      </w:r>
    </w:p>
    <w:p w:rsidR="00037472" w:rsidRPr="0052048E" w:rsidRDefault="0052048E" w:rsidP="00141D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Zakonu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regulisanju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javnog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duga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Savezne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Republike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Jugoslavije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osnovu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devizne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štednje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građana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list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SRJ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. 36/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02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Službeni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glasnik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RS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80/04 </w:t>
      </w:r>
      <w:r w:rsidR="006503C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US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101/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05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</w:t>
      </w:r>
      <w:r w:rsidR="00141DEA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zakon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2A16FE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članu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2.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„4,2”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brojem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2A16FE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„4,00”,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alineji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prvoj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„3,2”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brojem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„3,05”,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alineji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drugoj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„0,4”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brojem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„0,38”,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alineji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trećoj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,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„0,6”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zamenjuje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DB1143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brojem</w:t>
      </w:r>
      <w:r w:rsidR="005F492B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:</w:t>
      </w:r>
      <w:r w:rsidR="00037472" w:rsidRPr="0052048E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 xml:space="preserve"> „0,57”.</w:t>
      </w:r>
    </w:p>
    <w:p w:rsidR="002939B9" w:rsidRPr="0052048E" w:rsidRDefault="002939B9" w:rsidP="002939B9">
      <w:pPr>
        <w:pStyle w:val="Normal1"/>
        <w:shd w:val="clear" w:color="auto" w:fill="FFFFFF"/>
        <w:spacing w:before="0" w:after="0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037472" w:rsidRPr="0052048E" w:rsidRDefault="0052048E" w:rsidP="00141DEA">
      <w:pPr>
        <w:pStyle w:val="Normal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37472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</w:t>
      </w:r>
    </w:p>
    <w:p w:rsidR="00037472" w:rsidRPr="0052048E" w:rsidRDefault="00037472" w:rsidP="002939B9">
      <w:pPr>
        <w:pStyle w:val="Normal1"/>
        <w:shd w:val="clear" w:color="auto" w:fill="FFFFFF"/>
        <w:spacing w:before="0"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ab/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21.</w:t>
      </w:r>
      <w:r w:rsidR="004F210A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ugovori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državama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sukcesorima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Pr="0052048E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”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zamenjuju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rečima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 „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.”.</w:t>
      </w:r>
    </w:p>
    <w:p w:rsidR="002939B9" w:rsidRPr="0052048E" w:rsidRDefault="002939B9" w:rsidP="002939B9">
      <w:pPr>
        <w:pStyle w:val="clan"/>
        <w:shd w:val="clear" w:color="auto" w:fill="FFFFFF"/>
        <w:spacing w:before="0" w:after="0"/>
        <w:rPr>
          <w:rFonts w:ascii="Times New Roman" w:hAnsi="Times New Roman" w:cs="Times New Roman"/>
          <w:b w:val="0"/>
          <w:noProof/>
          <w:color w:val="000000"/>
          <w:lang w:val="sr-Latn-CS"/>
        </w:rPr>
      </w:pPr>
      <w:bookmarkStart w:id="1" w:name="clan_2"/>
      <w:bookmarkEnd w:id="1"/>
    </w:p>
    <w:p w:rsidR="00037472" w:rsidRPr="0052048E" w:rsidRDefault="0052048E" w:rsidP="00141DEA">
      <w:pPr>
        <w:pStyle w:val="Normal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37472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</w:t>
      </w:r>
    </w:p>
    <w:p w:rsidR="00037472" w:rsidRPr="0052048E" w:rsidRDefault="00037472" w:rsidP="00141DEA">
      <w:pPr>
        <w:pStyle w:val="clan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noProof/>
          <w:color w:val="000000"/>
          <w:lang w:val="sr-Latn-CS"/>
        </w:rPr>
      </w:pP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ab/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Posle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člana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21.</w:t>
      </w:r>
      <w:r w:rsidR="004F210A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dodaje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se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član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21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a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koji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glasi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:</w:t>
      </w:r>
    </w:p>
    <w:p w:rsidR="00037472" w:rsidRPr="0052048E" w:rsidRDefault="00037472" w:rsidP="00141DEA">
      <w:pPr>
        <w:pStyle w:val="clan"/>
        <w:shd w:val="clear" w:color="auto" w:fill="FFFFFF"/>
        <w:spacing w:before="0" w:after="0" w:line="360" w:lineRule="auto"/>
        <w:rPr>
          <w:rFonts w:ascii="Times New Roman" w:hAnsi="Times New Roman" w:cs="Times New Roman"/>
          <w:b w:val="0"/>
          <w:noProof/>
          <w:color w:val="000000"/>
          <w:lang w:val="sr-Latn-CS"/>
        </w:rPr>
      </w:pP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„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Član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21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a</w:t>
      </w:r>
    </w:p>
    <w:p w:rsidR="00037472" w:rsidRPr="0052048E" w:rsidRDefault="00037472" w:rsidP="002939B9">
      <w:pPr>
        <w:pStyle w:val="clan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noProof/>
          <w:color w:val="000000"/>
          <w:lang w:val="sr-Latn-CS"/>
        </w:rPr>
      </w:pP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ab/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Vlada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će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odrediti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banku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koja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će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servisirati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deviznu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štednju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građana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položenu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kod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Jugobanke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Jugbanke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a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.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d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.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Kosovska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Mitrovica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i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bliže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urediti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pitanja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koja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se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odnose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na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servisiranje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te</w:t>
      </w:r>
      <w:r w:rsidR="00DB1143"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 xml:space="preserve"> </w:t>
      </w:r>
      <w:r w:rsid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štednje</w:t>
      </w:r>
      <w:r w:rsidRPr="0052048E">
        <w:rPr>
          <w:rFonts w:ascii="Times New Roman" w:hAnsi="Times New Roman" w:cs="Times New Roman"/>
          <w:b w:val="0"/>
          <w:noProof/>
          <w:color w:val="000000"/>
          <w:lang w:val="sr-Latn-CS"/>
        </w:rPr>
        <w:t>.”.</w:t>
      </w:r>
    </w:p>
    <w:p w:rsidR="002939B9" w:rsidRPr="0052048E" w:rsidRDefault="002939B9" w:rsidP="002939B9">
      <w:pPr>
        <w:pStyle w:val="clan"/>
        <w:shd w:val="clear" w:color="auto" w:fill="FFFFFF"/>
        <w:spacing w:before="0" w:after="0"/>
        <w:rPr>
          <w:rFonts w:ascii="Times New Roman" w:hAnsi="Times New Roman" w:cs="Times New Roman"/>
          <w:b w:val="0"/>
          <w:noProof/>
          <w:color w:val="000000"/>
          <w:lang w:val="sr-Latn-CS"/>
        </w:rPr>
      </w:pPr>
    </w:p>
    <w:p w:rsidR="00037472" w:rsidRPr="0052048E" w:rsidRDefault="0052048E" w:rsidP="00141DEA">
      <w:pPr>
        <w:pStyle w:val="Normal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037472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</w:t>
      </w:r>
    </w:p>
    <w:p w:rsidR="00037472" w:rsidRPr="0052048E" w:rsidRDefault="0052048E" w:rsidP="002939B9">
      <w:pPr>
        <w:pStyle w:val="Normal1"/>
        <w:shd w:val="clear" w:color="auto" w:fill="FFFFFF"/>
        <w:spacing w:before="0" w:after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narednog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037472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037472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DB1143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037472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037472" w:rsidRPr="0052048E" w:rsidRDefault="00037472" w:rsidP="002939B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31664" w:rsidRPr="0052048E" w:rsidRDefault="00A31664" w:rsidP="002939B9">
      <w:pPr>
        <w:spacing w:after="0"/>
        <w:rPr>
          <w:noProof/>
          <w:lang w:val="sr-Latn-CS"/>
        </w:rPr>
      </w:pPr>
    </w:p>
    <w:p w:rsidR="003135BC" w:rsidRPr="0052048E" w:rsidRDefault="003135BC">
      <w:pPr>
        <w:rPr>
          <w:noProof/>
          <w:lang w:val="sr-Latn-CS"/>
        </w:rPr>
      </w:pPr>
      <w:bookmarkStart w:id="2" w:name="_GoBack"/>
      <w:bookmarkEnd w:id="2"/>
      <w:r w:rsidRPr="0052048E">
        <w:rPr>
          <w:noProof/>
          <w:lang w:val="sr-Latn-CS"/>
        </w:rPr>
        <w:br w:type="page"/>
      </w:r>
    </w:p>
    <w:p w:rsidR="003135BC" w:rsidRPr="0052048E" w:rsidRDefault="0052048E" w:rsidP="003135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lastRenderedPageBreak/>
        <w:t>O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B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R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Z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L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O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Ž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E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NJ</w:t>
      </w:r>
      <w:r w:rsidR="003135BC" w:rsidRPr="0052048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E</w:t>
      </w:r>
    </w:p>
    <w:p w:rsidR="003135BC" w:rsidRPr="0052048E" w:rsidRDefault="003135BC" w:rsidP="003135BC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I.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USTAVNI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OSNOV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DONOŠENJE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</w:p>
    <w:p w:rsidR="003135BC" w:rsidRPr="0052048E" w:rsidRDefault="003135BC" w:rsidP="003135BC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Ustavni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osnov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donošenje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ovog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sadržan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odredbi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97.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tačka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6.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Ustava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Republike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Srbije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kojom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propisano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Republika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Srbija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između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ostalog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uređuje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obezbeđuje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bankarski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devizni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sistem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II.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RAZLOZI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DONOŠENJE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</w:p>
    <w:p w:rsidR="003135BC" w:rsidRPr="0052048E" w:rsidRDefault="003135BC" w:rsidP="00313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ocene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ustavnosti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zakonitosti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akata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utvrdio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bližim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Kosovska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Mitrovica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37/04)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saglasnosti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prestala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Ustavnog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103/13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26.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novembra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servisiranjem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stare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doneta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još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presuda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ljudska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objavljena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jula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presudom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Slovenija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staru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podnosiocima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Ališić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Sadžak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Šahdanović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štedeli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Ljubljanske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Sarajevo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Investbanke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Tuzla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štediše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imale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takvu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domaćim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filijalama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srpskih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slovenačkih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presudi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mora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neophodne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uključujući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zakonodavne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izmene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donošenja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presude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jula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kako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podnosilac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istoj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situaciji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mogli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povrate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staru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otklanjanjem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zastoja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servisiranju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Kosovska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Mitrovica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prestankom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važnosti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Uredbe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donošenjem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nalogom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ljudska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regulisale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neisplaćene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državljanima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uslovili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izmene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dopunu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regulisanju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Jugoslavije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list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36/02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80/04 -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101/05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delu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visinu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delu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uređuje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položena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Kosovska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Mitrovica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decembra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obrazovana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izvršenje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naloga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presude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ljudska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rešavanje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Autonomne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pokrajine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Kosovo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Metohija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predstavnici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finansija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pravde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spoljnih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Kancelarije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Kosovo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Metohiju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Agencije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osiguranje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depozita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Narodne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Takođe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radu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Radne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grupe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učestvovali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predstavnici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drugih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nadležnih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državnih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organa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organizacija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tabs>
          <w:tab w:val="left" w:pos="1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III.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OBJAŠNJENJE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OSNOVNIH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PRAVNIH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INSTITUTA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POJEDINAČNIH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REŠENJA</w:t>
      </w: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okviru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njega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kamata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tako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propisuje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regulisanje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neisplaćene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državljanima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položili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predviđen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urediti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umesto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način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državama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sukcesorima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postojeće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zakonsko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Poseban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urediti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regulisanje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navedenih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regulisanju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neisplaćene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sedište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njihovim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filijalama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teritorijama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odredi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servisirati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bliže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uredi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servisiranje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položene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Jugbanke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Kosovska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Mitrovica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predviđa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IV.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PROCENA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FINANSIJSKIH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POTREBNIH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obezbeđivaće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budžetu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Naime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smanjuje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utvrđena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osnovnim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2002.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 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V.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RAZLOZI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DONOŠENJE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HITNOM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POSTUPKU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Predlaže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donošenje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hitnom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postupku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saglasno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Poslovnika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Narodne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skupštine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20/12 -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prečišćen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obzirom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neophodno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kraćem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kako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izvršile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nakon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VI.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RAZLOZI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ZBOG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KOJIH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PREDLAŽE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ˮ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 w:after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Predlaže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narednog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ˮ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budući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postoje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naročito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opravdani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razlozi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ogledaju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neophodnosti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omogući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primena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propisa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najkraćem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će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izvršavanje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presude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Evropskog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ljudska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biti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razmatrano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narednom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sastanku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Komiteta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Evrope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VII.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PREGLED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ODREDABA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ZAKONA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MENJAJU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ODNOSNO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DOPUNJUJU</w:t>
      </w:r>
    </w:p>
    <w:p w:rsidR="003135BC" w:rsidRPr="0052048E" w:rsidRDefault="003135BC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3135BC"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2.</w:t>
      </w: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Javni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4,2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4,00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milijarde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obuhvata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: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31.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marta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2002.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obračunato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razlika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stanja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ovlašćenih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31.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decembra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1997.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izvršenih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31.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marta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2002.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3,2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3,05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milijarde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pripisanu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kamatu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obračunatu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kamatnoj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stopi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2%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godišnje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kursne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razlike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obračunate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januara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1998.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31.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marta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2002.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0,4 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0,38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milijarde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; </w:t>
      </w:r>
    </w:p>
    <w:p w:rsidR="003135BC" w:rsidRPr="0052048E" w:rsidRDefault="003135BC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–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kamatu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obračunatu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kamatnoj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stopi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2%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godišnje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aprila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2002.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rokova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dospeća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utvrđenih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iznosu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0,6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0,57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milijarde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evra</w:t>
      </w:r>
      <w:r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Posebne</w:t>
      </w:r>
      <w:r w:rsidR="003135BC"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odredbe</w:t>
      </w:r>
    </w:p>
    <w:p w:rsidR="003135BC" w:rsidRPr="0052048E" w:rsidRDefault="0052048E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3135BC"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21.</w:t>
      </w:r>
    </w:p>
    <w:p w:rsidR="003135BC" w:rsidRPr="0052048E" w:rsidRDefault="003135BC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Državljani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sastavu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Jugoslavije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položili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ovlašćenih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sedištem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Jugoslavije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državljani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Jugoslavije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položili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filijala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nalazile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teritoriji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bivših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SFRJ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momenta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otcepljenja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tih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svoja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potraživanja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ostvaruju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način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se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ugovori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sa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državama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sukcesorima</w:t>
      </w:r>
      <w:r w:rsidR="003135BC" w:rsidRPr="0052048E"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trike/>
          <w:noProof/>
          <w:color w:val="000000"/>
          <w:sz w:val="24"/>
          <w:szCs w:val="24"/>
          <w:lang w:val="sr-Latn-CS"/>
        </w:rPr>
        <w:t>SFRJ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Građani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privremenom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inostranstvu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fizička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lica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položili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banaka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pravo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ostvaruju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skladu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ovim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</w:t>
      </w:r>
    </w:p>
    <w:p w:rsidR="003135BC" w:rsidRPr="0052048E" w:rsidRDefault="0052048E" w:rsidP="003135BC">
      <w:pPr>
        <w:pStyle w:val="Normal1"/>
        <w:shd w:val="clear" w:color="auto" w:fill="FFFFFF"/>
        <w:tabs>
          <w:tab w:val="left" w:pos="709"/>
        </w:tabs>
        <w:spacing w:before="0"/>
        <w:ind w:firstLine="720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devizne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štednje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stava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obezbeđuju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Srbija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3135BC" w:rsidRPr="0052048E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ublika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Crna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Gora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prema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sedištu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banaka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kod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kojih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je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ta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štednja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položena</w:t>
      </w:r>
      <w:r w:rsidR="003135BC" w:rsidRPr="0052048E">
        <w:rPr>
          <w:rFonts w:ascii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52048E" w:rsidP="003135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ČLAN</w:t>
      </w:r>
      <w:r w:rsidR="003135BC"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21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</w:t>
      </w:r>
    </w:p>
    <w:p w:rsidR="003135BC" w:rsidRPr="0052048E" w:rsidRDefault="003135BC" w:rsidP="003135BC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ab/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VLADA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ĆE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ODREDITI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BANKU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ĆE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SERVISIRATI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DEVIZNU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ŠTEDNJU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GRAĐANA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POLOŽENU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KOD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JUGOBANKE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JUGBANKE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D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.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KOSOVSKA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MITROVICA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BLIŽE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UREDITI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PITANJA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KOJA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ODNOSE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NA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SERVISIRANJE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TE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 w:rsid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ŠTEDNJE</w:t>
      </w:r>
      <w:r w:rsidRPr="0052048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  <w:t>.</w:t>
      </w:r>
    </w:p>
    <w:p w:rsidR="003135BC" w:rsidRPr="0052048E" w:rsidRDefault="003135BC" w:rsidP="003135BC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sr-Latn-CS"/>
        </w:rPr>
      </w:pPr>
    </w:p>
    <w:p w:rsidR="003135BC" w:rsidRPr="0052048E" w:rsidRDefault="003135BC" w:rsidP="003135BC">
      <w:pPr>
        <w:rPr>
          <w:noProof/>
          <w:lang w:val="sr-Latn-CS"/>
        </w:rPr>
      </w:pPr>
    </w:p>
    <w:p w:rsidR="003135BC" w:rsidRPr="0052048E" w:rsidRDefault="003135BC">
      <w:pPr>
        <w:rPr>
          <w:noProof/>
          <w:lang w:val="sr-Latn-CS"/>
        </w:rPr>
      </w:pPr>
      <w:r w:rsidRPr="0052048E">
        <w:rPr>
          <w:noProof/>
          <w:lang w:val="sr-Latn-CS"/>
        </w:rPr>
        <w:br w:type="page"/>
      </w:r>
    </w:p>
    <w:p w:rsidR="003135BC" w:rsidRPr="0052048E" w:rsidRDefault="0052048E" w:rsidP="00313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sz w:val="28"/>
          <w:lang w:val="sr-Latn-CS"/>
        </w:rPr>
      </w:pPr>
      <w:r>
        <w:rPr>
          <w:b/>
          <w:noProof/>
          <w:sz w:val="28"/>
          <w:lang w:val="sr-Latn-CS"/>
        </w:rPr>
        <w:lastRenderedPageBreak/>
        <w:t>IZJAVA</w:t>
      </w:r>
      <w:r w:rsidR="003135BC" w:rsidRPr="0052048E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O</w:t>
      </w:r>
      <w:r w:rsidR="003135BC" w:rsidRPr="0052048E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USKLAĐENOSTI</w:t>
      </w:r>
      <w:r w:rsidR="003135BC" w:rsidRPr="0052048E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PROPISA</w:t>
      </w:r>
      <w:r w:rsidR="003135BC" w:rsidRPr="0052048E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SA</w:t>
      </w:r>
      <w:r w:rsidR="003135BC" w:rsidRPr="0052048E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PROPISIMA</w:t>
      </w:r>
      <w:r w:rsidR="003135BC" w:rsidRPr="0052048E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EVROPSKE</w:t>
      </w:r>
      <w:r w:rsidR="003135BC" w:rsidRPr="0052048E">
        <w:rPr>
          <w:b/>
          <w:noProof/>
          <w:sz w:val="28"/>
          <w:lang w:val="sr-Latn-CS"/>
        </w:rPr>
        <w:t xml:space="preserve"> </w:t>
      </w:r>
      <w:r>
        <w:rPr>
          <w:b/>
          <w:noProof/>
          <w:sz w:val="28"/>
          <w:lang w:val="sr-Latn-CS"/>
        </w:rPr>
        <w:t>UNIJE</w:t>
      </w:r>
    </w:p>
    <w:p w:rsidR="003135BC" w:rsidRPr="0052048E" w:rsidRDefault="003135BC" w:rsidP="003135BC">
      <w:pPr>
        <w:pStyle w:val="FootnoteText"/>
        <w:rPr>
          <w:noProof/>
          <w:lang w:val="sr-Latn-CS"/>
        </w:rPr>
      </w:pPr>
    </w:p>
    <w:p w:rsidR="003135BC" w:rsidRPr="0052048E" w:rsidRDefault="003135BC" w:rsidP="003135BC">
      <w:pPr>
        <w:jc w:val="both"/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 xml:space="preserve">1. </w:t>
      </w:r>
      <w:r w:rsidR="0052048E">
        <w:rPr>
          <w:b/>
          <w:noProof/>
          <w:lang w:val="sr-Latn-CS"/>
        </w:rPr>
        <w:t>Organ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državne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uprave</w:t>
      </w:r>
      <w:r w:rsidRPr="0052048E">
        <w:rPr>
          <w:b/>
          <w:noProof/>
          <w:lang w:val="sr-Latn-CS"/>
        </w:rPr>
        <w:t xml:space="preserve">, </w:t>
      </w:r>
      <w:r w:rsidR="0052048E">
        <w:rPr>
          <w:b/>
          <w:noProof/>
          <w:lang w:val="sr-Latn-CS"/>
        </w:rPr>
        <w:t>odnosno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drugi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ovlašćeni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predlagač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propisa</w:t>
      </w:r>
      <w:r w:rsidRPr="0052048E">
        <w:rPr>
          <w:b/>
          <w:noProof/>
          <w:lang w:val="sr-Latn-CS"/>
        </w:rPr>
        <w:t xml:space="preserve"> </w:t>
      </w:r>
    </w:p>
    <w:p w:rsidR="003135BC" w:rsidRPr="0052048E" w:rsidRDefault="003135BC" w:rsidP="003135BC">
      <w:pPr>
        <w:jc w:val="both"/>
        <w:rPr>
          <w:b/>
          <w:noProof/>
          <w:lang w:val="sr-Latn-CS"/>
        </w:rPr>
      </w:pPr>
    </w:p>
    <w:p w:rsidR="003135BC" w:rsidRPr="0052048E" w:rsidRDefault="0052048E" w:rsidP="003135BC">
      <w:pPr>
        <w:jc w:val="both"/>
        <w:rPr>
          <w:noProof/>
          <w:lang w:val="sr-Latn-CS"/>
        </w:rPr>
      </w:pPr>
      <w:r>
        <w:rPr>
          <w:noProof/>
          <w:lang w:val="sr-Latn-CS"/>
        </w:rPr>
        <w:t>Ovlašćeni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predlagač</w:t>
      </w:r>
      <w:r w:rsidR="003135BC" w:rsidRPr="0052048E">
        <w:rPr>
          <w:noProof/>
          <w:lang w:val="sr-Latn-CS"/>
        </w:rPr>
        <w:t xml:space="preserve">: </w:t>
      </w:r>
      <w:r>
        <w:rPr>
          <w:noProof/>
          <w:lang w:val="sr-Latn-CS"/>
        </w:rPr>
        <w:t>Vlada</w:t>
      </w:r>
      <w:r w:rsidR="003135BC" w:rsidRPr="0052048E">
        <w:rPr>
          <w:noProof/>
          <w:lang w:val="sr-Latn-CS"/>
        </w:rPr>
        <w:t xml:space="preserve"> </w:t>
      </w:r>
    </w:p>
    <w:p w:rsidR="003135BC" w:rsidRPr="0052048E" w:rsidRDefault="0052048E" w:rsidP="003135BC">
      <w:pPr>
        <w:rPr>
          <w:noProof/>
          <w:lang w:val="sr-Latn-CS"/>
        </w:rPr>
      </w:pPr>
      <w:r>
        <w:rPr>
          <w:noProof/>
          <w:lang w:val="sr-Latn-CS"/>
        </w:rPr>
        <w:t>Obrađivač</w:t>
      </w:r>
      <w:r w:rsidR="003135BC" w:rsidRPr="0052048E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</w:p>
    <w:p w:rsidR="003135BC" w:rsidRPr="0052048E" w:rsidRDefault="003135BC" w:rsidP="003135BC">
      <w:pPr>
        <w:rPr>
          <w:i/>
          <w:noProof/>
          <w:lang w:val="sr-Latn-CS"/>
        </w:rPr>
      </w:pPr>
    </w:p>
    <w:p w:rsidR="003135BC" w:rsidRPr="0052048E" w:rsidRDefault="003135BC" w:rsidP="003135BC">
      <w:pPr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 xml:space="preserve">2. </w:t>
      </w:r>
      <w:r w:rsidR="0052048E">
        <w:rPr>
          <w:b/>
          <w:noProof/>
          <w:lang w:val="sr-Latn-CS"/>
        </w:rPr>
        <w:t>Naziv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propisa</w:t>
      </w:r>
    </w:p>
    <w:p w:rsidR="003135BC" w:rsidRPr="0052048E" w:rsidRDefault="0052048E" w:rsidP="003135BC">
      <w:pPr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PREDLOG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135BC" w:rsidRPr="0052048E">
        <w:rPr>
          <w:noProof/>
          <w:lang w:val="sr-Latn-CS"/>
        </w:rPr>
        <w:t xml:space="preserve">A </w:t>
      </w:r>
      <w:r>
        <w:rPr>
          <w:noProof/>
          <w:lang w:val="sr-Latn-CS"/>
        </w:rPr>
        <w:t>O</w:t>
      </w:r>
      <w:r w:rsidR="003135BC" w:rsidRPr="0052048E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IZMENAMA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DOPUNI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ZAKONA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REGULISANJU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JAVNOG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DUGA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SAVEZNE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REPUBLIKE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JUGOSLAVIJE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OSNOVU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DEVIZNE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ŠTEDNJE</w:t>
      </w:r>
      <w:r w:rsidR="003135BC" w:rsidRPr="0052048E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GRAĐANA</w:t>
      </w:r>
    </w:p>
    <w:p w:rsidR="003135BC" w:rsidRPr="0052048E" w:rsidRDefault="003135BC" w:rsidP="003135BC">
      <w:pPr>
        <w:jc w:val="both"/>
        <w:rPr>
          <w:noProof/>
          <w:lang w:val="sr-Latn-CS"/>
        </w:rPr>
      </w:pPr>
      <w:r w:rsidRPr="0052048E">
        <w:rPr>
          <w:noProof/>
          <w:lang w:val="sr-Latn-CS"/>
        </w:rPr>
        <w:t xml:space="preserve">DRAFT LAW ON AMENDING AND SUPPLEMENT THE LAW ON REGULATION OF THE PUBLIC DEBT OF THE FEDERAL REPUBLIC OF YUGOSLAVIA BASED ON THE CITIZENS’ FOREIGN CURRENCY SAVINGS </w:t>
      </w:r>
    </w:p>
    <w:p w:rsidR="003135BC" w:rsidRPr="0052048E" w:rsidRDefault="003135BC" w:rsidP="003135BC">
      <w:pPr>
        <w:rPr>
          <w:i/>
          <w:noProof/>
          <w:lang w:val="sr-Latn-CS"/>
        </w:rPr>
      </w:pPr>
    </w:p>
    <w:p w:rsidR="003135BC" w:rsidRPr="0052048E" w:rsidRDefault="003135BC" w:rsidP="003135BC">
      <w:pPr>
        <w:jc w:val="both"/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 xml:space="preserve">3. </w:t>
      </w:r>
      <w:r w:rsidR="0052048E">
        <w:rPr>
          <w:b/>
          <w:noProof/>
          <w:lang w:val="sr-Latn-CS"/>
        </w:rPr>
        <w:t>Usklađenost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propisa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odredbama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Sporazuma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o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stabilizaciji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pridruživanju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između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Evropskih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zajednica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njihovih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država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članica</w:t>
      </w:r>
      <w:r w:rsidRPr="0052048E">
        <w:rPr>
          <w:b/>
          <w:noProof/>
          <w:lang w:val="sr-Latn-CS"/>
        </w:rPr>
        <w:t xml:space="preserve">, </w:t>
      </w:r>
      <w:r w:rsidR="0052048E">
        <w:rPr>
          <w:b/>
          <w:noProof/>
          <w:lang w:val="sr-Latn-CS"/>
        </w:rPr>
        <w:t>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jedne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strane</w:t>
      </w:r>
      <w:r w:rsidRPr="0052048E">
        <w:rPr>
          <w:b/>
          <w:noProof/>
          <w:lang w:val="sr-Latn-CS"/>
        </w:rPr>
        <w:t xml:space="preserve">, </w:t>
      </w:r>
      <w:r w:rsidR="0052048E">
        <w:rPr>
          <w:b/>
          <w:noProof/>
          <w:lang w:val="sr-Latn-CS"/>
        </w:rPr>
        <w:t>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Republike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Srbije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druge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strane</w:t>
      </w:r>
      <w:r w:rsidRPr="0052048E">
        <w:rPr>
          <w:b/>
          <w:noProof/>
          <w:lang w:val="sr-Latn-CS"/>
        </w:rPr>
        <w:t xml:space="preserve"> („</w:t>
      </w:r>
      <w:r w:rsidR="0052048E">
        <w:rPr>
          <w:b/>
          <w:noProof/>
          <w:lang w:val="sr-Latn-CS"/>
        </w:rPr>
        <w:t>Službeni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glasnik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RS</w:t>
      </w:r>
      <w:r w:rsidRPr="0052048E">
        <w:rPr>
          <w:b/>
          <w:noProof/>
          <w:lang w:val="sr-Latn-CS"/>
        </w:rPr>
        <w:t xml:space="preserve">”, </w:t>
      </w:r>
      <w:r w:rsidR="0052048E">
        <w:rPr>
          <w:b/>
          <w:noProof/>
          <w:lang w:val="sr-Latn-CS"/>
        </w:rPr>
        <w:t>broj</w:t>
      </w:r>
      <w:r w:rsidRPr="0052048E">
        <w:rPr>
          <w:b/>
          <w:noProof/>
          <w:lang w:val="sr-Latn-CS"/>
        </w:rPr>
        <w:t xml:space="preserve"> 83/08) (</w:t>
      </w:r>
      <w:r w:rsidR="0052048E">
        <w:rPr>
          <w:b/>
          <w:noProof/>
          <w:lang w:val="sr-Latn-CS"/>
        </w:rPr>
        <w:t>u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daljem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tekstu</w:t>
      </w:r>
      <w:r w:rsidRPr="0052048E">
        <w:rPr>
          <w:b/>
          <w:noProof/>
          <w:lang w:val="sr-Latn-CS"/>
        </w:rPr>
        <w:t xml:space="preserve">: </w:t>
      </w:r>
      <w:r w:rsidR="0052048E">
        <w:rPr>
          <w:b/>
          <w:noProof/>
          <w:lang w:val="sr-Latn-CS"/>
        </w:rPr>
        <w:t>Sporazum</w:t>
      </w:r>
      <w:r w:rsidRPr="0052048E">
        <w:rPr>
          <w:b/>
          <w:noProof/>
          <w:lang w:val="sr-Latn-CS"/>
        </w:rPr>
        <w:t xml:space="preserve">), </w:t>
      </w:r>
      <w:r w:rsidR="0052048E">
        <w:rPr>
          <w:b/>
          <w:noProof/>
          <w:lang w:val="sr-Latn-CS"/>
        </w:rPr>
        <w:t>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jedne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strane</w:t>
      </w:r>
      <w:r w:rsidRPr="0052048E">
        <w:rPr>
          <w:b/>
          <w:noProof/>
          <w:lang w:val="sr-Latn-CS"/>
        </w:rPr>
        <w:t xml:space="preserve">, </w:t>
      </w:r>
      <w:r w:rsidR="0052048E">
        <w:rPr>
          <w:b/>
          <w:noProof/>
          <w:lang w:val="sr-Latn-CS"/>
        </w:rPr>
        <w:t>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Republike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Srbije</w:t>
      </w:r>
      <w:r w:rsidRPr="0052048E">
        <w:rPr>
          <w:b/>
          <w:noProof/>
          <w:lang w:val="sr-Latn-CS"/>
        </w:rPr>
        <w:t xml:space="preserve">, </w:t>
      </w:r>
      <w:r w:rsidR="0052048E">
        <w:rPr>
          <w:b/>
          <w:noProof/>
          <w:lang w:val="sr-Latn-CS"/>
        </w:rPr>
        <w:t>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druge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strane</w:t>
      </w:r>
      <w:r w:rsidRPr="0052048E">
        <w:rPr>
          <w:b/>
          <w:noProof/>
          <w:lang w:val="sr-Latn-CS"/>
        </w:rPr>
        <w:t xml:space="preserve"> („</w:t>
      </w:r>
      <w:r w:rsidR="0052048E">
        <w:rPr>
          <w:b/>
          <w:noProof/>
          <w:lang w:val="sr-Latn-CS"/>
        </w:rPr>
        <w:t>Službeni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glasnik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RS</w:t>
      </w:r>
      <w:r w:rsidRPr="0052048E">
        <w:rPr>
          <w:b/>
          <w:noProof/>
          <w:lang w:val="sr-Latn-CS"/>
        </w:rPr>
        <w:t xml:space="preserve">”, </w:t>
      </w:r>
      <w:r w:rsidR="0052048E">
        <w:rPr>
          <w:b/>
          <w:noProof/>
          <w:lang w:val="sr-Latn-CS"/>
        </w:rPr>
        <w:t>broj</w:t>
      </w:r>
      <w:r w:rsidRPr="0052048E">
        <w:rPr>
          <w:b/>
          <w:noProof/>
          <w:lang w:val="sr-Latn-CS"/>
        </w:rPr>
        <w:t xml:space="preserve"> 83/08) (</w:t>
      </w:r>
      <w:r w:rsidR="0052048E">
        <w:rPr>
          <w:b/>
          <w:noProof/>
          <w:lang w:val="sr-Latn-CS"/>
        </w:rPr>
        <w:t>u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daljem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tekstu</w:t>
      </w:r>
      <w:r w:rsidRPr="0052048E">
        <w:rPr>
          <w:b/>
          <w:noProof/>
          <w:lang w:val="sr-Latn-CS"/>
        </w:rPr>
        <w:t xml:space="preserve">: </w:t>
      </w:r>
      <w:r w:rsidR="0052048E">
        <w:rPr>
          <w:b/>
          <w:noProof/>
          <w:lang w:val="sr-Latn-CS"/>
        </w:rPr>
        <w:t>Prelazni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sporazum</w:t>
      </w:r>
      <w:r w:rsidRPr="0052048E">
        <w:rPr>
          <w:b/>
          <w:noProof/>
          <w:lang w:val="sr-Latn-CS"/>
        </w:rPr>
        <w:t>)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b/>
          <w:noProof/>
          <w:lang w:val="sr-Latn-CS"/>
        </w:rPr>
        <w:t xml:space="preserve">         </w:t>
      </w:r>
    </w:p>
    <w:p w:rsidR="003135BC" w:rsidRPr="0052048E" w:rsidRDefault="0052048E" w:rsidP="003135B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Odredba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odnosi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normativnu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saržinu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3135BC" w:rsidRPr="0052048E">
        <w:rPr>
          <w:b/>
          <w:noProof/>
          <w:lang w:val="sr-Latn-CS"/>
        </w:rPr>
        <w:t xml:space="preserve">.  </w:t>
      </w:r>
    </w:p>
    <w:p w:rsidR="003135BC" w:rsidRPr="0052048E" w:rsidRDefault="0052048E" w:rsidP="003135BC">
      <w:pPr>
        <w:rPr>
          <w:noProof/>
          <w:lang w:val="sr-Latn-CS"/>
        </w:rPr>
      </w:pPr>
      <w:r>
        <w:rPr>
          <w:noProof/>
          <w:lang w:val="sr-Latn-CS"/>
        </w:rPr>
        <w:t>Ne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relevantne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3135BC" w:rsidRPr="0052048E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3135BC" w:rsidRPr="0052048E" w:rsidRDefault="003135BC" w:rsidP="003135BC">
      <w:pPr>
        <w:rPr>
          <w:i/>
          <w:noProof/>
          <w:lang w:val="sr-Latn-CS"/>
        </w:rPr>
      </w:pPr>
    </w:p>
    <w:p w:rsidR="003135BC" w:rsidRPr="0052048E" w:rsidRDefault="0052048E" w:rsidP="003135B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Prelazni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rok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usklađivanje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zakonodavstva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prema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odredbama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135BC" w:rsidRPr="0052048E">
        <w:rPr>
          <w:b/>
          <w:noProof/>
          <w:lang w:val="sr-Latn-CS"/>
        </w:rPr>
        <w:t xml:space="preserve">  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  <w:t>-</w:t>
      </w:r>
    </w:p>
    <w:p w:rsidR="003135BC" w:rsidRPr="0052048E" w:rsidRDefault="0052048E" w:rsidP="003135B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Ocena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ispunjenosti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135BC" w:rsidRPr="0052048E">
        <w:rPr>
          <w:b/>
          <w:noProof/>
          <w:lang w:val="sr-Latn-CS"/>
        </w:rPr>
        <w:t xml:space="preserve"> 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  <w:t>-</w:t>
      </w:r>
    </w:p>
    <w:p w:rsidR="003135BC" w:rsidRPr="0052048E" w:rsidRDefault="0052048E" w:rsidP="003135B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delimično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ispunjavanje</w:t>
      </w:r>
      <w:r w:rsidR="003135BC" w:rsidRPr="0052048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neispunjavanje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proizlaze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navedene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Sporazuma</w:t>
      </w:r>
      <w:r w:rsidR="003135BC" w:rsidRPr="0052048E">
        <w:rPr>
          <w:b/>
          <w:noProof/>
          <w:lang w:val="sr-Latn-CS"/>
        </w:rPr>
        <w:t xml:space="preserve"> </w:t>
      </w:r>
    </w:p>
    <w:p w:rsidR="003135BC" w:rsidRPr="0052048E" w:rsidRDefault="003135BC" w:rsidP="003135BC">
      <w:pPr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  <w:t>-</w:t>
      </w:r>
    </w:p>
    <w:p w:rsidR="003135BC" w:rsidRPr="0052048E" w:rsidRDefault="0052048E" w:rsidP="003135B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d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Veza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Nacionalnim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programom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usvajanje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pravnih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tekovina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3135BC" w:rsidRPr="0052048E">
        <w:rPr>
          <w:b/>
          <w:noProof/>
          <w:lang w:val="sr-Latn-CS"/>
        </w:rPr>
        <w:t xml:space="preserve"> 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noProof/>
          <w:lang w:val="sr-Latn-CS"/>
        </w:rPr>
        <w:tab/>
        <w:t>-</w:t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</w:p>
    <w:p w:rsidR="003135BC" w:rsidRPr="0052048E" w:rsidRDefault="003135BC" w:rsidP="003135BC">
      <w:pPr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 xml:space="preserve">4. </w:t>
      </w:r>
      <w:r w:rsidR="0052048E">
        <w:rPr>
          <w:b/>
          <w:noProof/>
          <w:lang w:val="sr-Latn-CS"/>
        </w:rPr>
        <w:t>Usklađenost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propisa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propisima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Evropske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unije</w:t>
      </w:r>
    </w:p>
    <w:p w:rsidR="003135BC" w:rsidRPr="0052048E" w:rsidRDefault="003135BC" w:rsidP="003135BC">
      <w:pPr>
        <w:rPr>
          <w:b/>
          <w:noProof/>
          <w:lang w:val="sr-Latn-CS"/>
        </w:rPr>
      </w:pPr>
    </w:p>
    <w:p w:rsidR="003135BC" w:rsidRPr="0052048E" w:rsidRDefault="0052048E" w:rsidP="003135B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a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odredbi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primarnih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3135BC" w:rsidRPr="0052048E">
        <w:rPr>
          <w:b/>
          <w:noProof/>
          <w:lang w:val="sr-Latn-CS"/>
        </w:rPr>
        <w:t xml:space="preserve">  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  <w:t>-</w:t>
      </w:r>
    </w:p>
    <w:p w:rsidR="003135BC" w:rsidRPr="0052048E" w:rsidRDefault="0052048E" w:rsidP="003135B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b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sekundarnih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ocene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3135BC" w:rsidRPr="0052048E">
        <w:rPr>
          <w:b/>
          <w:noProof/>
          <w:lang w:val="sr-Latn-CS"/>
        </w:rPr>
        <w:t xml:space="preserve"> 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  <w:t>-</w:t>
      </w:r>
    </w:p>
    <w:p w:rsidR="003135BC" w:rsidRPr="0052048E" w:rsidRDefault="0052048E" w:rsidP="003135B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Navođenje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ostalih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izvora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EU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njima</w:t>
      </w:r>
      <w:r w:rsidR="003135BC" w:rsidRPr="0052048E">
        <w:rPr>
          <w:b/>
          <w:noProof/>
          <w:lang w:val="sr-Latn-CS"/>
        </w:rPr>
        <w:t xml:space="preserve">  </w:t>
      </w:r>
    </w:p>
    <w:p w:rsidR="003135BC" w:rsidRPr="0052048E" w:rsidRDefault="003135BC" w:rsidP="003135BC">
      <w:pPr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</w:r>
      <w:r w:rsidRPr="0052048E">
        <w:rPr>
          <w:b/>
          <w:noProof/>
          <w:lang w:val="sr-Latn-CS"/>
        </w:rPr>
        <w:tab/>
        <w:t>-</w:t>
      </w:r>
    </w:p>
    <w:p w:rsidR="003135BC" w:rsidRPr="0052048E" w:rsidRDefault="0052048E" w:rsidP="003135BC">
      <w:pPr>
        <w:rPr>
          <w:b/>
          <w:noProof/>
          <w:lang w:val="sr-Latn-CS"/>
        </w:rPr>
      </w:pPr>
      <w:r>
        <w:rPr>
          <w:b/>
          <w:noProof/>
          <w:lang w:val="sr-Latn-CS"/>
        </w:rPr>
        <w:t>g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Razlozi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delimičnu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</w:t>
      </w:r>
      <w:r w:rsidR="003135BC" w:rsidRPr="0052048E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odnosno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neusklađenost</w:t>
      </w:r>
      <w:r w:rsidR="003135BC" w:rsidRPr="0052048E">
        <w:rPr>
          <w:b/>
          <w:noProof/>
          <w:lang w:val="sr-Latn-CS"/>
        </w:rPr>
        <w:t xml:space="preserve"> 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  <w:t>-</w:t>
      </w:r>
    </w:p>
    <w:p w:rsidR="003135BC" w:rsidRPr="0052048E" w:rsidRDefault="0052048E" w:rsidP="003135BC">
      <w:pPr>
        <w:jc w:val="both"/>
        <w:rPr>
          <w:b/>
          <w:noProof/>
          <w:lang w:val="sr-Latn-CS"/>
        </w:rPr>
      </w:pPr>
      <w:r>
        <w:rPr>
          <w:b/>
          <w:noProof/>
          <w:lang w:val="sr-Latn-CS"/>
        </w:rPr>
        <w:t>d</w:t>
      </w:r>
      <w:r w:rsidR="003135BC" w:rsidRPr="0052048E">
        <w:rPr>
          <w:b/>
          <w:noProof/>
          <w:lang w:val="sr-Latn-CS"/>
        </w:rPr>
        <w:t xml:space="preserve">) </w:t>
      </w:r>
      <w:r>
        <w:rPr>
          <w:b/>
          <w:noProof/>
          <w:lang w:val="sr-Latn-CS"/>
        </w:rPr>
        <w:t>Rok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kojem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predviđeno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postizanje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3135BC" w:rsidRPr="0052048E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  <w:r w:rsidR="003135BC" w:rsidRPr="0052048E">
        <w:rPr>
          <w:b/>
          <w:noProof/>
          <w:lang w:val="sr-Latn-CS"/>
        </w:rPr>
        <w:t xml:space="preserve"> 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</w:r>
      <w:r w:rsidRPr="0052048E">
        <w:rPr>
          <w:i/>
          <w:noProof/>
          <w:lang w:val="sr-Latn-CS"/>
        </w:rPr>
        <w:tab/>
        <w:t>-</w:t>
      </w:r>
    </w:p>
    <w:p w:rsidR="003135BC" w:rsidRPr="0052048E" w:rsidRDefault="003135BC" w:rsidP="003135BC">
      <w:pPr>
        <w:jc w:val="both"/>
        <w:rPr>
          <w:b/>
          <w:noProof/>
          <w:color w:val="000000"/>
          <w:lang w:val="sr-Latn-CS"/>
        </w:rPr>
      </w:pPr>
      <w:r w:rsidRPr="0052048E">
        <w:rPr>
          <w:b/>
          <w:noProof/>
          <w:lang w:val="sr-Latn-CS"/>
        </w:rPr>
        <w:t xml:space="preserve">5. </w:t>
      </w:r>
      <w:r w:rsidR="0052048E">
        <w:rPr>
          <w:b/>
          <w:noProof/>
          <w:lang w:val="sr-Latn-CS"/>
        </w:rPr>
        <w:t>Ukoliko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postoje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odgovarajuće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nadležnosti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Evropske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unije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u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materiji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koju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reguliše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propis</w:t>
      </w:r>
      <w:r w:rsidRPr="0052048E">
        <w:rPr>
          <w:b/>
          <w:noProof/>
          <w:color w:val="000000"/>
          <w:lang w:val="sr-Latn-CS"/>
        </w:rPr>
        <w:t xml:space="preserve">, </w:t>
      </w:r>
      <w:r w:rsidR="0052048E">
        <w:rPr>
          <w:b/>
          <w:noProof/>
          <w:color w:val="000000"/>
          <w:lang w:val="sr-Latn-CS"/>
        </w:rPr>
        <w:t>i</w:t>
      </w:r>
      <w:r w:rsidRPr="0052048E">
        <w:rPr>
          <w:b/>
          <w:noProof/>
          <w:color w:val="000000"/>
          <w:lang w:val="sr-Latn-CS"/>
        </w:rPr>
        <w:t>/</w:t>
      </w:r>
      <w:r w:rsidR="0052048E">
        <w:rPr>
          <w:b/>
          <w:noProof/>
          <w:color w:val="000000"/>
          <w:lang w:val="sr-Latn-CS"/>
        </w:rPr>
        <w:t>ili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ne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postoje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odgovarajući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sekundarni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izvori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prava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EU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sa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kojima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je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potrebno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obezbediti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usklađenost</w:t>
      </w:r>
      <w:r w:rsidRPr="0052048E">
        <w:rPr>
          <w:b/>
          <w:noProof/>
          <w:color w:val="000000"/>
          <w:lang w:val="sr-Latn-CS"/>
        </w:rPr>
        <w:t xml:space="preserve">, </w:t>
      </w:r>
      <w:r w:rsidR="0052048E">
        <w:rPr>
          <w:b/>
          <w:noProof/>
          <w:color w:val="000000"/>
          <w:lang w:val="sr-Latn-CS"/>
        </w:rPr>
        <w:t>treba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obrazložiti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tu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činjenicu</w:t>
      </w:r>
      <w:r w:rsidRPr="0052048E">
        <w:rPr>
          <w:b/>
          <w:noProof/>
          <w:color w:val="000000"/>
          <w:lang w:val="sr-Latn-CS"/>
        </w:rPr>
        <w:t xml:space="preserve">. </w:t>
      </w:r>
      <w:r w:rsidR="0052048E">
        <w:rPr>
          <w:b/>
          <w:noProof/>
          <w:color w:val="000000"/>
          <w:lang w:val="sr-Latn-CS"/>
        </w:rPr>
        <w:t>U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ovom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slučaju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nije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potrebno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popunjavati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Tabelu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usklađenosti</w:t>
      </w:r>
      <w:r w:rsidRPr="0052048E">
        <w:rPr>
          <w:b/>
          <w:noProof/>
          <w:color w:val="000000"/>
          <w:lang w:val="sr-Latn-CS"/>
        </w:rPr>
        <w:t xml:space="preserve"> </w:t>
      </w:r>
      <w:r w:rsidR="0052048E">
        <w:rPr>
          <w:b/>
          <w:noProof/>
          <w:color w:val="000000"/>
          <w:lang w:val="sr-Latn-CS"/>
        </w:rPr>
        <w:t>propisa</w:t>
      </w:r>
      <w:r w:rsidRPr="0052048E">
        <w:rPr>
          <w:b/>
          <w:noProof/>
          <w:color w:val="000000"/>
          <w:lang w:val="sr-Latn-CS"/>
        </w:rPr>
        <w:t>.</w:t>
      </w:r>
    </w:p>
    <w:p w:rsidR="003135BC" w:rsidRPr="0052048E" w:rsidRDefault="003135BC" w:rsidP="003135BC">
      <w:pPr>
        <w:rPr>
          <w:noProof/>
          <w:lang w:val="sr-Latn-CS"/>
        </w:rPr>
      </w:pPr>
      <w:r w:rsidRPr="0052048E">
        <w:rPr>
          <w:b/>
          <w:noProof/>
          <w:lang w:val="sr-Latn-CS"/>
        </w:rPr>
        <w:t xml:space="preserve"> </w:t>
      </w:r>
      <w:r w:rsidR="0052048E">
        <w:rPr>
          <w:noProof/>
          <w:lang w:val="sr-Latn-CS"/>
        </w:rPr>
        <w:t>Ne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postoje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propisi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EU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sa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kojima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je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potrebno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obezbediti</w:t>
      </w:r>
      <w:r w:rsidRPr="0052048E">
        <w:rPr>
          <w:noProof/>
          <w:lang w:val="sr-Latn-CS"/>
        </w:rPr>
        <w:t xml:space="preserve"> </w:t>
      </w:r>
      <w:r w:rsidR="0052048E">
        <w:rPr>
          <w:noProof/>
          <w:lang w:val="sr-Latn-CS"/>
        </w:rPr>
        <w:t>usklađenost</w:t>
      </w:r>
    </w:p>
    <w:p w:rsidR="003135BC" w:rsidRPr="0052048E" w:rsidRDefault="003135BC" w:rsidP="003135BC">
      <w:pPr>
        <w:rPr>
          <w:noProof/>
          <w:lang w:val="sr-Latn-CS"/>
        </w:rPr>
      </w:pPr>
    </w:p>
    <w:p w:rsidR="003135BC" w:rsidRPr="0052048E" w:rsidRDefault="003135BC" w:rsidP="003135BC">
      <w:pPr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 xml:space="preserve">6. </w:t>
      </w:r>
      <w:r w:rsidR="0052048E">
        <w:rPr>
          <w:b/>
          <w:noProof/>
          <w:lang w:val="sr-Latn-CS"/>
        </w:rPr>
        <w:t>Da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li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su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prethodno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navedeni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izvori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prava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EU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prevedeni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srpski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jezik</w:t>
      </w:r>
      <w:r w:rsidRPr="0052048E">
        <w:rPr>
          <w:b/>
          <w:noProof/>
          <w:lang w:val="sr-Latn-CS"/>
        </w:rPr>
        <w:t xml:space="preserve">? </w:t>
      </w:r>
    </w:p>
    <w:p w:rsidR="003135BC" w:rsidRPr="0052048E" w:rsidRDefault="003135BC" w:rsidP="003135BC">
      <w:pPr>
        <w:jc w:val="center"/>
        <w:rPr>
          <w:noProof/>
          <w:lang w:val="sr-Latn-CS"/>
        </w:rPr>
      </w:pPr>
      <w:r w:rsidRPr="0052048E">
        <w:rPr>
          <w:noProof/>
          <w:lang w:val="sr-Latn-CS"/>
        </w:rPr>
        <w:t>-</w:t>
      </w:r>
    </w:p>
    <w:p w:rsidR="003135BC" w:rsidRPr="0052048E" w:rsidRDefault="003135BC" w:rsidP="003135BC">
      <w:pPr>
        <w:rPr>
          <w:i/>
          <w:noProof/>
          <w:lang w:val="sr-Latn-CS"/>
        </w:rPr>
      </w:pPr>
    </w:p>
    <w:p w:rsidR="003135BC" w:rsidRPr="0052048E" w:rsidRDefault="003135BC" w:rsidP="003135BC">
      <w:pPr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 xml:space="preserve">7. </w:t>
      </w:r>
      <w:r w:rsidR="0052048E">
        <w:rPr>
          <w:b/>
          <w:noProof/>
          <w:lang w:val="sr-Latn-CS"/>
        </w:rPr>
        <w:t>Da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li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je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propis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preveden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neki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službeni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jezik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EU</w:t>
      </w:r>
      <w:r w:rsidRPr="0052048E">
        <w:rPr>
          <w:b/>
          <w:noProof/>
          <w:lang w:val="sr-Latn-CS"/>
        </w:rPr>
        <w:t>?</w:t>
      </w:r>
    </w:p>
    <w:p w:rsidR="003135BC" w:rsidRPr="0052048E" w:rsidRDefault="0052048E" w:rsidP="003135BC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3135BC" w:rsidRPr="0052048E" w:rsidRDefault="003135BC" w:rsidP="003135BC">
      <w:pPr>
        <w:rPr>
          <w:i/>
          <w:noProof/>
          <w:lang w:val="sr-Latn-CS"/>
        </w:rPr>
      </w:pPr>
      <w:r w:rsidRPr="0052048E">
        <w:rPr>
          <w:b/>
          <w:noProof/>
          <w:lang w:val="sr-Latn-CS"/>
        </w:rPr>
        <w:t xml:space="preserve">                                              </w:t>
      </w:r>
    </w:p>
    <w:p w:rsidR="003135BC" w:rsidRPr="0052048E" w:rsidRDefault="003135BC" w:rsidP="003135BC">
      <w:pPr>
        <w:rPr>
          <w:b/>
          <w:noProof/>
          <w:lang w:val="sr-Latn-CS"/>
        </w:rPr>
      </w:pPr>
      <w:r w:rsidRPr="0052048E">
        <w:rPr>
          <w:b/>
          <w:noProof/>
          <w:lang w:val="sr-Latn-CS"/>
        </w:rPr>
        <w:t xml:space="preserve">8. </w:t>
      </w:r>
      <w:r w:rsidR="0052048E">
        <w:rPr>
          <w:b/>
          <w:noProof/>
          <w:lang w:val="sr-Latn-CS"/>
        </w:rPr>
        <w:t>Učešće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konsultanata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u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izradi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propisa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i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njihovo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mišljenje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o</w:t>
      </w:r>
      <w:r w:rsidRPr="0052048E">
        <w:rPr>
          <w:b/>
          <w:noProof/>
          <w:lang w:val="sr-Latn-CS"/>
        </w:rPr>
        <w:t xml:space="preserve"> </w:t>
      </w:r>
      <w:r w:rsidR="0052048E">
        <w:rPr>
          <w:b/>
          <w:noProof/>
          <w:lang w:val="sr-Latn-CS"/>
        </w:rPr>
        <w:t>usklađenosti</w:t>
      </w:r>
    </w:p>
    <w:p w:rsidR="009A7E51" w:rsidRPr="0052048E" w:rsidRDefault="0052048E" w:rsidP="003135BC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NE</w:t>
      </w:r>
    </w:p>
    <w:sectPr w:rsidR="009A7E51" w:rsidRPr="0052048E" w:rsidSect="00D4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AA" w:rsidRDefault="006F77AA" w:rsidP="00D40CDA">
      <w:pPr>
        <w:spacing w:after="0" w:line="240" w:lineRule="auto"/>
      </w:pPr>
      <w:r>
        <w:separator/>
      </w:r>
    </w:p>
  </w:endnote>
  <w:endnote w:type="continuationSeparator" w:id="0">
    <w:p w:rsidR="006F77AA" w:rsidRDefault="006F77AA" w:rsidP="00D4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8E" w:rsidRDefault="00520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8E" w:rsidRDefault="00520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8E" w:rsidRDefault="00520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AA" w:rsidRDefault="006F77AA" w:rsidP="00D40CDA">
      <w:pPr>
        <w:spacing w:after="0" w:line="240" w:lineRule="auto"/>
      </w:pPr>
      <w:r>
        <w:separator/>
      </w:r>
    </w:p>
  </w:footnote>
  <w:footnote w:type="continuationSeparator" w:id="0">
    <w:p w:rsidR="006F77AA" w:rsidRDefault="006F77AA" w:rsidP="00D4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8E" w:rsidRDefault="00520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lang w:val="sr-Latn-CS"/>
      </w:rPr>
      <w:id w:val="833797511"/>
      <w:docPartObj>
        <w:docPartGallery w:val="Page Numbers (Top of Page)"/>
        <w:docPartUnique/>
      </w:docPartObj>
    </w:sdtPr>
    <w:sdtContent>
      <w:p w:rsidR="00D40CDA" w:rsidRPr="0052048E" w:rsidRDefault="002E5E86">
        <w:pPr>
          <w:pStyle w:val="Header"/>
          <w:jc w:val="center"/>
          <w:rPr>
            <w:noProof/>
            <w:lang w:val="sr-Latn-CS"/>
          </w:rPr>
        </w:pPr>
        <w:r w:rsidRPr="0052048E">
          <w:rPr>
            <w:noProof/>
            <w:lang w:val="sr-Latn-CS"/>
          </w:rPr>
          <w:fldChar w:fldCharType="begin"/>
        </w:r>
        <w:r w:rsidR="00D40CDA" w:rsidRPr="0052048E">
          <w:rPr>
            <w:noProof/>
            <w:lang w:val="sr-Latn-CS"/>
          </w:rPr>
          <w:instrText xml:space="preserve"> PAGE   \* MERGEFORMAT </w:instrText>
        </w:r>
        <w:r w:rsidRPr="0052048E">
          <w:rPr>
            <w:noProof/>
            <w:lang w:val="sr-Latn-CS"/>
          </w:rPr>
          <w:fldChar w:fldCharType="separate"/>
        </w:r>
        <w:r w:rsidR="0052048E">
          <w:rPr>
            <w:noProof/>
            <w:lang w:val="sr-Latn-CS"/>
          </w:rPr>
          <w:t>7</w:t>
        </w:r>
        <w:r w:rsidRPr="0052048E">
          <w:rPr>
            <w:noProof/>
            <w:lang w:val="sr-Latn-CS"/>
          </w:rPr>
          <w:fldChar w:fldCharType="end"/>
        </w:r>
      </w:p>
    </w:sdtContent>
  </w:sdt>
  <w:p w:rsidR="00D40CDA" w:rsidRPr="0052048E" w:rsidRDefault="00D40CDA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8E" w:rsidRDefault="005204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472"/>
    <w:rsid w:val="00037472"/>
    <w:rsid w:val="00141DEA"/>
    <w:rsid w:val="001B341D"/>
    <w:rsid w:val="00200D0B"/>
    <w:rsid w:val="002652AB"/>
    <w:rsid w:val="002939B9"/>
    <w:rsid w:val="002A16FE"/>
    <w:rsid w:val="002E5E86"/>
    <w:rsid w:val="003135BC"/>
    <w:rsid w:val="00341494"/>
    <w:rsid w:val="004F210A"/>
    <w:rsid w:val="0052048E"/>
    <w:rsid w:val="005F492B"/>
    <w:rsid w:val="006503CB"/>
    <w:rsid w:val="006F77AA"/>
    <w:rsid w:val="007B3993"/>
    <w:rsid w:val="007D7A1F"/>
    <w:rsid w:val="007F4677"/>
    <w:rsid w:val="00896753"/>
    <w:rsid w:val="009A7E51"/>
    <w:rsid w:val="00A31664"/>
    <w:rsid w:val="00A570AA"/>
    <w:rsid w:val="00AB18D1"/>
    <w:rsid w:val="00AD3921"/>
    <w:rsid w:val="00B34B5B"/>
    <w:rsid w:val="00B75D7C"/>
    <w:rsid w:val="00BD1A1B"/>
    <w:rsid w:val="00C12A17"/>
    <w:rsid w:val="00C24016"/>
    <w:rsid w:val="00CC21B0"/>
    <w:rsid w:val="00D1775F"/>
    <w:rsid w:val="00D40CDA"/>
    <w:rsid w:val="00D97415"/>
    <w:rsid w:val="00DB1143"/>
    <w:rsid w:val="00DB4763"/>
    <w:rsid w:val="00DD4DB1"/>
    <w:rsid w:val="00F30EC4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03747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037472"/>
    <w:pPr>
      <w:spacing w:before="48" w:after="48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03747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styleId="ListParagraph">
    <w:name w:val="List Paragraph"/>
    <w:basedOn w:val="Normal"/>
    <w:uiPriority w:val="34"/>
    <w:qFormat/>
    <w:rsid w:val="009A7E51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A7E5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7E51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DA"/>
  </w:style>
  <w:style w:type="paragraph" w:styleId="Footer">
    <w:name w:val="footer"/>
    <w:basedOn w:val="Normal"/>
    <w:link w:val="FooterChar"/>
    <w:uiPriority w:val="99"/>
    <w:unhideWhenUsed/>
    <w:rsid w:val="00D4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DA"/>
  </w:style>
  <w:style w:type="paragraph" w:styleId="BalloonText">
    <w:name w:val="Balloon Text"/>
    <w:basedOn w:val="Normal"/>
    <w:link w:val="BalloonTextChar"/>
    <w:uiPriority w:val="99"/>
    <w:semiHidden/>
    <w:unhideWhenUsed/>
    <w:rsid w:val="004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0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135BC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3135BC"/>
    <w:rPr>
      <w:rFonts w:ascii="Times New Roman" w:eastAsia="Times New Roman" w:hAnsi="Times New Roman" w:cs="Times New Roman"/>
      <w:sz w:val="24"/>
      <w:szCs w:val="20"/>
      <w:lang w:val="hu-H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03747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037472"/>
    <w:pPr>
      <w:spacing w:before="48" w:after="48" w:line="240" w:lineRule="auto"/>
    </w:pPr>
    <w:rPr>
      <w:rFonts w:ascii="Arial" w:eastAsia="Times New Roman" w:hAnsi="Arial" w:cs="Arial"/>
    </w:rPr>
  </w:style>
  <w:style w:type="paragraph" w:customStyle="1" w:styleId="wyq060---pododeljak">
    <w:name w:val="wyq060---pododeljak"/>
    <w:basedOn w:val="Normal"/>
    <w:rsid w:val="00037472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styleId="ListParagraph">
    <w:name w:val="List Paragraph"/>
    <w:basedOn w:val="Normal"/>
    <w:uiPriority w:val="34"/>
    <w:qFormat/>
    <w:rsid w:val="009A7E51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A7E5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7E51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DA"/>
  </w:style>
  <w:style w:type="paragraph" w:styleId="Footer">
    <w:name w:val="footer"/>
    <w:basedOn w:val="Normal"/>
    <w:link w:val="FooterChar"/>
    <w:uiPriority w:val="99"/>
    <w:unhideWhenUsed/>
    <w:rsid w:val="00D4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DA"/>
  </w:style>
  <w:style w:type="paragraph" w:styleId="BalloonText">
    <w:name w:val="Balloon Text"/>
    <w:basedOn w:val="Normal"/>
    <w:link w:val="BalloonTextChar"/>
    <w:uiPriority w:val="99"/>
    <w:semiHidden/>
    <w:unhideWhenUsed/>
    <w:rsid w:val="004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4771-A910-4591-AC9D-5A8CB70F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jovan</cp:lastModifiedBy>
  <cp:revision>2</cp:revision>
  <cp:lastPrinted>2016-12-08T15:07:00Z</cp:lastPrinted>
  <dcterms:created xsi:type="dcterms:W3CDTF">2016-12-13T08:58:00Z</dcterms:created>
  <dcterms:modified xsi:type="dcterms:W3CDTF">2016-12-13T08:58:00Z</dcterms:modified>
</cp:coreProperties>
</file>