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7B" w:rsidRPr="00AF414C" w:rsidRDefault="00C7147B" w:rsidP="00BE516D">
      <w:pPr>
        <w:pStyle w:val="stil2zakon"/>
        <w:spacing w:before="0" w:beforeAutospacing="0" w:after="0" w:afterAutospacing="0"/>
        <w:jc w:val="right"/>
        <w:rPr>
          <w:noProof/>
          <w:sz w:val="16"/>
          <w:szCs w:val="16"/>
          <w:lang w:val="sr-Latn-CS"/>
        </w:rPr>
      </w:pPr>
      <w:bookmarkStart w:id="0" w:name="_GoBack"/>
      <w:bookmarkEnd w:id="0"/>
    </w:p>
    <w:p w:rsidR="00D767DF" w:rsidRPr="00AF414C" w:rsidRDefault="00D767DF" w:rsidP="00EB13F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bookmarkStart w:id="1" w:name="sadrzaj_2"/>
      <w:bookmarkStart w:id="2" w:name="sadrzaj_3"/>
      <w:bookmarkEnd w:id="1"/>
      <w:bookmarkEnd w:id="2"/>
      <w:r w:rsidRP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P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21. </w:t>
      </w:r>
      <w:r w:rsid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P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4) </w:t>
      </w:r>
      <w:r w:rsid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P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akcizama</w:t>
      </w:r>
      <w:r w:rsidRPr="00AF414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Pr="00AF414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AF414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Pr="00AF414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Pr="00AF414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Pr="00AF414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”,</w:t>
      </w:r>
      <w:r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 22/01, 73/01, 80/02, 43/03, 72/03, 43/04, 55/04, 135/04, 46/05, 101/05-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61/07, 5/09, 31/09, 101/10, 43/11, </w:t>
      </w:r>
      <w:r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101/11, 93/12, 119/12, 47/13, 68/14-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86B0C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142/14, 55/15, 103/15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108/16)</w:t>
      </w:r>
      <w:r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</w:p>
    <w:p w:rsidR="00D767DF" w:rsidRPr="00AF414C" w:rsidRDefault="00AF414C" w:rsidP="00EB13F4">
      <w:pPr>
        <w:tabs>
          <w:tab w:val="left" w:pos="810"/>
        </w:tabs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767DF" w:rsidRPr="00AF414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767DF" w:rsidRPr="00AF414C" w:rsidRDefault="00AF414C" w:rsidP="00D767DF">
      <w:pPr>
        <w:pStyle w:val="4clan"/>
        <w:tabs>
          <w:tab w:val="left" w:pos="720"/>
        </w:tabs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E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</w:p>
    <w:p w:rsidR="00D767DF" w:rsidRPr="00AF414C" w:rsidRDefault="00AF414C" w:rsidP="00D767DF">
      <w:pPr>
        <w:pStyle w:val="4clan"/>
        <w:tabs>
          <w:tab w:val="left" w:pos="720"/>
        </w:tabs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IZEMENAMA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DOPUNAMA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UREDBE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KOLIČINI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RASHODA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KALO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RASTUR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KVAR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LOM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KOJI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SE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NE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PLAĆA</w:t>
      </w:r>
      <w:r w:rsidR="00D767DF" w:rsidRPr="00AF414C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AKCIZA</w:t>
      </w:r>
    </w:p>
    <w:p w:rsidR="00D767DF" w:rsidRPr="00AF414C" w:rsidRDefault="00D767DF" w:rsidP="00D767D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E516D" w:rsidRPr="00AF414C" w:rsidRDefault="00AF414C" w:rsidP="00BE51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="00BE516D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1.</w:t>
      </w:r>
    </w:p>
    <w:p w:rsidR="00E22826" w:rsidRPr="00AF414C" w:rsidRDefault="00AF414C" w:rsidP="00EB13F4">
      <w:pPr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Uredbi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količini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rashoda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kalo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rastur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kvar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lom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na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koji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ne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plaća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akciza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Službeni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glasnik</w:t>
      </w:r>
      <w:r w:rsidR="00CA50CB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RS</w:t>
      </w:r>
      <w:r w:rsidR="00CA50CB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br</w:t>
      </w:r>
      <w:r w:rsidR="00CA50CB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. 137/04, 109/09,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96/12</w:t>
      </w:r>
      <w:r w:rsidR="00CA50CB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CA50CB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CA50CB" w:rsidRPr="00AF414C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88/17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)</w:t>
      </w:r>
      <w:r w:rsidR="0099005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,</w:t>
      </w:r>
      <w:r w:rsidR="00CA50CB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CA50CB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članu</w:t>
      </w:r>
      <w:r w:rsidR="00CA50CB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2.</w:t>
      </w:r>
      <w:r w:rsidR="00CA50CB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stav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2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posle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reči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:</w:t>
      </w:r>
      <w:r w:rsidR="001D08D6" w:rsidRPr="00AF414C">
        <w:rPr>
          <w:noProof/>
          <w:lang w:val="sr-Latn-CS"/>
        </w:rPr>
        <w:t xml:space="preserve"> 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koji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je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nastao</w:t>
      </w:r>
      <w:r w:rsidR="001D08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dodaju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reči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kod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proizvođača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kafe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a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reči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: „(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prženja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pakovanja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kafe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zamenjuju</w:t>
      </w:r>
      <w:r w:rsidR="00E2282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E2282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rečima</w:t>
      </w:r>
      <w:r w:rsidR="00E2282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: 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kafe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pod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kojom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smislu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ove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uredbe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smatra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prženje</w:t>
      </w:r>
      <w:r w:rsidR="007E3D2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nepržene</w:t>
      </w:r>
      <w:r w:rsidR="007E3D2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kafe</w:t>
      </w:r>
      <w:r w:rsidR="007E3D2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odnosno</w:t>
      </w:r>
      <w:r w:rsidR="007E3D2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pakovanje</w:t>
      </w:r>
      <w:r w:rsidR="007E3D2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mlevene</w:t>
      </w:r>
      <w:r w:rsidR="007E3D2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pržene</w:t>
      </w:r>
      <w:r w:rsidR="007E3D2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kafe</w:t>
      </w:r>
      <w:r w:rsidR="007E3D23" w:rsidRPr="00AF414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C65722" w:rsidRPr="00AF414C" w:rsidRDefault="00C65722" w:rsidP="00C85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val="sr-Latn-CS"/>
        </w:rPr>
      </w:pPr>
      <w:bookmarkStart w:id="3" w:name="sadrzaj_4"/>
      <w:bookmarkEnd w:id="3"/>
    </w:p>
    <w:p w:rsidR="00BE516D" w:rsidRPr="00AF414C" w:rsidRDefault="00AF414C" w:rsidP="00C85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="00BE516D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2.</w:t>
      </w:r>
    </w:p>
    <w:p w:rsidR="004E113E" w:rsidRPr="00AF414C" w:rsidRDefault="00AF414C" w:rsidP="004E1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članu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4</w:t>
      </w:r>
      <w:r w:rsidR="00201130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dodaje</w:t>
      </w:r>
      <w:r w:rsidR="00140D1F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stav</w:t>
      </w:r>
      <w:r w:rsidR="00C6572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3</w:t>
      </w:r>
      <w:r w:rsidR="00E2282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koji</w:t>
      </w:r>
      <w:r w:rsidR="00E2282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glasi</w:t>
      </w:r>
      <w:r w:rsidR="00753D29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:</w:t>
      </w:r>
    </w:p>
    <w:p w:rsidR="00A80492" w:rsidRPr="00AF414C" w:rsidRDefault="002E71E8" w:rsidP="004E1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„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Normativ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rashoda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kafu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izražava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procenat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rashoda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količine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kafe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nastao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prilikom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prženja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kafe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prilikom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pakovanja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mlevene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kafe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određenom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obračunskom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periodu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Normativ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rashoda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kafu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procesu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prženja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priznati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rashod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4E113E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ljuspice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opne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kafe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tarifne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oznake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nomenklature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CT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0901 90 10 00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14.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3)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uslovom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procesa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prženja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kafe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komunalni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otpad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uništavaju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propisima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upravljanje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otpadom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čemu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kafe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posedovati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odgovarajuću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Normativu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rashoda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ukupni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rashod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kafu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prž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nju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preći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urtvrđen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rashod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Normativu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rashoda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rednim</w:t>
      </w:r>
      <w:r w:rsidR="004E113E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brojem</w:t>
      </w:r>
      <w:r w:rsidR="00AA3DA3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9).</w:t>
      </w:r>
      <w:r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”</w:t>
      </w:r>
    </w:p>
    <w:p w:rsidR="00707AD6" w:rsidRPr="00AF414C" w:rsidRDefault="00707AD6" w:rsidP="00707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val="sr-Latn-CS"/>
        </w:rPr>
      </w:pPr>
    </w:p>
    <w:p w:rsidR="00BE516D" w:rsidRPr="00AF414C" w:rsidRDefault="00AF414C" w:rsidP="00C85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="00A8049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3.</w:t>
      </w:r>
    </w:p>
    <w:p w:rsidR="00AA3DA3" w:rsidRPr="00AF414C" w:rsidRDefault="00AA3DA3" w:rsidP="00AA3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</w:r>
      <w:r w:rsid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="007E3D2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4</w:t>
      </w:r>
      <w:r w:rsid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a</w:t>
      </w:r>
      <w:r w:rsidR="007E3D2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briše</w:t>
      </w:r>
      <w:r w:rsidR="007E3D2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7E3D2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.</w:t>
      </w:r>
      <w:r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</w:p>
    <w:p w:rsidR="00551059" w:rsidRPr="00AF414C" w:rsidRDefault="00551059" w:rsidP="00AA3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val="sr-Latn-CS"/>
        </w:rPr>
      </w:pPr>
    </w:p>
    <w:p w:rsidR="00AA3DA3" w:rsidRPr="00AF414C" w:rsidRDefault="00AF414C" w:rsidP="00AA3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="00AA3DA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4.</w:t>
      </w:r>
    </w:p>
    <w:p w:rsidR="008E0763" w:rsidRPr="00AF414C" w:rsidRDefault="00AF414C" w:rsidP="004B4F02">
      <w:pPr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Normativ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</w:t>
      </w:r>
      <w:r w:rsidR="00242388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utvrđivanje</w:t>
      </w:r>
      <w:r w:rsidR="00242388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rashoda</w:t>
      </w:r>
      <w:r w:rsidR="00242388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na</w:t>
      </w:r>
      <w:r w:rsidR="00242388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koji</w:t>
      </w:r>
      <w:r w:rsidR="00242388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242388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ne</w:t>
      </w:r>
      <w:r w:rsidR="00242388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plaća</w:t>
      </w:r>
      <w:r w:rsidR="00242388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akciza</w:t>
      </w:r>
      <w:r w:rsidR="007E3D2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,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koji</w:t>
      </w:r>
      <w:r w:rsidR="00753D29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čini</w:t>
      </w:r>
      <w:r w:rsidR="00753D29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sastavni</w:t>
      </w:r>
      <w:r w:rsidR="00753D29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deo</w:t>
      </w:r>
      <w:r w:rsidR="00753D29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Uredbe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količini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rashoda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kalo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rastur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kvar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lom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na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koji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ne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plaća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akciza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Službeni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glasnik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RS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br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. 137/04, 109/09, 96/12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4B4F02" w:rsidRPr="00AF414C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88/17</w:t>
      </w:r>
      <w:r w:rsidR="004B4F02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zamenjuje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novim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Normativom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utvrđivanje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rashoda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na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koji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ne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plaća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akciza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koji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je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odštampan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uz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ovu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uredbu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čini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njen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sastavni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deo</w:t>
      </w:r>
      <w:r w:rsidR="008E076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. </w:t>
      </w:r>
    </w:p>
    <w:p w:rsidR="008E0763" w:rsidRPr="00AF414C" w:rsidRDefault="008E0763" w:rsidP="004B4F02">
      <w:pPr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BE516D" w:rsidRPr="00AF414C" w:rsidRDefault="00AF414C" w:rsidP="00BE516D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="00BE516D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A3DA3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5</w:t>
      </w:r>
      <w:r w:rsidR="00707AD6" w:rsidRPr="00AF414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.</w:t>
      </w:r>
    </w:p>
    <w:p w:rsidR="0032270C" w:rsidRPr="00AF414C" w:rsidRDefault="00AF414C" w:rsidP="00311E88">
      <w:pPr>
        <w:spacing w:after="0" w:line="240" w:lineRule="auto"/>
        <w:ind w:right="29" w:firstLine="8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uredba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narednog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07AD6" w:rsidRPr="00AF414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707AD6" w:rsidRPr="00AF414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primenjivaće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januara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707AD6" w:rsidRPr="00AF41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bookmarkStart w:id="4" w:name="sadrzaj_9"/>
      <w:bookmarkEnd w:id="4"/>
    </w:p>
    <w:p w:rsidR="00311E88" w:rsidRPr="00AF414C" w:rsidRDefault="00311E88" w:rsidP="00311E88">
      <w:pPr>
        <w:spacing w:after="0" w:line="240" w:lineRule="auto"/>
        <w:ind w:right="29" w:firstLine="810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sr-Latn-CS"/>
        </w:rPr>
      </w:pPr>
    </w:p>
    <w:p w:rsidR="00753D29" w:rsidRPr="00AF414C" w:rsidRDefault="00753D29" w:rsidP="00311E88">
      <w:pPr>
        <w:spacing w:after="0" w:line="240" w:lineRule="auto"/>
        <w:ind w:right="29" w:firstLine="810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sr-Latn-CS"/>
        </w:rPr>
      </w:pPr>
    </w:p>
    <w:p w:rsidR="00311E88" w:rsidRPr="00AF414C" w:rsidRDefault="00311E88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8B0CFC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110-12980/2017-1</w:t>
      </w:r>
    </w:p>
    <w:p w:rsidR="00311E88" w:rsidRPr="00AF414C" w:rsidRDefault="00AF414C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0444B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20444B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3D29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28.</w:t>
      </w:r>
      <w:r w:rsidR="00EB4503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decembara</w:t>
      </w:r>
      <w:r w:rsidR="0020444B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11E88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7300C" w:rsidRPr="00AF414C" w:rsidRDefault="00B7300C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sr-Latn-CS"/>
        </w:rPr>
      </w:pPr>
    </w:p>
    <w:p w:rsidR="00311E88" w:rsidRPr="00AF414C" w:rsidRDefault="00AF414C" w:rsidP="00311E8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311E88" w:rsidRPr="00AF41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</w:t>
      </w:r>
      <w:r w:rsidR="00311E88" w:rsidRPr="00AF41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311E88" w:rsidRPr="00AF41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</w:t>
      </w:r>
      <w:r w:rsidR="00311E88" w:rsidRPr="00AF41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</w:p>
    <w:p w:rsidR="00311E88" w:rsidRPr="00AF414C" w:rsidRDefault="00311E88" w:rsidP="00311E8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6"/>
          <w:szCs w:val="16"/>
          <w:lang w:val="sr-Latn-CS"/>
        </w:rPr>
      </w:pPr>
    </w:p>
    <w:p w:rsidR="00311E88" w:rsidRPr="00AF414C" w:rsidRDefault="00311E88" w:rsidP="00311E8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AF41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</w:t>
      </w:r>
      <w:r w:rsidR="00AF41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PREDSEDNIK</w:t>
      </w:r>
    </w:p>
    <w:p w:rsidR="00311E88" w:rsidRPr="00AF414C" w:rsidRDefault="00311E88" w:rsidP="00311E88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311E88" w:rsidRPr="00AF414C" w:rsidRDefault="00311E88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F41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AA3DA3" w:rsidRPr="00AF41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Ana</w:t>
      </w:r>
      <w:r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Brnabić</w:t>
      </w:r>
      <w:r w:rsidR="008B0CFC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8B0CFC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B0CFC" w:rsidRPr="00AF41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767DF" w:rsidRPr="00AF414C" w:rsidRDefault="00D767DF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767DF" w:rsidRPr="00AF414C" w:rsidRDefault="00D767DF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767DF" w:rsidRPr="00AF414C" w:rsidRDefault="00D767DF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767DF" w:rsidRPr="00AF414C" w:rsidRDefault="00D767DF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E0763" w:rsidRPr="00AF414C" w:rsidRDefault="00AF414C" w:rsidP="00D767DF">
      <w:pPr>
        <w:spacing w:after="0" w:line="240" w:lineRule="auto"/>
        <w:ind w:right="29" w:firstLine="720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NORMATIV</w:t>
      </w:r>
      <w:r w:rsidR="008E0763" w:rsidRPr="00AF414C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ZA</w:t>
      </w:r>
      <w:r w:rsidR="008E0763" w:rsidRPr="00AF414C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UTVRĐIVANJE</w:t>
      </w:r>
      <w:r w:rsidR="008E0763" w:rsidRPr="00AF414C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RASHODA</w:t>
      </w:r>
      <w:r w:rsidR="008E0763" w:rsidRPr="00AF414C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NA</w:t>
      </w:r>
      <w:r w:rsidR="008E0763" w:rsidRPr="00AF414C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KOJI</w:t>
      </w:r>
      <w:r w:rsidR="008E0763" w:rsidRPr="00AF414C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SE</w:t>
      </w:r>
      <w:r w:rsidR="008E0763" w:rsidRPr="00AF414C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NE</w:t>
      </w:r>
      <w:r w:rsidR="008E0763" w:rsidRPr="00AF414C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PLAĆA</w:t>
      </w:r>
      <w:r w:rsidR="008E0763" w:rsidRPr="00AF414C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AKCIZA</w:t>
      </w:r>
    </w:p>
    <w:p w:rsidR="00D767DF" w:rsidRPr="00AF414C" w:rsidRDefault="00D767DF" w:rsidP="00D767DF">
      <w:pPr>
        <w:spacing w:after="0" w:line="240" w:lineRule="auto"/>
        <w:ind w:right="29" w:firstLine="720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</w:pPr>
    </w:p>
    <w:p w:rsidR="00753D29" w:rsidRPr="00AF414C" w:rsidRDefault="00753D29" w:rsidP="00D767DF">
      <w:pPr>
        <w:spacing w:after="0" w:line="240" w:lineRule="auto"/>
        <w:ind w:right="29" w:firstLine="720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</w:pPr>
    </w:p>
    <w:p w:rsidR="00D767DF" w:rsidRPr="00AF414C" w:rsidRDefault="00D767DF" w:rsidP="00D767DF">
      <w:pPr>
        <w:spacing w:after="0" w:line="240" w:lineRule="auto"/>
        <w:ind w:right="29" w:firstLine="720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6662"/>
        <w:gridCol w:w="1530"/>
      </w:tblGrid>
      <w:tr w:rsidR="008E0763" w:rsidRPr="00AF414C" w:rsidTr="00D767DF">
        <w:tc>
          <w:tcPr>
            <w:tcW w:w="720" w:type="dxa"/>
          </w:tcPr>
          <w:p w:rsidR="00D767DF" w:rsidRPr="00AF414C" w:rsidRDefault="00AF414C" w:rsidP="00D767D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Red</w:t>
            </w:r>
            <w:r w:rsidR="00D767DF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  <w:p w:rsidR="008E0763" w:rsidRPr="00AF414C" w:rsidRDefault="00AF414C" w:rsidP="00D767D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br</w:t>
            </w:r>
            <w:r w:rsidR="00D767DF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6750" w:type="dxa"/>
          </w:tcPr>
          <w:p w:rsidR="008E0763" w:rsidRPr="00AF414C" w:rsidRDefault="00AF414C" w:rsidP="00D767D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Naziv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proizvoda</w:t>
            </w:r>
          </w:p>
        </w:tc>
        <w:tc>
          <w:tcPr>
            <w:tcW w:w="1530" w:type="dxa"/>
          </w:tcPr>
          <w:p w:rsidR="008E0763" w:rsidRPr="00AF414C" w:rsidRDefault="00AF414C" w:rsidP="00D767D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Stopa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(%)</w:t>
            </w:r>
          </w:p>
        </w:tc>
      </w:tr>
      <w:tr w:rsidR="008E0763" w:rsidRPr="00AF414C" w:rsidTr="00D767DF">
        <w:tc>
          <w:tcPr>
            <w:tcW w:w="720" w:type="dxa"/>
          </w:tcPr>
          <w:p w:rsidR="008E0763" w:rsidRPr="00AF414C" w:rsidRDefault="008E0763" w:rsidP="00D767D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1)</w:t>
            </w:r>
          </w:p>
        </w:tc>
        <w:tc>
          <w:tcPr>
            <w:tcW w:w="6750" w:type="dxa"/>
          </w:tcPr>
          <w:p w:rsidR="008E0763" w:rsidRPr="00AF414C" w:rsidRDefault="00AF414C" w:rsidP="00D767D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olovni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benzin</w:t>
            </w:r>
          </w:p>
        </w:tc>
        <w:tc>
          <w:tcPr>
            <w:tcW w:w="1530" w:type="dxa"/>
          </w:tcPr>
          <w:p w:rsidR="008E0763" w:rsidRPr="00AF414C" w:rsidRDefault="008E0763" w:rsidP="00D767DF">
            <w:pPr>
              <w:spacing w:after="0" w:line="240" w:lineRule="auto"/>
              <w:ind w:right="29" w:firstLine="720"/>
              <w:jc w:val="right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0,425</w:t>
            </w:r>
          </w:p>
        </w:tc>
      </w:tr>
      <w:tr w:rsidR="008E0763" w:rsidRPr="00AF414C" w:rsidTr="00D767DF">
        <w:tc>
          <w:tcPr>
            <w:tcW w:w="720" w:type="dxa"/>
          </w:tcPr>
          <w:p w:rsidR="008E0763" w:rsidRPr="00AF414C" w:rsidRDefault="008E0763" w:rsidP="00D767D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2)</w:t>
            </w:r>
          </w:p>
        </w:tc>
        <w:tc>
          <w:tcPr>
            <w:tcW w:w="6750" w:type="dxa"/>
          </w:tcPr>
          <w:p w:rsidR="008E0763" w:rsidRPr="00AF414C" w:rsidRDefault="00AF414C" w:rsidP="00D767D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bezolovni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benzin</w:t>
            </w:r>
          </w:p>
        </w:tc>
        <w:tc>
          <w:tcPr>
            <w:tcW w:w="1530" w:type="dxa"/>
          </w:tcPr>
          <w:p w:rsidR="008E0763" w:rsidRPr="00AF414C" w:rsidRDefault="008E0763" w:rsidP="00D767DF">
            <w:pPr>
              <w:spacing w:after="0" w:line="240" w:lineRule="auto"/>
              <w:ind w:right="29" w:firstLine="720"/>
              <w:jc w:val="right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0,425</w:t>
            </w:r>
          </w:p>
        </w:tc>
      </w:tr>
      <w:tr w:rsidR="008E0763" w:rsidRPr="00AF414C" w:rsidTr="00D767DF">
        <w:tc>
          <w:tcPr>
            <w:tcW w:w="720" w:type="dxa"/>
          </w:tcPr>
          <w:p w:rsidR="008E0763" w:rsidRPr="00AF414C" w:rsidRDefault="008E0763" w:rsidP="00D767D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3)</w:t>
            </w:r>
          </w:p>
        </w:tc>
        <w:tc>
          <w:tcPr>
            <w:tcW w:w="6750" w:type="dxa"/>
          </w:tcPr>
          <w:p w:rsidR="008E0763" w:rsidRPr="00AF414C" w:rsidRDefault="00AF414C" w:rsidP="00D767D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gasna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ulja</w:t>
            </w:r>
          </w:p>
        </w:tc>
        <w:tc>
          <w:tcPr>
            <w:tcW w:w="1530" w:type="dxa"/>
          </w:tcPr>
          <w:p w:rsidR="008E0763" w:rsidRPr="00AF414C" w:rsidRDefault="008E0763" w:rsidP="00D767DF">
            <w:pPr>
              <w:spacing w:after="0" w:line="240" w:lineRule="auto"/>
              <w:ind w:right="29" w:firstLine="720"/>
              <w:jc w:val="right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0,325</w:t>
            </w:r>
          </w:p>
        </w:tc>
      </w:tr>
      <w:tr w:rsidR="008E0763" w:rsidRPr="00AF414C" w:rsidTr="00D767DF">
        <w:tc>
          <w:tcPr>
            <w:tcW w:w="720" w:type="dxa"/>
          </w:tcPr>
          <w:p w:rsidR="008E0763" w:rsidRPr="00AF414C" w:rsidRDefault="008E0763" w:rsidP="00D767D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4)</w:t>
            </w:r>
          </w:p>
        </w:tc>
        <w:tc>
          <w:tcPr>
            <w:tcW w:w="6750" w:type="dxa"/>
          </w:tcPr>
          <w:p w:rsidR="008E0763" w:rsidRPr="00AF414C" w:rsidRDefault="00AF414C" w:rsidP="00D767D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kerozin</w:t>
            </w:r>
          </w:p>
        </w:tc>
        <w:tc>
          <w:tcPr>
            <w:tcW w:w="1530" w:type="dxa"/>
          </w:tcPr>
          <w:p w:rsidR="008E0763" w:rsidRPr="00AF414C" w:rsidRDefault="008E0763" w:rsidP="00D767DF">
            <w:pPr>
              <w:spacing w:after="0" w:line="240" w:lineRule="auto"/>
              <w:ind w:right="29" w:firstLine="720"/>
              <w:jc w:val="right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0,325</w:t>
            </w:r>
          </w:p>
        </w:tc>
      </w:tr>
      <w:tr w:rsidR="008E0763" w:rsidRPr="00AF414C" w:rsidTr="00D767DF">
        <w:tc>
          <w:tcPr>
            <w:tcW w:w="720" w:type="dxa"/>
          </w:tcPr>
          <w:p w:rsidR="008E0763" w:rsidRPr="00AF414C" w:rsidRDefault="008E0763" w:rsidP="00D767D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6750" w:type="dxa"/>
          </w:tcPr>
          <w:p w:rsidR="008E0763" w:rsidRPr="00AF414C" w:rsidRDefault="00AF414C" w:rsidP="00D767D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tečni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naftni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gas</w:t>
            </w:r>
          </w:p>
        </w:tc>
        <w:tc>
          <w:tcPr>
            <w:tcW w:w="1530" w:type="dxa"/>
          </w:tcPr>
          <w:p w:rsidR="008E0763" w:rsidRPr="00AF414C" w:rsidRDefault="008E0763" w:rsidP="00D767DF">
            <w:pPr>
              <w:spacing w:after="0" w:line="240" w:lineRule="auto"/>
              <w:ind w:right="29" w:firstLine="720"/>
              <w:jc w:val="right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0,535</w:t>
            </w:r>
          </w:p>
        </w:tc>
      </w:tr>
      <w:tr w:rsidR="008E0763" w:rsidRPr="00AF414C" w:rsidTr="00D767DF">
        <w:tc>
          <w:tcPr>
            <w:tcW w:w="720" w:type="dxa"/>
          </w:tcPr>
          <w:p w:rsidR="008E0763" w:rsidRPr="00AF414C" w:rsidRDefault="008E0763" w:rsidP="00D767D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6)</w:t>
            </w:r>
          </w:p>
        </w:tc>
        <w:tc>
          <w:tcPr>
            <w:tcW w:w="6750" w:type="dxa"/>
          </w:tcPr>
          <w:p w:rsidR="008E0763" w:rsidRPr="00AF414C" w:rsidRDefault="00AF414C" w:rsidP="00D767D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ostali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derivati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nafte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koji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se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dobijaju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od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frakcija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nafte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koje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imaju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raspon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destilacije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do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380° C</w:t>
            </w:r>
          </w:p>
        </w:tc>
        <w:tc>
          <w:tcPr>
            <w:tcW w:w="1530" w:type="dxa"/>
          </w:tcPr>
          <w:p w:rsidR="008E0763" w:rsidRPr="00AF414C" w:rsidRDefault="008E0763" w:rsidP="00D767DF">
            <w:pPr>
              <w:spacing w:after="0" w:line="240" w:lineRule="auto"/>
              <w:ind w:right="29" w:firstLine="720"/>
              <w:jc w:val="right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0,325</w:t>
            </w:r>
          </w:p>
        </w:tc>
      </w:tr>
      <w:tr w:rsidR="008E0763" w:rsidRPr="00AF414C" w:rsidTr="00D767DF">
        <w:tc>
          <w:tcPr>
            <w:tcW w:w="720" w:type="dxa"/>
          </w:tcPr>
          <w:p w:rsidR="008E0763" w:rsidRPr="00AF414C" w:rsidRDefault="008E0763" w:rsidP="00D767D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7)</w:t>
            </w:r>
          </w:p>
        </w:tc>
        <w:tc>
          <w:tcPr>
            <w:tcW w:w="6750" w:type="dxa"/>
          </w:tcPr>
          <w:p w:rsidR="008E0763" w:rsidRPr="00AF414C" w:rsidRDefault="00AF414C" w:rsidP="00D767D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cigarete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i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ostale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prerađevine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od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duvana</w:t>
            </w:r>
          </w:p>
        </w:tc>
        <w:tc>
          <w:tcPr>
            <w:tcW w:w="1530" w:type="dxa"/>
          </w:tcPr>
          <w:p w:rsidR="008E0763" w:rsidRPr="00AF414C" w:rsidRDefault="008E0763" w:rsidP="00D767DF">
            <w:pPr>
              <w:spacing w:after="0" w:line="240" w:lineRule="auto"/>
              <w:ind w:right="29" w:firstLine="720"/>
              <w:jc w:val="right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0</w:t>
            </w:r>
          </w:p>
        </w:tc>
      </w:tr>
      <w:tr w:rsidR="008E0763" w:rsidRPr="00AF414C" w:rsidTr="00D767DF">
        <w:tc>
          <w:tcPr>
            <w:tcW w:w="720" w:type="dxa"/>
          </w:tcPr>
          <w:p w:rsidR="008E0763" w:rsidRPr="00AF414C" w:rsidRDefault="008E0763" w:rsidP="00D767D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8)</w:t>
            </w:r>
          </w:p>
        </w:tc>
        <w:tc>
          <w:tcPr>
            <w:tcW w:w="6750" w:type="dxa"/>
          </w:tcPr>
          <w:p w:rsidR="008E0763" w:rsidRPr="00AF414C" w:rsidRDefault="00AF414C" w:rsidP="00D767DF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alkoholna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pića</w:t>
            </w:r>
          </w:p>
        </w:tc>
        <w:tc>
          <w:tcPr>
            <w:tcW w:w="1530" w:type="dxa"/>
          </w:tcPr>
          <w:p w:rsidR="008E0763" w:rsidRPr="00AF414C" w:rsidRDefault="008E0763" w:rsidP="00D767DF">
            <w:pPr>
              <w:spacing w:after="0" w:line="240" w:lineRule="auto"/>
              <w:ind w:right="29" w:firstLine="720"/>
              <w:jc w:val="right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1,00</w:t>
            </w:r>
          </w:p>
        </w:tc>
      </w:tr>
      <w:tr w:rsidR="008E0763" w:rsidRPr="00AF414C" w:rsidTr="00D767DF">
        <w:tc>
          <w:tcPr>
            <w:tcW w:w="720" w:type="dxa"/>
          </w:tcPr>
          <w:p w:rsidR="008E0763" w:rsidRPr="00AF414C" w:rsidRDefault="008E0763" w:rsidP="00D767D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9)</w:t>
            </w:r>
          </w:p>
        </w:tc>
        <w:tc>
          <w:tcPr>
            <w:tcW w:w="6750" w:type="dxa"/>
          </w:tcPr>
          <w:p w:rsidR="008E0763" w:rsidRPr="00AF414C" w:rsidRDefault="00AF414C" w:rsidP="00D767DF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kafa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u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prženju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</w:tcPr>
          <w:p w:rsidR="008E0763" w:rsidRPr="00AF414C" w:rsidRDefault="008E0763" w:rsidP="00D767DF">
            <w:pPr>
              <w:spacing w:after="0" w:line="240" w:lineRule="auto"/>
              <w:ind w:right="29" w:firstLine="720"/>
              <w:jc w:val="right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19,35</w:t>
            </w:r>
          </w:p>
        </w:tc>
      </w:tr>
      <w:tr w:rsidR="008E0763" w:rsidRPr="00AF414C" w:rsidTr="00D767DF">
        <w:tc>
          <w:tcPr>
            <w:tcW w:w="720" w:type="dxa"/>
          </w:tcPr>
          <w:p w:rsidR="008E0763" w:rsidRPr="00AF414C" w:rsidRDefault="008E0763" w:rsidP="00D767D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10)</w:t>
            </w:r>
          </w:p>
        </w:tc>
        <w:tc>
          <w:tcPr>
            <w:tcW w:w="6750" w:type="dxa"/>
          </w:tcPr>
          <w:p w:rsidR="008E0763" w:rsidRPr="00AF414C" w:rsidRDefault="00AF414C" w:rsidP="00D767DF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mlevena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kafa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u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pakovanju</w:t>
            </w:r>
            <w:r w:rsidR="008E0763"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</w:tcPr>
          <w:p w:rsidR="008E0763" w:rsidRPr="00AF414C" w:rsidRDefault="008E0763" w:rsidP="00D767DF">
            <w:pPr>
              <w:spacing w:after="0" w:line="240" w:lineRule="auto"/>
              <w:ind w:right="29" w:hanging="18"/>
              <w:jc w:val="right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</w:pPr>
            <w:r w:rsidRPr="00AF414C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sr-Latn-CS"/>
              </w:rPr>
              <w:t>0,80</w:t>
            </w:r>
          </w:p>
        </w:tc>
      </w:tr>
    </w:tbl>
    <w:p w:rsidR="008E0763" w:rsidRPr="00AF414C" w:rsidRDefault="008E0763" w:rsidP="008E0763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B4F02" w:rsidRPr="00AF414C" w:rsidRDefault="004B4F02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sectPr w:rsidR="004B4F02" w:rsidRPr="00AF414C" w:rsidSect="006D3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DD" w:rsidRDefault="00962ADD" w:rsidP="00AF414C">
      <w:pPr>
        <w:spacing w:after="0" w:line="240" w:lineRule="auto"/>
      </w:pPr>
      <w:r>
        <w:separator/>
      </w:r>
    </w:p>
  </w:endnote>
  <w:endnote w:type="continuationSeparator" w:id="0">
    <w:p w:rsidR="00962ADD" w:rsidRDefault="00962ADD" w:rsidP="00AF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4C" w:rsidRDefault="00AF4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4C" w:rsidRDefault="00AF41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4C" w:rsidRDefault="00AF4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DD" w:rsidRDefault="00962ADD" w:rsidP="00AF414C">
      <w:pPr>
        <w:spacing w:after="0" w:line="240" w:lineRule="auto"/>
      </w:pPr>
      <w:r>
        <w:separator/>
      </w:r>
    </w:p>
  </w:footnote>
  <w:footnote w:type="continuationSeparator" w:id="0">
    <w:p w:rsidR="00962ADD" w:rsidRDefault="00962ADD" w:rsidP="00AF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4C" w:rsidRDefault="00AF4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4C" w:rsidRDefault="00AF4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4C" w:rsidRDefault="00AF4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0D90"/>
    <w:multiLevelType w:val="hybridMultilevel"/>
    <w:tmpl w:val="0550391C"/>
    <w:lvl w:ilvl="0" w:tplc="6FD0075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D"/>
    <w:rsid w:val="000108DC"/>
    <w:rsid w:val="00025010"/>
    <w:rsid w:val="00070657"/>
    <w:rsid w:val="00073563"/>
    <w:rsid w:val="000753D8"/>
    <w:rsid w:val="00093FB0"/>
    <w:rsid w:val="000B03F3"/>
    <w:rsid w:val="000B251D"/>
    <w:rsid w:val="001108A5"/>
    <w:rsid w:val="00140D1F"/>
    <w:rsid w:val="001D08D6"/>
    <w:rsid w:val="001D72BD"/>
    <w:rsid w:val="00201130"/>
    <w:rsid w:val="0020444B"/>
    <w:rsid w:val="00204A1F"/>
    <w:rsid w:val="00242388"/>
    <w:rsid w:val="00243CEC"/>
    <w:rsid w:val="00287C92"/>
    <w:rsid w:val="002B23DD"/>
    <w:rsid w:val="002E71E8"/>
    <w:rsid w:val="00311E88"/>
    <w:rsid w:val="00313E26"/>
    <w:rsid w:val="0032270C"/>
    <w:rsid w:val="00333174"/>
    <w:rsid w:val="003842BE"/>
    <w:rsid w:val="003A0EA5"/>
    <w:rsid w:val="003A2998"/>
    <w:rsid w:val="003B1BB0"/>
    <w:rsid w:val="003D6983"/>
    <w:rsid w:val="003E14B8"/>
    <w:rsid w:val="004167EF"/>
    <w:rsid w:val="004206A2"/>
    <w:rsid w:val="00431990"/>
    <w:rsid w:val="00443980"/>
    <w:rsid w:val="00445CAC"/>
    <w:rsid w:val="004614C2"/>
    <w:rsid w:val="00494487"/>
    <w:rsid w:val="004A2ED4"/>
    <w:rsid w:val="004B4F02"/>
    <w:rsid w:val="004D5011"/>
    <w:rsid w:val="004E113E"/>
    <w:rsid w:val="004F1611"/>
    <w:rsid w:val="00551059"/>
    <w:rsid w:val="0057103A"/>
    <w:rsid w:val="005915BC"/>
    <w:rsid w:val="005D6BD8"/>
    <w:rsid w:val="006111DE"/>
    <w:rsid w:val="006B6618"/>
    <w:rsid w:val="006D309B"/>
    <w:rsid w:val="00707AD6"/>
    <w:rsid w:val="007376D6"/>
    <w:rsid w:val="00753D29"/>
    <w:rsid w:val="0079754A"/>
    <w:rsid w:val="007E3D23"/>
    <w:rsid w:val="008B0CFC"/>
    <w:rsid w:val="008E0763"/>
    <w:rsid w:val="008F74A0"/>
    <w:rsid w:val="009140D3"/>
    <w:rsid w:val="009243F4"/>
    <w:rsid w:val="00951B6D"/>
    <w:rsid w:val="00962ADD"/>
    <w:rsid w:val="00990056"/>
    <w:rsid w:val="009B36D4"/>
    <w:rsid w:val="009E7B58"/>
    <w:rsid w:val="00A05743"/>
    <w:rsid w:val="00A1238F"/>
    <w:rsid w:val="00A23ACC"/>
    <w:rsid w:val="00A25AAB"/>
    <w:rsid w:val="00A60DDC"/>
    <w:rsid w:val="00A73714"/>
    <w:rsid w:val="00A80492"/>
    <w:rsid w:val="00AA3DA3"/>
    <w:rsid w:val="00AE58B3"/>
    <w:rsid w:val="00AF414C"/>
    <w:rsid w:val="00AF5FC0"/>
    <w:rsid w:val="00B7300C"/>
    <w:rsid w:val="00B92130"/>
    <w:rsid w:val="00BE516D"/>
    <w:rsid w:val="00C21128"/>
    <w:rsid w:val="00C37071"/>
    <w:rsid w:val="00C42A78"/>
    <w:rsid w:val="00C54E09"/>
    <w:rsid w:val="00C65722"/>
    <w:rsid w:val="00C7147B"/>
    <w:rsid w:val="00C73A1C"/>
    <w:rsid w:val="00C85F81"/>
    <w:rsid w:val="00CA50CB"/>
    <w:rsid w:val="00D0056B"/>
    <w:rsid w:val="00D101B8"/>
    <w:rsid w:val="00D72D01"/>
    <w:rsid w:val="00D767DF"/>
    <w:rsid w:val="00D86B0C"/>
    <w:rsid w:val="00E22826"/>
    <w:rsid w:val="00E8615A"/>
    <w:rsid w:val="00EB13F4"/>
    <w:rsid w:val="00EB4503"/>
    <w:rsid w:val="00EB4F1B"/>
    <w:rsid w:val="00EC54D4"/>
    <w:rsid w:val="00EE6FEA"/>
    <w:rsid w:val="00F160E9"/>
    <w:rsid w:val="00F643C7"/>
    <w:rsid w:val="00F9104F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E8734B-AA09-4AAB-952C-16C435B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zakon">
    <w:name w:val="stil_2zakon"/>
    <w:basedOn w:val="Normal"/>
    <w:rsid w:val="00BE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4clan"/>
    <w:basedOn w:val="Normal"/>
    <w:rsid w:val="00BE516D"/>
    <w:pPr>
      <w:spacing w:before="20" w:after="2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40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4C"/>
  </w:style>
  <w:style w:type="paragraph" w:styleId="Footer">
    <w:name w:val="footer"/>
    <w:basedOn w:val="Normal"/>
    <w:link w:val="FooterChar"/>
    <w:uiPriority w:val="99"/>
    <w:unhideWhenUsed/>
    <w:rsid w:val="00AF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Anastazija Tanja Djelic</dc:creator>
  <cp:lastModifiedBy>Bojan Grgic</cp:lastModifiedBy>
  <cp:revision>2</cp:revision>
  <cp:lastPrinted>2017-12-28T06:36:00Z</cp:lastPrinted>
  <dcterms:created xsi:type="dcterms:W3CDTF">2017-12-29T15:48:00Z</dcterms:created>
  <dcterms:modified xsi:type="dcterms:W3CDTF">2017-12-29T15:48:00Z</dcterms:modified>
</cp:coreProperties>
</file>