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24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</w:p>
    <w:p w:rsidR="00A37824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OGRANIČAVANJU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</w:p>
    <w:p w:rsidR="00A37824" w:rsidRPr="008805FE" w:rsidRDefault="00A37824" w:rsidP="00DA6F07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B5850" w:rsidRPr="008805FE" w:rsidRDefault="00BB5850" w:rsidP="00DA6F07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44CB0" w:rsidRPr="008805FE" w:rsidRDefault="008805FE" w:rsidP="00344CB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DA6F07" w:rsidRPr="008805FE" w:rsidRDefault="008805FE" w:rsidP="00BB5C6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ograničavanju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”,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29/15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113/17),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344CB0" w:rsidRPr="008805FE" w:rsidRDefault="00344CB0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37824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540C6" w:rsidRPr="008805FE" w:rsidRDefault="008805FE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97341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DA6F07" w:rsidRPr="008805FE" w:rsidRDefault="00DA6F07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540C6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4AAB" w:rsidRPr="008805FE" w:rsidRDefault="008805FE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3540C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A3782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finansijera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terorista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dovode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širenjem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listama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rečenice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rečenica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AC76D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listama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podrazumevaju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liste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rezolucija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Saveta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Ujedinjenih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međunarodnih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udruženja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pokretne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nepokretne</w:t>
      </w:r>
      <w:r w:rsidR="00DF6F8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stvari</w:t>
      </w:r>
      <w:r w:rsidR="00DF6F8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dovode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širenjem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brodovi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avioni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2A4AA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2A4AAB" w:rsidRPr="008805FE" w:rsidRDefault="008805FE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9E56F6" w:rsidRPr="008805FE" w:rsidRDefault="003540C6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svako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fizičko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dovodi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vezu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širenjem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892AC2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51AEB" w:rsidRPr="008805FE" w:rsidRDefault="00DA6F07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„3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003978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označenim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9011E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postupaju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nalogu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označenih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7341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kontrolisana</w:t>
      </w:r>
      <w:r w:rsidR="0097341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7341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97341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označenih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članovi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uže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porodice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označenih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bračni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vanbračni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partner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roditelji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braća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sestre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deca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usvojena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deca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pastorčad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njihovi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bračni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vanbračni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partneri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07394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8204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78204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označenim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posredno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neposredno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07394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dominantan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uticaj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vođenje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37334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18578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fizička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označenim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licima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interesni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odnos</w:t>
      </w:r>
      <w:r w:rsidR="00F51AE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66F7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115481" w:rsidRPr="008805FE" w:rsidRDefault="008805FE" w:rsidP="00DA6F07">
      <w:pPr>
        <w:spacing w:after="0"/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11548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11548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A6F07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11548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11548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11548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703C36" w:rsidRPr="008805FE" w:rsidRDefault="00566F71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B5C6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pružanja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usmerene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celosti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DF6F8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DF6F8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DF6F8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proizvodnju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sticanje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posedovanje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skladištenje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isporuku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pružanje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brokerskih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pretovar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transport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transfer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03C3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prenošenje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DA6F07" w:rsidRPr="008805FE" w:rsidRDefault="009F30C4" w:rsidP="009F30C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širenjem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695199" w:rsidRPr="008805FE" w:rsidRDefault="00695199" w:rsidP="009F30C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B5850" w:rsidRPr="008805FE" w:rsidRDefault="00BB5850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A6F07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9F30C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DA6F07" w:rsidRPr="008805FE" w:rsidRDefault="009F30C4" w:rsidP="009F30C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ab/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14D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DA6F07" w:rsidRPr="008805FE" w:rsidRDefault="00DA6F07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A6F07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5</w:t>
      </w:r>
      <w:r w:rsidR="00695199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DA6F07" w:rsidRPr="008805FE" w:rsidRDefault="00695199" w:rsidP="0069519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24563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terorističkog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širenjem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42170B" w:rsidRPr="008805FE" w:rsidRDefault="0042170B" w:rsidP="0042170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2170B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6</w:t>
      </w:r>
      <w:r w:rsidR="0042170B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2170B" w:rsidRPr="008805FE" w:rsidRDefault="0042170B" w:rsidP="0042170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577B25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91B2A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uskladiće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propise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donete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ograničavanju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terorizma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1407D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”,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29/15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113/17)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2170B" w:rsidRPr="008805FE" w:rsidRDefault="0042170B" w:rsidP="0042170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071A4" w:rsidRPr="008805FE" w:rsidRDefault="008805FE" w:rsidP="00DA6F07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44CB0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8578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3071A4" w:rsidRPr="008805FE" w:rsidRDefault="008805FE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1311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18578F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3071A4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63F46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4C1BBA" w:rsidRPr="008805FE" w:rsidRDefault="004C1BBA" w:rsidP="00DA6F0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56B28" w:rsidRPr="008805FE" w:rsidRDefault="00B56B28" w:rsidP="00DA6F0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E23E9" w:rsidRPr="008805FE" w:rsidRDefault="003E23E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9C35ED" w:rsidRPr="008805FE" w:rsidRDefault="008805FE" w:rsidP="009C35ED">
      <w:pPr>
        <w:jc w:val="center"/>
        <w:rPr>
          <w:rFonts w:ascii="Times New Roman" w:hAnsi="Times New Roman" w:cs="Times New Roman"/>
          <w:bCs/>
          <w:noProof/>
          <w:sz w:val="24"/>
          <w:lang w:val="sr-Latn-CS"/>
        </w:rPr>
      </w:pPr>
      <w:r>
        <w:rPr>
          <w:bCs/>
          <w:noProof/>
          <w:lang w:val="sr-Latn-CS"/>
        </w:rPr>
        <w:lastRenderedPageBreak/>
        <w:t>OBRAZLOŽENJE</w:t>
      </w:r>
    </w:p>
    <w:p w:rsidR="009C35ED" w:rsidRPr="008805FE" w:rsidRDefault="009C35ED" w:rsidP="009C35ED">
      <w:pPr>
        <w:rPr>
          <w:noProof/>
          <w:lang w:val="sr-Latn-CS"/>
        </w:rPr>
      </w:pPr>
    </w:p>
    <w:p w:rsidR="009C35ED" w:rsidRPr="008805FE" w:rsidRDefault="009C35ED" w:rsidP="009C35ED">
      <w:pPr>
        <w:ind w:firstLine="708"/>
        <w:rPr>
          <w:noProof/>
          <w:lang w:val="sr-Latn-CS"/>
        </w:rPr>
      </w:pPr>
      <w:r w:rsidRPr="008805FE">
        <w:rPr>
          <w:noProof/>
          <w:lang w:val="sr-Latn-CS"/>
        </w:rPr>
        <w:t xml:space="preserve">I. </w:t>
      </w:r>
      <w:r w:rsidR="008805FE">
        <w:rPr>
          <w:noProof/>
          <w:lang w:val="sr-Latn-CS"/>
        </w:rPr>
        <w:t>USTAVNI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9C35ED" w:rsidRPr="008805FE">
        <w:rPr>
          <w:noProof/>
          <w:lang w:val="sr-Latn-CS"/>
        </w:rPr>
        <w:t xml:space="preserve"> 97. </w:t>
      </w:r>
      <w:r>
        <w:rPr>
          <w:noProof/>
          <w:lang w:val="sr-Latn-CS"/>
        </w:rPr>
        <w:t>tačka</w:t>
      </w:r>
      <w:r w:rsidR="009C35ED" w:rsidRPr="008805FE">
        <w:rPr>
          <w:noProof/>
          <w:lang w:val="sr-Latn-CS"/>
        </w:rPr>
        <w:t xml:space="preserve"> 17. </w:t>
      </w:r>
      <w:r>
        <w:rPr>
          <w:noProof/>
          <w:lang w:val="sr-Latn-CS"/>
        </w:rPr>
        <w:t>Ustava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druge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interesa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Ustavom</w:t>
      </w:r>
      <w:r w:rsidR="009C35ED" w:rsidRPr="008805FE">
        <w:rPr>
          <w:noProof/>
          <w:lang w:val="sr-Latn-CS"/>
        </w:rPr>
        <w:t xml:space="preserve">. </w:t>
      </w:r>
    </w:p>
    <w:p w:rsidR="009C35ED" w:rsidRPr="008805FE" w:rsidRDefault="009C35ED" w:rsidP="009C35ED">
      <w:pPr>
        <w:jc w:val="center"/>
        <w:rPr>
          <w:noProof/>
          <w:lang w:val="sr-Latn-CS"/>
        </w:rPr>
      </w:pPr>
    </w:p>
    <w:p w:rsidR="009C35ED" w:rsidRPr="008805FE" w:rsidRDefault="009C35ED" w:rsidP="009C35ED">
      <w:pPr>
        <w:ind w:firstLine="708"/>
        <w:rPr>
          <w:noProof/>
          <w:lang w:val="sr-Latn-CS"/>
        </w:rPr>
      </w:pPr>
      <w:r w:rsidRPr="008805FE">
        <w:rPr>
          <w:noProof/>
          <w:lang w:val="sr-Latn-CS"/>
        </w:rPr>
        <w:t xml:space="preserve">II. </w:t>
      </w:r>
      <w:r w:rsidR="008805FE">
        <w:rPr>
          <w:noProof/>
          <w:lang w:val="sr-Latn-CS"/>
        </w:rPr>
        <w:t>RAZLOZI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</w:p>
    <w:p w:rsidR="009C35ED" w:rsidRPr="008805FE" w:rsidRDefault="009C35ED" w:rsidP="009C35ED">
      <w:pPr>
        <w:jc w:val="center"/>
        <w:rPr>
          <w:noProof/>
          <w:lang w:val="sr-Latn-CS"/>
        </w:rPr>
      </w:pPr>
      <w:r w:rsidRPr="008805FE">
        <w:rPr>
          <w:noProof/>
          <w:lang w:val="sr-Latn-CS"/>
        </w:rPr>
        <w:t xml:space="preserve"> 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ab/>
      </w: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Kao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punopravna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OUN</w:t>
      </w:r>
      <w:r w:rsidR="009C35ED" w:rsidRPr="008805FE">
        <w:rPr>
          <w:noProof/>
          <w:lang w:val="sr-Latn-CS"/>
        </w:rPr>
        <w:t xml:space="preserve">)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usaglasi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svoju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ratifikovanim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konvencijama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).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Glave</w:t>
      </w:r>
      <w:r w:rsidR="009C35ED" w:rsidRPr="008805FE">
        <w:rPr>
          <w:noProof/>
          <w:lang w:val="sr-Latn-CS"/>
        </w:rPr>
        <w:t xml:space="preserve"> VII. </w:t>
      </w:r>
      <w:r>
        <w:rPr>
          <w:noProof/>
          <w:lang w:val="sr-Latn-CS"/>
        </w:rPr>
        <w:t>Povelje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države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preduzimaju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svojih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ovlašćenja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donosi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Savet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).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doneo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niz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represivnih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terorista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terorističkih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njihovih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finansijera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dovode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uzdržavaju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pružanja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kakve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podrške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nedržavnim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akterima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pokušavaju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razviju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pribave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proizvode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poseduju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transportuju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prenose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nuklearno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hemijsko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biološko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prenošenje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usvoje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zabranjuje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nedržavnim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akterima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proizvode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pribavljaju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poseduju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razvijaju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prenose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transportuju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prevoze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nuklearno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hemijsko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biološko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prenošenje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posebno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svrhu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jedna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preduzmu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delotvorne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unutrašnje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prenošenje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uključujući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uspostavljanje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adekvatne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materijalima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evidentiranje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sigurnosti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graničnu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policijsku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nacionalnu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izvozom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transferom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Rezolucije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propisuju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1540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1673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1810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1977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precizirane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uništavanje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1673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učvršćuje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uključivanja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1810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podstiče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regionalne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subregionalne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informišu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Komitet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formiran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Rezolucije</w:t>
      </w:r>
      <w:r w:rsidR="009C35ED" w:rsidRPr="008805FE">
        <w:rPr>
          <w:noProof/>
          <w:lang w:val="sr-Latn-CS"/>
        </w:rPr>
        <w:t xml:space="preserve"> 1540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pruže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kontaktne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tačke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pomoć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upućuje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poziv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pripreme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akcioni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izlaže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prioritete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planove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ključnih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odredaba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Rezolucije</w:t>
      </w:r>
      <w:r w:rsidR="009C35ED" w:rsidRPr="008805FE">
        <w:rPr>
          <w:noProof/>
          <w:lang w:val="sr-Latn-CS"/>
        </w:rPr>
        <w:t xml:space="preserve"> 1540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1977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produžuje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Komiteta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sledećih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deset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godina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učvršćuje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proliferacije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njihov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prenos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Konkretne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države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DNR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Koreje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Irana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Rezoluciji</w:t>
      </w:r>
      <w:r w:rsidR="009C35ED" w:rsidRPr="008805FE">
        <w:rPr>
          <w:noProof/>
          <w:lang w:val="sr-Latn-CS"/>
        </w:rPr>
        <w:t xml:space="preserve"> 1718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Rezoliciji</w:t>
      </w:r>
      <w:r w:rsidR="009C35ED" w:rsidRPr="008805FE">
        <w:rPr>
          <w:noProof/>
          <w:lang w:val="sr-Latn-CS"/>
        </w:rPr>
        <w:t xml:space="preserve"> 2231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uvode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promet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naoružanjem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zabrana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putovanja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dovode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nuklearnim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programom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DNR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Koreji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odnosno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poziva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doslednu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Zajedničkog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akcionog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plana</w:t>
      </w:r>
      <w:r w:rsidR="009C35ED" w:rsidRPr="008805FE">
        <w:rPr>
          <w:noProof/>
          <w:lang w:val="sr-Latn-CS"/>
        </w:rPr>
        <w:t xml:space="preserve"> (JCPOA-Joint Comprehensive Plan of Action)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definisale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članice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SB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Visoki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predstavnik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spoljnu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Islamska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Iran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Jedna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obaveza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proizilazi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Savetu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Evrope</w:t>
      </w:r>
      <w:r w:rsidR="009C35ED" w:rsidRPr="008805F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) 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 </w:t>
      </w:r>
      <w:r>
        <w:rPr>
          <w:noProof/>
          <w:lang w:val="sr-Latn-CS"/>
        </w:rPr>
        <w:t>multilateralno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ocenjivanje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</w:t>
      </w:r>
      <w:r w:rsidR="009C35ED" w:rsidRPr="008805FE">
        <w:rPr>
          <w:noProof/>
          <w:lang w:val="sr-Latn-CS"/>
        </w:rPr>
        <w:t xml:space="preserve">a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tela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bavi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- </w:t>
      </w:r>
      <w:r>
        <w:rPr>
          <w:noProof/>
          <w:lang w:val="sr-Latn-CS"/>
        </w:rPr>
        <w:t>Manival</w:t>
      </w:r>
      <w:r w:rsidR="009C35ED" w:rsidRPr="008805FE">
        <w:rPr>
          <w:noProof/>
          <w:lang w:val="sr-Latn-CS"/>
        </w:rPr>
        <w:t xml:space="preserve"> (MoneyVal).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komitet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Manival</w:t>
      </w:r>
      <w:r w:rsidR="009C35ED" w:rsidRPr="008805FE">
        <w:rPr>
          <w:noProof/>
          <w:lang w:val="sr-Latn-CS"/>
        </w:rPr>
        <w:t xml:space="preserve">  2015. </w:t>
      </w:r>
      <w:r>
        <w:rPr>
          <w:noProof/>
          <w:lang w:val="sr-Latn-CS"/>
        </w:rPr>
        <w:t>godine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sproveo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evaluaciju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prilikom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ocenjeno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postoji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potpuna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neusaglašenost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terorista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dovode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zatraženo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što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hitnije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odgovarajućih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Materija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konstantnom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procenom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institucija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aprilu</w:t>
      </w:r>
      <w:r w:rsidR="009C35ED" w:rsidRPr="008805FE">
        <w:rPr>
          <w:noProof/>
          <w:lang w:val="sr-Latn-CS"/>
        </w:rPr>
        <w:t xml:space="preserve"> 2016. </w:t>
      </w:r>
      <w:r>
        <w:rPr>
          <w:noProof/>
          <w:lang w:val="sr-Latn-CS"/>
        </w:rPr>
        <w:t>godine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komitet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Manival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usvojio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petom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krugu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evaluacije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ocenjena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negativnom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ocenom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ciljanih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potpuno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neusklađena</w:t>
      </w:r>
      <w:r w:rsidR="009C35ED" w:rsidRPr="008805FE">
        <w:rPr>
          <w:noProof/>
          <w:lang w:val="sr-Latn-CS"/>
        </w:rPr>
        <w:t xml:space="preserve">. </w:t>
      </w:r>
    </w:p>
    <w:p w:rsidR="009C35ED" w:rsidRPr="008805FE" w:rsidRDefault="009C35ED" w:rsidP="009C35ED">
      <w:pPr>
        <w:ind w:firstLine="708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svih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ocena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dobijenih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Izveštaju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evaluaciji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između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nedostataka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pogledu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adekvatne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implementacije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relevantnih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međuvladine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FATF</w:t>
      </w:r>
      <w:r w:rsidR="009C35ED" w:rsidRPr="008805FE">
        <w:rPr>
          <w:noProof/>
          <w:lang w:val="sr-Latn-CS"/>
        </w:rPr>
        <w:t xml:space="preserve"> (Financial Action Task Force),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stavljena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pojačani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nadzor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Manivala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Grupe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reviziju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C35ED" w:rsidRPr="008805FE">
        <w:rPr>
          <w:noProof/>
          <w:lang w:val="sr-Latn-CS"/>
        </w:rPr>
        <w:t xml:space="preserve"> (ICRG-International Co-operation Review Group)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FATF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Uočeni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tehnički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nedostaci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neusklađenost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preporukama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FATF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uslovili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lastRenderedPageBreak/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krajem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februara</w:t>
      </w:r>
      <w:r w:rsidR="009C35ED" w:rsidRPr="008805FE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bude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stavljena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tzv</w:t>
      </w:r>
      <w:r w:rsidR="009C35ED" w:rsidRPr="008805FE">
        <w:rPr>
          <w:noProof/>
          <w:lang w:val="sr-Latn-CS"/>
        </w:rPr>
        <w:t>. „</w:t>
      </w:r>
      <w:r>
        <w:rPr>
          <w:noProof/>
          <w:lang w:val="sr-Latn-CS"/>
        </w:rPr>
        <w:t>sivu</w:t>
      </w:r>
      <w:r w:rsidR="009C35ED" w:rsidRPr="008805FE">
        <w:rPr>
          <w:noProof/>
          <w:lang w:val="sr-Latn-CS"/>
        </w:rPr>
        <w:t xml:space="preserve">” </w:t>
      </w:r>
      <w:r>
        <w:rPr>
          <w:noProof/>
          <w:lang w:val="sr-Latn-CS"/>
        </w:rPr>
        <w:t>listu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pomenute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Imajući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nedostatak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ciljanih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sankcija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odlaganja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potrebno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hitno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dopuna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ograničavanju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color w:val="FF0000"/>
          <w:lang w:val="sr-Latn-CS"/>
        </w:rPr>
      </w:pPr>
      <w:r>
        <w:rPr>
          <w:noProof/>
          <w:lang w:val="sr-Latn-CS"/>
        </w:rPr>
        <w:t>Ciljevi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postići</w:t>
      </w:r>
      <w:r w:rsidR="009C35ED" w:rsidRPr="008805FE">
        <w:rPr>
          <w:noProof/>
          <w:lang w:val="sr-Latn-CS"/>
        </w:rPr>
        <w:t>?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Osnovni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unapređenje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borbe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ustanovljavanjem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preventivnih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represivnih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prethodne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faze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vršenju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terorističkih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ab/>
      </w:r>
      <w:r w:rsidR="008805FE">
        <w:rPr>
          <w:noProof/>
          <w:lang w:val="sr-Latn-CS"/>
        </w:rPr>
        <w:t>Međunarodne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standarde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oblasti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sprečavanja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novca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terorizma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propisuje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FATF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donela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dokument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nazivom</w:t>
      </w:r>
      <w:r w:rsidRPr="008805FE">
        <w:rPr>
          <w:noProof/>
          <w:lang w:val="sr-Latn-CS"/>
        </w:rPr>
        <w:t xml:space="preserve"> „</w:t>
      </w:r>
      <w:r w:rsidR="008805FE">
        <w:rPr>
          <w:noProof/>
          <w:lang w:val="sr-Latn-CS"/>
        </w:rPr>
        <w:t>FATF</w:t>
      </w:r>
      <w:r w:rsidRPr="008805FE">
        <w:rPr>
          <w:noProof/>
          <w:lang w:val="sr-Latn-CS"/>
        </w:rPr>
        <w:t xml:space="preserve"> 40 </w:t>
      </w:r>
      <w:r w:rsidR="008805FE">
        <w:rPr>
          <w:noProof/>
          <w:lang w:val="sr-Latn-CS"/>
        </w:rPr>
        <w:t>preporuka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protiv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novca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terorizma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širenja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 xml:space="preserve">”, </w:t>
      </w:r>
      <w:r w:rsidR="008805FE">
        <w:rPr>
          <w:noProof/>
          <w:lang w:val="sr-Latn-CS"/>
        </w:rPr>
        <w:t>koji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predstavlja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standard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ovoj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oblasti</w:t>
      </w:r>
      <w:r w:rsidRPr="008805FE">
        <w:rPr>
          <w:noProof/>
          <w:lang w:val="sr-Latn-CS"/>
        </w:rPr>
        <w:t xml:space="preserve">. </w:t>
      </w:r>
      <w:r w:rsidR="008805FE">
        <w:rPr>
          <w:noProof/>
          <w:lang w:val="sr-Latn-CS"/>
        </w:rPr>
        <w:t>Ujedno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dokument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kome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počiva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svih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međunarodnih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organizacija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bave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sprečavanjem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novca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terorizma</w:t>
      </w:r>
      <w:r w:rsidRPr="008805FE">
        <w:rPr>
          <w:noProof/>
          <w:lang w:val="sr-Latn-CS"/>
        </w:rPr>
        <w:t xml:space="preserve">. </w:t>
      </w:r>
      <w:r w:rsidR="008805FE">
        <w:rPr>
          <w:noProof/>
          <w:lang w:val="sr-Latn-CS"/>
        </w:rPr>
        <w:t>Predlog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dopuna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usaglašen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standardima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iz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preporuka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Uprava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2003. </w:t>
      </w:r>
      <w:r>
        <w:rPr>
          <w:noProof/>
          <w:lang w:val="sr-Latn-CS"/>
        </w:rPr>
        <w:t>godine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primljena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punopravno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Egmont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grupe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finansijskoobaveštajnih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službi</w:t>
      </w:r>
      <w:r w:rsidR="009C35ED" w:rsidRPr="008805FE">
        <w:rPr>
          <w:noProof/>
          <w:lang w:val="sr-Latn-CS"/>
        </w:rPr>
        <w:t xml:space="preserve"> (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daljem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tekstu</w:t>
      </w:r>
      <w:r w:rsidR="009C35ED" w:rsidRPr="008805FE">
        <w:rPr>
          <w:noProof/>
          <w:lang w:val="sr-Latn-CS"/>
        </w:rPr>
        <w:t xml:space="preserve">: </w:t>
      </w:r>
      <w:r>
        <w:rPr>
          <w:noProof/>
          <w:lang w:val="sr-Latn-CS"/>
        </w:rPr>
        <w:t>FOS</w:t>
      </w:r>
      <w:r w:rsidR="009C35ED" w:rsidRPr="008805FE">
        <w:rPr>
          <w:noProof/>
          <w:lang w:val="sr-Latn-CS"/>
        </w:rPr>
        <w:t xml:space="preserve">), </w:t>
      </w:r>
      <w:r>
        <w:rPr>
          <w:noProof/>
          <w:lang w:val="sr-Latn-CS"/>
        </w:rPr>
        <w:t>čiji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podizanje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nivoa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FOS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razmena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finansijskoobaveštajnih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podataka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odnose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Članstvo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ovoj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podrazumeva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brzo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standardima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naročito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Zadržavanje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punopravnog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članstva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Egmont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grupi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značajno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imajući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novca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finansiranje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najvećoj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krivična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inostranosti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borba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njih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nacionalnom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planu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teško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može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zamisliti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bez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zavisi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usvajanja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zakonodavstva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obuhvatiti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preventivne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protiv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mogućnost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razmenjuje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stranim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službama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vrste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color w:val="FF0000"/>
          <w:lang w:val="sr-Latn-CS"/>
        </w:rPr>
      </w:pP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ind w:firstLine="720"/>
        <w:jc w:val="center"/>
        <w:rPr>
          <w:noProof/>
          <w:lang w:val="sr-Latn-CS"/>
        </w:rPr>
      </w:pPr>
      <w:r w:rsidRPr="008805FE">
        <w:rPr>
          <w:noProof/>
          <w:lang w:val="sr-Latn-CS"/>
        </w:rPr>
        <w:lastRenderedPageBreak/>
        <w:t xml:space="preserve">III. </w:t>
      </w:r>
      <w:r w:rsidR="008805FE">
        <w:rPr>
          <w:noProof/>
          <w:lang w:val="sr-Latn-CS"/>
        </w:rPr>
        <w:t>OBJAŠNJENJE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INSTITUTA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POJEDINAČNIH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REŠENJA</w:t>
      </w:r>
    </w:p>
    <w:p w:rsidR="009C35ED" w:rsidRPr="008805FE" w:rsidRDefault="009C35ED" w:rsidP="009C35ED">
      <w:pPr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9C35ED" w:rsidRPr="008805FE">
        <w:rPr>
          <w:noProof/>
          <w:lang w:val="sr-Latn-CS"/>
        </w:rPr>
        <w:t xml:space="preserve"> 1. </w:t>
      </w:r>
      <w:r>
        <w:rPr>
          <w:noProof/>
          <w:lang w:val="sr-Latn-CS"/>
        </w:rPr>
        <w:t>Predloga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naslov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proširuje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9C35ED" w:rsidRPr="008805FE">
        <w:rPr>
          <w:noProof/>
          <w:lang w:val="sr-Latn-CS"/>
        </w:rPr>
        <w:t xml:space="preserve"> 2. </w:t>
      </w:r>
      <w:r>
        <w:rPr>
          <w:noProof/>
          <w:lang w:val="sr-Latn-CS"/>
        </w:rPr>
        <w:t>Predloga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 </w:t>
      </w:r>
      <w:r>
        <w:rPr>
          <w:noProof/>
          <w:lang w:val="sr-Latn-CS"/>
        </w:rPr>
        <w:t>dodaju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pojmovi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neophodni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proširuje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. 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C35ED" w:rsidRPr="008805FE">
        <w:rPr>
          <w:noProof/>
          <w:lang w:val="sr-Latn-CS"/>
        </w:rPr>
        <w:t xml:space="preserve"> 3. </w:t>
      </w:r>
      <w:r>
        <w:rPr>
          <w:noProof/>
          <w:lang w:val="sr-Latn-CS"/>
        </w:rPr>
        <w:t>Predloga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 </w:t>
      </w:r>
      <w:r>
        <w:rPr>
          <w:noProof/>
          <w:lang w:val="sr-Latn-CS"/>
        </w:rPr>
        <w:t>proširuje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definiciju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označenog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smislu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isto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dovodi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zbog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čega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stavljeno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posebne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liste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sastavljene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rezolucija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Saveta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bezbednosti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Ujedinjenih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akata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čiji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Takođe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definiše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nekoliko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kategorija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fizičkih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pravna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označenim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postupaju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nalogu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označenih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kontrolisana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označenih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. </w:t>
      </w:r>
      <w:r>
        <w:rPr>
          <w:noProof/>
          <w:lang w:val="sr-Latn-CS"/>
        </w:rPr>
        <w:t>Pored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navedenog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ovim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Predloga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bliže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određuju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pojam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oblici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>.</w:t>
      </w:r>
    </w:p>
    <w:p w:rsidR="009C35ED" w:rsidRPr="008805FE" w:rsidRDefault="008805FE" w:rsidP="009C35ED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</w:t>
      </w:r>
      <w:r w:rsidR="009C35ED" w:rsidRPr="008805FE">
        <w:rPr>
          <w:noProof/>
          <w:lang w:val="sr-Latn-CS"/>
        </w:rPr>
        <w:t xml:space="preserve">. 4.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5. </w:t>
      </w:r>
      <w:r>
        <w:rPr>
          <w:noProof/>
          <w:lang w:val="sr-Latn-CS"/>
        </w:rPr>
        <w:t>Predloga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 </w:t>
      </w:r>
      <w:r>
        <w:rPr>
          <w:noProof/>
          <w:lang w:val="sr-Latn-CS"/>
        </w:rPr>
        <w:t>dodaju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reči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oblast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proširuje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dovode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vezu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lang w:val="sr-Latn-CS"/>
        </w:rPr>
        <w:t>.</w:t>
      </w: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Završnim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odredbama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regulisane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</w:t>
      </w:r>
      <w:r w:rsidR="009C35ED" w:rsidRPr="008805FE">
        <w:rPr>
          <w:noProof/>
          <w:color w:val="000000"/>
          <w:lang w:val="sr-Latn-CS"/>
        </w:rPr>
        <w:t xml:space="preserve">. 6.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7. </w:t>
      </w:r>
      <w:r>
        <w:rPr>
          <w:noProof/>
          <w:color w:val="000000"/>
          <w:lang w:val="sr-Latn-CS"/>
        </w:rPr>
        <w:t>Predloga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tri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meseca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nadležan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poslove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treba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uskladi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propise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donete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9C35ED" w:rsidRPr="008805FE">
        <w:rPr>
          <w:noProof/>
          <w:lang w:val="sr-Latn-CS"/>
        </w:rPr>
        <w:t xml:space="preserve"> 8. </w:t>
      </w:r>
      <w:r>
        <w:rPr>
          <w:noProof/>
          <w:lang w:val="sr-Latn-CS"/>
        </w:rPr>
        <w:t>stav</w:t>
      </w:r>
      <w:r w:rsidR="009C35ED" w:rsidRPr="008805FE">
        <w:rPr>
          <w:noProof/>
          <w:lang w:val="sr-Latn-CS"/>
        </w:rPr>
        <w:t xml:space="preserve"> 10.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9C35ED" w:rsidRPr="008805FE">
        <w:rPr>
          <w:noProof/>
          <w:lang w:val="sr-Latn-CS"/>
        </w:rPr>
        <w:t xml:space="preserve"> 9. </w:t>
      </w:r>
      <w:r>
        <w:rPr>
          <w:noProof/>
          <w:lang w:val="sr-Latn-CS"/>
        </w:rPr>
        <w:t>stav</w:t>
      </w:r>
      <w:r w:rsidR="009C35ED" w:rsidRPr="008805FE">
        <w:rPr>
          <w:noProof/>
          <w:lang w:val="sr-Latn-CS"/>
        </w:rPr>
        <w:t xml:space="preserve"> 6.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ograničavanju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9C35ED" w:rsidRPr="008805FE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9C35ED" w:rsidRPr="008805FE">
        <w:rPr>
          <w:noProof/>
          <w:lang w:val="sr-Latn-CS"/>
        </w:rPr>
        <w:t xml:space="preserve">. 29/15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113/17) </w:t>
      </w:r>
      <w:r>
        <w:rPr>
          <w:noProof/>
          <w:lang w:val="sr-Latn-CS"/>
        </w:rPr>
        <w:t>sa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9C35ED" w:rsidRPr="008805FE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rok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osam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kojem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nakon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9C35ED" w:rsidRPr="008805FE">
        <w:rPr>
          <w:noProof/>
          <w:lang w:val="sr-Latn-CS"/>
        </w:rPr>
        <w:t>”.</w:t>
      </w:r>
    </w:p>
    <w:p w:rsidR="009C35ED" w:rsidRPr="008805FE" w:rsidRDefault="009C35ED" w:rsidP="009C35ED">
      <w:pPr>
        <w:jc w:val="both"/>
        <w:rPr>
          <w:noProof/>
          <w:color w:val="000000"/>
          <w:lang w:val="sr-Latn-CS"/>
        </w:rPr>
      </w:pPr>
    </w:p>
    <w:p w:rsidR="009C35ED" w:rsidRPr="008805FE" w:rsidRDefault="009C35ED" w:rsidP="009C35ED">
      <w:pPr>
        <w:ind w:firstLine="708"/>
        <w:jc w:val="center"/>
        <w:rPr>
          <w:noProof/>
          <w:lang w:val="sr-Latn-CS"/>
        </w:rPr>
      </w:pPr>
      <w:r w:rsidRPr="008805FE">
        <w:rPr>
          <w:noProof/>
          <w:lang w:val="sr-Latn-CS"/>
        </w:rPr>
        <w:t xml:space="preserve">IV. </w:t>
      </w:r>
      <w:r w:rsidR="008805FE">
        <w:rPr>
          <w:noProof/>
          <w:lang w:val="sr-Latn-CS"/>
        </w:rPr>
        <w:t>FINANSIJSKA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SREDSTVA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POTREBNA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SPROVOĐENJE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 xml:space="preserve"> </w:t>
      </w:r>
    </w:p>
    <w:p w:rsidR="009C35ED" w:rsidRPr="008805FE" w:rsidRDefault="009C35ED" w:rsidP="009C35ED">
      <w:pPr>
        <w:jc w:val="both"/>
        <w:rPr>
          <w:bCs/>
          <w:noProof/>
          <w:lang w:val="sr-Latn-CS"/>
        </w:rPr>
      </w:pPr>
      <w:r w:rsidRPr="008805FE">
        <w:rPr>
          <w:noProof/>
          <w:lang w:val="sr-Latn-CS"/>
        </w:rPr>
        <w:tab/>
      </w:r>
      <w:r w:rsidR="008805FE">
        <w:rPr>
          <w:bCs/>
          <w:noProof/>
          <w:lang w:val="sr-Latn-CS"/>
        </w:rPr>
        <w:t>Predlog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zakona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ne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predviđa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obrazovanje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novih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organa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već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korišćenje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postojećih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resursa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kod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nadležnih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državnih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organa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za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primenu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ovog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zakona</w:t>
      </w:r>
      <w:r w:rsidRPr="008805FE">
        <w:rPr>
          <w:bCs/>
          <w:noProof/>
          <w:lang w:val="sr-Latn-CS"/>
        </w:rPr>
        <w:t xml:space="preserve">. </w:t>
      </w:r>
      <w:r w:rsidR="008805FE">
        <w:rPr>
          <w:bCs/>
          <w:noProof/>
          <w:lang w:val="sr-Latn-CS"/>
        </w:rPr>
        <w:t>Stoga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se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ne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očekuje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dodatno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izdvajanje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sredstava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iz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budžeta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Republike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Srbije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za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njegovu</w:t>
      </w:r>
      <w:r w:rsidRPr="008805FE">
        <w:rPr>
          <w:bCs/>
          <w:noProof/>
          <w:lang w:val="sr-Latn-CS"/>
        </w:rPr>
        <w:t xml:space="preserve"> </w:t>
      </w:r>
      <w:r w:rsidR="008805FE">
        <w:rPr>
          <w:bCs/>
          <w:noProof/>
          <w:lang w:val="sr-Latn-CS"/>
        </w:rPr>
        <w:t>primenu</w:t>
      </w:r>
      <w:r w:rsidRPr="008805FE">
        <w:rPr>
          <w:bCs/>
          <w:noProof/>
          <w:lang w:val="sr-Latn-CS"/>
        </w:rPr>
        <w:t>.</w:t>
      </w:r>
    </w:p>
    <w:p w:rsidR="009C35ED" w:rsidRPr="008805FE" w:rsidRDefault="009C35ED" w:rsidP="009C35ED">
      <w:pPr>
        <w:jc w:val="both"/>
        <w:rPr>
          <w:bCs/>
          <w:noProof/>
          <w:lang w:val="sr-Latn-CS"/>
        </w:rPr>
      </w:pPr>
    </w:p>
    <w:p w:rsidR="009C35ED" w:rsidRPr="008805FE" w:rsidRDefault="009C35ED" w:rsidP="009C35ED">
      <w:pPr>
        <w:jc w:val="both"/>
        <w:rPr>
          <w:bCs/>
          <w:noProof/>
          <w:lang w:val="sr-Latn-CS"/>
        </w:rPr>
      </w:pPr>
    </w:p>
    <w:p w:rsidR="009C35ED" w:rsidRPr="008805FE" w:rsidRDefault="009C35ED" w:rsidP="009C35ED">
      <w:pPr>
        <w:jc w:val="both"/>
        <w:rPr>
          <w:bCs/>
          <w:noProof/>
          <w:lang w:val="sr-Latn-CS"/>
        </w:rPr>
      </w:pPr>
    </w:p>
    <w:p w:rsidR="009C35ED" w:rsidRPr="008805FE" w:rsidRDefault="009C35ED" w:rsidP="009C35ED">
      <w:pPr>
        <w:jc w:val="center"/>
        <w:rPr>
          <w:noProof/>
          <w:lang w:val="sr-Latn-CS"/>
        </w:rPr>
      </w:pPr>
      <w:r w:rsidRPr="008805FE">
        <w:rPr>
          <w:noProof/>
          <w:lang w:val="sr-Latn-CS"/>
        </w:rPr>
        <w:t xml:space="preserve">V. </w:t>
      </w:r>
      <w:r w:rsidR="008805FE">
        <w:rPr>
          <w:noProof/>
          <w:lang w:val="sr-Latn-CS"/>
        </w:rPr>
        <w:t>RAZLOZI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HITNOM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POSTUPKU</w:t>
      </w:r>
    </w:p>
    <w:p w:rsidR="009C35ED" w:rsidRPr="008805FE" w:rsidRDefault="009C35ED" w:rsidP="009C35ED">
      <w:pPr>
        <w:jc w:val="center"/>
        <w:rPr>
          <w:noProof/>
          <w:lang w:val="sr-Latn-CS"/>
        </w:rPr>
      </w:pPr>
    </w:p>
    <w:p w:rsidR="009C35ED" w:rsidRPr="008805FE" w:rsidRDefault="009C35ED" w:rsidP="009C35ED">
      <w:pPr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ab/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hitnom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postupku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predlaže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skladu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članom</w:t>
      </w:r>
      <w:r w:rsidRPr="008805FE">
        <w:rPr>
          <w:noProof/>
          <w:lang w:val="sr-Latn-CS"/>
        </w:rPr>
        <w:t xml:space="preserve"> 167. </w:t>
      </w:r>
      <w:r w:rsidR="008805FE">
        <w:rPr>
          <w:noProof/>
          <w:lang w:val="sr-Latn-CS"/>
        </w:rPr>
        <w:t>Poslovnika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Narodne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skupštine</w:t>
      </w:r>
      <w:r w:rsidRPr="008805FE">
        <w:rPr>
          <w:noProof/>
          <w:lang w:val="sr-Latn-CS"/>
        </w:rPr>
        <w:t xml:space="preserve"> („</w:t>
      </w:r>
      <w:r w:rsidR="008805FE">
        <w:rPr>
          <w:noProof/>
          <w:lang w:val="sr-Latn-CS"/>
        </w:rPr>
        <w:t>Službeni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glasnik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RS</w:t>
      </w:r>
      <w:r w:rsidRPr="008805FE">
        <w:rPr>
          <w:noProof/>
          <w:lang w:val="sr-Latn-CS"/>
        </w:rPr>
        <w:t xml:space="preserve">”, </w:t>
      </w:r>
      <w:r w:rsidR="008805FE">
        <w:rPr>
          <w:noProof/>
          <w:lang w:val="sr-Latn-CS"/>
        </w:rPr>
        <w:t>broj</w:t>
      </w:r>
      <w:r w:rsidRPr="008805FE">
        <w:rPr>
          <w:noProof/>
          <w:lang w:val="sr-Latn-CS"/>
        </w:rPr>
        <w:t xml:space="preserve"> 20/12 – </w:t>
      </w:r>
      <w:r w:rsidR="008805FE">
        <w:rPr>
          <w:noProof/>
          <w:lang w:val="sr-Latn-CS"/>
        </w:rPr>
        <w:t>prečišćen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tekst</w:t>
      </w:r>
      <w:r w:rsidRPr="008805FE">
        <w:rPr>
          <w:noProof/>
          <w:lang w:val="sr-Latn-CS"/>
        </w:rPr>
        <w:t xml:space="preserve">). </w:t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dopuna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hitnom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postupku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predlaže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obzirom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njegovim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donošenjem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ispunjavaju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međunarodne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obaveze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usklađuju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propisi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propisima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Evropske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unije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jc w:val="center"/>
        <w:rPr>
          <w:noProof/>
          <w:lang w:val="sr-Latn-CS"/>
        </w:rPr>
      </w:pPr>
    </w:p>
    <w:p w:rsidR="009C35ED" w:rsidRPr="008805FE" w:rsidRDefault="009C35ED" w:rsidP="009C35ED">
      <w:pPr>
        <w:jc w:val="center"/>
        <w:rPr>
          <w:noProof/>
          <w:lang w:val="sr-Latn-CS"/>
        </w:rPr>
      </w:pPr>
      <w:r w:rsidRPr="008805FE">
        <w:rPr>
          <w:noProof/>
          <w:lang w:val="sr-Latn-CS"/>
        </w:rPr>
        <w:t xml:space="preserve">VI. </w:t>
      </w:r>
      <w:r w:rsidR="008805FE">
        <w:rPr>
          <w:noProof/>
          <w:lang w:val="sr-Latn-CS"/>
        </w:rPr>
        <w:t>PREGLED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ODREDABA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OGRANIČAVANJU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RASPOLAGANJA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IMOVINOM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CILJU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FINANSIRANJA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TERORIZMA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DOPUNJUJU</w:t>
      </w:r>
    </w:p>
    <w:p w:rsidR="009C35ED" w:rsidRPr="008805FE" w:rsidRDefault="009C35ED" w:rsidP="009C35ED">
      <w:pPr>
        <w:jc w:val="center"/>
        <w:rPr>
          <w:noProof/>
          <w:lang w:val="sr-Latn-CS"/>
        </w:rPr>
      </w:pPr>
    </w:p>
    <w:p w:rsidR="009C35ED" w:rsidRPr="008805FE" w:rsidRDefault="009C35ED" w:rsidP="009C35ED">
      <w:pPr>
        <w:jc w:val="center"/>
        <w:rPr>
          <w:bCs/>
          <w:noProof/>
          <w:lang w:val="sr-Latn-CS"/>
        </w:rPr>
      </w:pPr>
    </w:p>
    <w:p w:rsidR="009C35ED" w:rsidRPr="008805FE" w:rsidRDefault="008805FE" w:rsidP="009C35ED">
      <w:pPr>
        <w:ind w:firstLine="708"/>
        <w:jc w:val="both"/>
        <w:rPr>
          <w:noProof/>
          <w:lang w:val="sr-Latn-CS"/>
        </w:rPr>
      </w:pPr>
      <w:r>
        <w:rPr>
          <w:noProof/>
          <w:lang w:val="sr-Latn-CS"/>
        </w:rPr>
        <w:t>Zakon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ograničavanju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raspolaganja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imovinom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8805FE" w:rsidP="009C35ED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Predmet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</w:p>
    <w:p w:rsidR="009C35ED" w:rsidRPr="008805FE" w:rsidRDefault="008805FE" w:rsidP="009C35ED">
      <w:pPr>
        <w:spacing w:after="120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 1.</w:t>
      </w:r>
    </w:p>
    <w:p w:rsidR="009C35ED" w:rsidRPr="008805FE" w:rsidRDefault="008805FE" w:rsidP="009C35ED">
      <w:pPr>
        <w:spacing w:after="12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Ovim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SPREČAVANJA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TERORIZMA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ŠIRENJA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ORUŽJA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MASOVNO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mere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nadležnosti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mera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obaveze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fizičkih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odredaba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20"/>
        <w:jc w:val="both"/>
        <w:rPr>
          <w:noProof/>
          <w:color w:val="000000"/>
          <w:lang w:val="sr-Latn-CS"/>
        </w:rPr>
      </w:pPr>
    </w:p>
    <w:p w:rsidR="009C35ED" w:rsidRPr="008805FE" w:rsidRDefault="008805FE" w:rsidP="009C35ED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Značenje</w:t>
      </w:r>
      <w:r w:rsidR="009C35ED" w:rsidRPr="008805FE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pojmova</w:t>
      </w:r>
    </w:p>
    <w:p w:rsidR="009C35ED" w:rsidRPr="008805FE" w:rsidRDefault="008805FE" w:rsidP="009C35ED">
      <w:pPr>
        <w:spacing w:after="120"/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C35ED" w:rsidRPr="008805FE">
        <w:rPr>
          <w:noProof/>
          <w:lang w:val="sr-Latn-CS"/>
        </w:rPr>
        <w:t xml:space="preserve"> 2.</w:t>
      </w:r>
    </w:p>
    <w:p w:rsidR="009C35ED" w:rsidRPr="008805FE" w:rsidRDefault="008805FE" w:rsidP="009C35ED">
      <w:pPr>
        <w:spacing w:after="150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Pojmovi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smislu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imaju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sledeće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značenje</w:t>
      </w:r>
      <w:r w:rsidR="009C35ED"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1) „</w:t>
      </w:r>
      <w:r w:rsidR="008805FE">
        <w:rPr>
          <w:noProof/>
          <w:color w:val="000000"/>
          <w:lang w:val="sr-Latn-CS"/>
        </w:rPr>
        <w:t>Ograničavanje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raspolaganja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imovinom</w:t>
      </w:r>
      <w:r w:rsidRPr="008805FE">
        <w:rPr>
          <w:noProof/>
          <w:color w:val="000000"/>
          <w:lang w:val="sr-Latn-CS"/>
        </w:rPr>
        <w:t xml:space="preserve">” je </w:t>
      </w:r>
      <w:r w:rsidR="008805FE">
        <w:rPr>
          <w:noProof/>
          <w:color w:val="000000"/>
          <w:lang w:val="sr-Latn-CS"/>
        </w:rPr>
        <w:t>privremen</w:t>
      </w:r>
      <w:r w:rsidRPr="008805FE">
        <w:rPr>
          <w:noProof/>
          <w:color w:val="000000"/>
          <w:lang w:val="sr-Latn-CS"/>
        </w:rPr>
        <w:t xml:space="preserve">a </w:t>
      </w:r>
      <w:r w:rsidR="008805FE">
        <w:rPr>
          <w:noProof/>
          <w:color w:val="000000"/>
          <w:lang w:val="sr-Latn-CS"/>
        </w:rPr>
        <w:t>zabran</w:t>
      </w:r>
      <w:r w:rsidRPr="008805FE">
        <w:rPr>
          <w:noProof/>
          <w:color w:val="000000"/>
          <w:lang w:val="sr-Latn-CS"/>
        </w:rPr>
        <w:t xml:space="preserve">a </w:t>
      </w:r>
      <w:r w:rsidR="008805FE">
        <w:rPr>
          <w:noProof/>
          <w:color w:val="000000"/>
          <w:lang w:val="sr-Latn-CS"/>
        </w:rPr>
        <w:t>prenosa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konverzije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raspolaganja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premeštanja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privremeno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upravljanje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tom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imovinom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odluke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nadležnog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organa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 w:rsidRPr="008805FE">
        <w:rPr>
          <w:noProof/>
          <w:color w:val="000000"/>
          <w:lang w:val="sr-Latn-CS"/>
        </w:rPr>
        <w:t>2) „</w:t>
      </w:r>
      <w:r w:rsidR="008805FE">
        <w:rPr>
          <w:noProof/>
          <w:color w:val="000000"/>
          <w:lang w:val="sr-Latn-CS"/>
        </w:rPr>
        <w:t>Imovina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označava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finansijska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sredstva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imovinu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vrste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pokretnu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nepokretnu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materijalnu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nematerijalnu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bez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obzira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kako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stečena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lastRenderedPageBreak/>
        <w:t>isprave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instrumente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kojoj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formi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kojima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dokazuje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svojina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interes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odnosu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takva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sredstva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imovinu</w:t>
      </w:r>
      <w:r w:rsidRPr="008805FE">
        <w:rPr>
          <w:noProof/>
          <w:color w:val="000000"/>
          <w:lang w:val="sr-Latn-CS"/>
        </w:rPr>
        <w:t xml:space="preserve"> (</w:t>
      </w:r>
      <w:r w:rsidR="008805FE">
        <w:rPr>
          <w:noProof/>
          <w:color w:val="000000"/>
          <w:lang w:val="sr-Latn-CS"/>
        </w:rPr>
        <w:t>npr</w:t>
      </w:r>
      <w:r w:rsidRPr="008805FE">
        <w:rPr>
          <w:noProof/>
          <w:color w:val="000000"/>
          <w:lang w:val="sr-Latn-CS"/>
        </w:rPr>
        <w:t xml:space="preserve">. </w:t>
      </w:r>
      <w:r w:rsidR="008805FE">
        <w:rPr>
          <w:noProof/>
          <w:color w:val="000000"/>
          <w:lang w:val="sr-Latn-CS"/>
        </w:rPr>
        <w:t>bankarski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krediti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putnički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bankovni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čekovi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novčane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uputnice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deonice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hartije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od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vrednosti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obveznice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menice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akreditivi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kamata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dividenda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drugi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prihod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naplaćen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nastao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sredstava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</w:t>
      </w:r>
      <w:r w:rsidRPr="008805FE">
        <w:rPr>
          <w:noProof/>
          <w:color w:val="000000"/>
          <w:lang w:val="sr-Latn-CS"/>
        </w:rPr>
        <w:t>).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2</w:t>
      </w:r>
      <w:r w:rsidR="008805FE">
        <w:rPr>
          <w:noProof/>
          <w:color w:val="000000"/>
          <w:lang w:val="sr-Latn-CS"/>
        </w:rPr>
        <w:t>a</w:t>
      </w:r>
      <w:r w:rsidRPr="008805FE">
        <w:rPr>
          <w:noProof/>
          <w:color w:val="000000"/>
          <w:lang w:val="sr-Latn-CS"/>
        </w:rPr>
        <w:t>) „</w:t>
      </w:r>
      <w:r w:rsidR="008805FE">
        <w:rPr>
          <w:noProof/>
          <w:color w:val="000000"/>
          <w:lang w:val="sr-Latn-CS"/>
        </w:rPr>
        <w:t>Imovina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lica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tačke</w:t>
      </w:r>
      <w:r w:rsidRPr="008805FE">
        <w:rPr>
          <w:noProof/>
          <w:color w:val="000000"/>
          <w:lang w:val="sr-Latn-CS"/>
        </w:rPr>
        <w:t xml:space="preserve"> 2) </w:t>
      </w:r>
      <w:r w:rsidR="008805FE">
        <w:rPr>
          <w:noProof/>
          <w:color w:val="000000"/>
          <w:lang w:val="sr-Latn-CS"/>
        </w:rPr>
        <w:t>ovog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člana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nalazi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svojini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kojom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posredno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neposredno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upravlja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 w:rsidRPr="008805FE">
        <w:rPr>
          <w:noProof/>
          <w:color w:val="000000"/>
          <w:lang w:val="sr-Latn-CS"/>
        </w:rPr>
        <w:t>3) „</w:t>
      </w:r>
      <w:r w:rsidR="008805FE">
        <w:rPr>
          <w:noProof/>
          <w:color w:val="000000"/>
          <w:lang w:val="sr-Latn-CS"/>
        </w:rPr>
        <w:t>Označeno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fizičko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pravno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kao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udruženje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registrovano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neregistrovano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stavljeno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listu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terorističkih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finansijera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lang w:val="sr-Latn-CS"/>
        </w:rPr>
        <w:t>KAO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LISTU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DOVODE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VEZU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ŠIRENJEM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POSEBNIM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LISTAMA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: </w:t>
      </w:r>
      <w:r w:rsidR="008805FE">
        <w:rPr>
          <w:noProof/>
          <w:color w:val="000000"/>
          <w:lang w:val="sr-Latn-CS"/>
        </w:rPr>
        <w:t>odgovarajućih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rezolucija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Saveta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bezbednosti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Ujedinjenih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nacija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akata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međunarodnih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čiji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član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predloga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nadležnih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obrazloženog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zahteva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strane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države</w:t>
      </w:r>
      <w:r w:rsidRPr="008805FE">
        <w:rPr>
          <w:noProof/>
          <w:color w:val="000000"/>
          <w:lang w:val="sr-Latn-CS"/>
        </w:rPr>
        <w:t xml:space="preserve">. </w:t>
      </w:r>
      <w:r w:rsidR="008805FE">
        <w:rPr>
          <w:noProof/>
          <w:lang w:val="sr-Latn-CS"/>
        </w:rPr>
        <w:t>POD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POSEBNIM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LISTAMA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PODRAZUMEVAJU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LISTE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REZOLUCIJA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SAVETA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BEZBEDNOSTI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UJEDINJENIH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NACIJA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AKATA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MEĐUNARODNIH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ORGANIZACIJA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ČIJI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DRŽAVA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ČLAN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ODNOSE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FIZIČKA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GRUPE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UDRUŽENJA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VEĆ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POKRETNE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NEPOKRETNE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STVARI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DOVODE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VEZU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ŠIRENJEM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KAO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ŠTO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BRODOVI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AVIONI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DRUGO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 w:rsidRPr="008805FE">
        <w:rPr>
          <w:noProof/>
          <w:lang w:val="sr-Latn-CS"/>
        </w:rPr>
        <w:t>3</w:t>
      </w:r>
      <w:r w:rsidR="008805FE">
        <w:rPr>
          <w:noProof/>
          <w:lang w:val="sr-Latn-CS"/>
        </w:rPr>
        <w:t>A</w:t>
      </w:r>
      <w:r w:rsidRPr="008805FE">
        <w:rPr>
          <w:noProof/>
          <w:lang w:val="sr-Latn-CS"/>
        </w:rPr>
        <w:t xml:space="preserve">) </w:t>
      </w:r>
      <w:r w:rsidR="008805FE">
        <w:rPr>
          <w:noProof/>
          <w:lang w:val="sr-Latn-CS"/>
        </w:rPr>
        <w:t>OZNAČENO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JESTE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SVAKO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FIZIČKO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SMISLU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DOVODI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VEZU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ŠIRENJEM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>3</w:t>
      </w:r>
      <w:r w:rsidR="008805FE">
        <w:rPr>
          <w:noProof/>
          <w:lang w:val="sr-Latn-CS"/>
        </w:rPr>
        <w:t>B</w:t>
      </w:r>
      <w:r w:rsidRPr="008805FE">
        <w:rPr>
          <w:noProof/>
          <w:lang w:val="sr-Latn-CS"/>
        </w:rPr>
        <w:t xml:space="preserve">) </w:t>
      </w:r>
      <w:r w:rsidR="008805FE">
        <w:rPr>
          <w:noProof/>
          <w:lang w:val="sr-Latn-CS"/>
        </w:rPr>
        <w:t>FIZIČKA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VEZI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LICIMA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POSTUPAJU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NALOGU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DRUGI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NAČIN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KONTROLISANA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STRANE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MOGU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BITI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ČLANOVI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UŽE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PORODICE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(</w:t>
      </w:r>
      <w:r w:rsidR="008805FE">
        <w:rPr>
          <w:noProof/>
          <w:lang w:val="sr-Latn-CS"/>
        </w:rPr>
        <w:t>BRAČNI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VANBRAČNI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PARTNER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RODITELJI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BRAĆA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SESTRE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DECA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USVOJENA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DECA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PASTORČAD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NJIHOVI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BRAČNI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VANBRAČNI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PARTNERI</w:t>
      </w:r>
      <w:r w:rsidRPr="008805FE">
        <w:rPr>
          <w:noProof/>
          <w:lang w:val="sr-Latn-CS"/>
        </w:rPr>
        <w:t xml:space="preserve">), </w:t>
      </w:r>
      <w:r w:rsidR="008805FE">
        <w:rPr>
          <w:noProof/>
          <w:lang w:val="sr-Latn-CS"/>
        </w:rPr>
        <w:t>FIZIČKA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POSLOVNE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ODNOSE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LICIMA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POSREDNO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NEPOSREDNO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DOMINANTAN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UTICAJ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VOĐENJE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POSLOVA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DONOŠENJE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ODLUKA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KAO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DRUGA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FIZIČKA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PRAVNA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OZNAČENIM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LICIMA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IMAJU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INTERESNI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ODNOS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4) „</w:t>
      </w:r>
      <w:r w:rsidR="008805FE">
        <w:rPr>
          <w:noProof/>
          <w:color w:val="000000"/>
          <w:lang w:val="sr-Latn-CS"/>
        </w:rPr>
        <w:t>Finansiranje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terorizma</w:t>
      </w:r>
      <w:r w:rsidRPr="008805FE">
        <w:rPr>
          <w:noProof/>
          <w:color w:val="000000"/>
          <w:lang w:val="sr-Latn-CS"/>
        </w:rPr>
        <w:t xml:space="preserve">” je </w:t>
      </w:r>
      <w:r w:rsidR="008805FE">
        <w:rPr>
          <w:noProof/>
          <w:color w:val="000000"/>
          <w:lang w:val="sr-Latn-CS"/>
        </w:rPr>
        <w:t>obezbeđivanje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prikupljanje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imovine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pokušaj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njenog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obezbeđivanja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prikupljanja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nameri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koristi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znanjem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može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korišćena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celini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delimično</w:t>
      </w:r>
      <w:r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za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izvršenje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od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strane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lastRenderedPageBreak/>
        <w:t xml:space="preserve">– </w:t>
      </w:r>
      <w:r w:rsidR="008805FE">
        <w:rPr>
          <w:noProof/>
          <w:color w:val="000000"/>
          <w:lang w:val="sr-Latn-CS"/>
        </w:rPr>
        <w:t>od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strane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organizacija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Finansiranje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podstrekavanje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pomaganje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obezbeđivanju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prikupljanju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bez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obzira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izvršen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korišćena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izvršenje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ind w:firstLine="708"/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>4</w:t>
      </w:r>
      <w:r w:rsidR="008805FE">
        <w:rPr>
          <w:noProof/>
          <w:lang w:val="sr-Latn-CS"/>
        </w:rPr>
        <w:t>A</w:t>
      </w:r>
      <w:r w:rsidRPr="008805FE">
        <w:rPr>
          <w:noProof/>
          <w:lang w:val="sr-Latn-CS"/>
        </w:rPr>
        <w:t xml:space="preserve">) </w:t>
      </w:r>
      <w:r w:rsidR="008805FE">
        <w:rPr>
          <w:noProof/>
          <w:lang w:val="sr-Latn-CS"/>
        </w:rPr>
        <w:t>FINANSIRANJE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ŠIRENJA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ODNOSI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SVE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RADNJE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OBEZBEĐIVANJA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FINANSIJSKIH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SREDSTAVA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RADNJE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PRUŽANJA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FINANSIJSKIH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USLUGA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KOJE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USMERENE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CELOSTI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ILI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DELIMIČNO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RAZVOJ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PROIZVODNJU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STICANJE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POSEDOVANJE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SKLADIŠTENJE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ISPORUKU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PRUŽANJE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BROKERSKIH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USLUGA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PRETOVAR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TRANSPORT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TRANSFER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ORUŽJA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MASOVNO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UNIŠTENJE</w:t>
      </w:r>
      <w:r w:rsidRPr="008805FE">
        <w:rPr>
          <w:noProof/>
          <w:lang w:val="sr-Latn-CS"/>
        </w:rPr>
        <w:t xml:space="preserve">, </w:t>
      </w:r>
      <w:r w:rsidR="008805FE">
        <w:rPr>
          <w:noProof/>
          <w:lang w:val="sr-Latn-CS"/>
        </w:rPr>
        <w:t>KAO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SREDSTAVA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NJEGOVO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PRENOŠENJE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5) „</w:t>
      </w:r>
      <w:r w:rsidR="008805FE">
        <w:rPr>
          <w:noProof/>
          <w:color w:val="000000"/>
          <w:lang w:val="sr-Latn-CS"/>
        </w:rPr>
        <w:t>Teroristički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utvrđeno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protokolima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navedenim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aneksu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uz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Međunarodnu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konvenciju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suzbijanju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finansiranja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terorizma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kao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drugo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čiji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cilj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izazove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smrt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težu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telesnu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povredu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civila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drugog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učestvuje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aktivno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neprijateljstvima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slučaju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oružanog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sukoba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kada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svrha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takvog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njegovoj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prirodi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spletu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okolnosti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povezanih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tim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delom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zastraši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stanovništvo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primora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vladu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neke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neku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međunarodnu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učini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uzdrži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od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činjenja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dela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6) „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samo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drugim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licima</w:t>
      </w:r>
      <w:r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pokuša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učini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način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neposredno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posredno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podstrekava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pomaže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izvršenju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saznanja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nameri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doprinese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izvršenju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pomogne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nastavljanje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vršenja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zajedničkom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svrhom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>7) „</w:t>
      </w:r>
      <w:r w:rsidR="008805FE">
        <w:rPr>
          <w:noProof/>
          <w:color w:val="000000"/>
          <w:lang w:val="sr-Latn-CS"/>
        </w:rPr>
        <w:t>Teroristička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organizacija</w:t>
      </w:r>
      <w:r w:rsidRPr="008805FE">
        <w:rPr>
          <w:noProof/>
          <w:color w:val="000000"/>
          <w:lang w:val="sr-Latn-CS"/>
        </w:rPr>
        <w:t xml:space="preserve">”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koja</w:t>
      </w:r>
      <w:r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pokuša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učini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bilo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način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neposredno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posredno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podstrekava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pomaže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izvršenju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>;</w:t>
      </w:r>
    </w:p>
    <w:p w:rsidR="009C35ED" w:rsidRPr="008805FE" w:rsidRDefault="009C35ED" w:rsidP="009C35ED">
      <w:pPr>
        <w:spacing w:after="150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– </w:t>
      </w:r>
      <w:r w:rsidR="008805FE">
        <w:rPr>
          <w:noProof/>
          <w:color w:val="000000"/>
          <w:lang w:val="sr-Latn-CS"/>
        </w:rPr>
        <w:t>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saznanja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nameri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doprinese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izvršenju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pomogne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nastavljanje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vršenja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zajedničkom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svrhom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ind w:firstLine="708"/>
        <w:rPr>
          <w:noProof/>
          <w:color w:val="000000"/>
          <w:lang w:val="sr-Latn-CS"/>
        </w:rPr>
      </w:pPr>
      <w:r w:rsidRPr="008805FE">
        <w:rPr>
          <w:noProof/>
          <w:color w:val="000000"/>
          <w:lang w:val="sr-Latn-CS"/>
        </w:rPr>
        <w:t xml:space="preserve">8) </w:t>
      </w:r>
      <w:r w:rsidR="008805FE">
        <w:rPr>
          <w:noProof/>
          <w:color w:val="000000"/>
          <w:lang w:val="sr-Latn-CS"/>
        </w:rPr>
        <w:t>Opravdano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uverenje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finansira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terorizam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uključeno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aktivnosti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vršenje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VEZI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ŠIRENJEM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ORUŽJA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MASOVNO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UNIŠTENJE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onaj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stepen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uverenja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razuman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čovek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prosečnih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intelektualnih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sposobnosti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može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steći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dokaza</w:t>
      </w:r>
      <w:r w:rsidRPr="008805FE">
        <w:rPr>
          <w:noProof/>
          <w:color w:val="000000"/>
          <w:lang w:val="sr-Latn-CS"/>
        </w:rPr>
        <w:t xml:space="preserve"> – </w:t>
      </w:r>
      <w:r w:rsidR="008805FE">
        <w:rPr>
          <w:noProof/>
          <w:color w:val="000000"/>
          <w:lang w:val="sr-Latn-CS"/>
        </w:rPr>
        <w:t>činjenica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opštepoznate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dokazive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verodostojnih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informacija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kojima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raspolažu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nadležni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državni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center"/>
        <w:rPr>
          <w:noProof/>
          <w:color w:val="000000"/>
          <w:lang w:val="sr-Latn-CS"/>
        </w:rPr>
      </w:pPr>
      <w:r>
        <w:rPr>
          <w:noProof/>
          <w:lang w:val="sr-Latn-CS"/>
        </w:rPr>
        <w:lastRenderedPageBreak/>
        <w:t>Član</w:t>
      </w:r>
      <w:r w:rsidR="009C35ED" w:rsidRPr="008805FE">
        <w:rPr>
          <w:noProof/>
          <w:lang w:val="sr-Latn-CS"/>
        </w:rPr>
        <w:t xml:space="preserve"> 3.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Lista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doneta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Saveta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Ujedinjenih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nacija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međunarodnih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organizacija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preuzima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originalu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engleskom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jeziku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objavljuje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internet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stranici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Uprave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novca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Ministarstvo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spoljne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promeni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Saveta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Ujedinjenih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nacija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međunarodnih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organizacija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Republika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najkraćem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mogućem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ministarstvu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unutrašnje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Upravi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novca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Upravi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carina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Agenciji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privredne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registre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Republičkom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tužilaštvu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Narodnoj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banci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Uprava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novca</w:t>
      </w:r>
      <w:r w:rsidR="009C35ED" w:rsidRPr="008805FE">
        <w:rPr>
          <w:noProof/>
          <w:color w:val="000000"/>
          <w:lang w:val="sr-Latn-CS"/>
        </w:rPr>
        <w:t xml:space="preserve"> (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daljem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tekstu</w:t>
      </w:r>
      <w:r w:rsidR="009C35ED" w:rsidRPr="008805FE">
        <w:rPr>
          <w:noProof/>
          <w:color w:val="000000"/>
          <w:lang w:val="sr-Latn-CS"/>
        </w:rPr>
        <w:t xml:space="preserve">: </w:t>
      </w:r>
      <w:r>
        <w:rPr>
          <w:noProof/>
          <w:color w:val="000000"/>
          <w:lang w:val="sr-Latn-CS"/>
        </w:rPr>
        <w:t>Uprava</w:t>
      </w:r>
      <w:r w:rsidR="009C35ED" w:rsidRPr="008805FE">
        <w:rPr>
          <w:noProof/>
          <w:color w:val="000000"/>
          <w:lang w:val="sr-Latn-CS"/>
        </w:rPr>
        <w:t xml:space="preserve">)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promeni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fizička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primenjuju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mere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terorizma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Ministar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nadležan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finansija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Uprave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propisuje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način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3.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 4.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rešenjem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utvrđuje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osnovu</w:t>
      </w:r>
      <w:r w:rsidR="009C35ED"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1) </w:t>
      </w:r>
      <w:r w:rsidR="008805FE">
        <w:rPr>
          <w:noProof/>
          <w:color w:val="000000"/>
          <w:lang w:val="sr-Latn-CS"/>
        </w:rPr>
        <w:t>predloga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nadležnih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opravdanog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uverenja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finansira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terorizam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uključeno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aktivnosti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grupe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ili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vršenje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terorističkog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akta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ODNOSNO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VEZI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ŠIRENJEM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ORUŽJA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MASOVNO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UNIŠTENJE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spacing w:after="150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2) </w:t>
      </w:r>
      <w:r w:rsidR="008805FE">
        <w:rPr>
          <w:noProof/>
          <w:color w:val="000000"/>
          <w:lang w:val="sr-Latn-CS"/>
        </w:rPr>
        <w:t>obrazloženog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zahteva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druge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države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najmanje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jednom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godišnje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finansija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pribavljenom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mišljenju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5. </w:t>
      </w:r>
      <w:r>
        <w:rPr>
          <w:noProof/>
          <w:color w:val="000000"/>
          <w:lang w:val="sr-Latn-CS"/>
        </w:rPr>
        <w:t>stav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razmatra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opravdanost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Uprava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svakoj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promeni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fizička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pravna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dužna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primenjuju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radnje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mere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sprečavanje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terorizma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9C35ED" w:rsidRPr="008805FE">
        <w:rPr>
          <w:bCs/>
          <w:noProof/>
          <w:lang w:val="sr-Latn-CS"/>
        </w:rPr>
        <w:t xml:space="preserve"> 5.</w:t>
      </w:r>
    </w:p>
    <w:p w:rsidR="009C35ED" w:rsidRPr="008805FE" w:rsidRDefault="009C35ED" w:rsidP="009C35ED">
      <w:pPr>
        <w:jc w:val="center"/>
        <w:rPr>
          <w:bCs/>
          <w:noProof/>
          <w:lang w:val="sr-Latn-CS"/>
        </w:rPr>
      </w:pP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Ministarstvo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unutrašnje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javno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tužilaštvo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nadležan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Uprava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podnosi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pismeni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obrazloženi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lastRenderedPageBreak/>
        <w:t>Uz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prilažu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: </w:t>
      </w:r>
      <w:r>
        <w:rPr>
          <w:noProof/>
          <w:color w:val="000000"/>
          <w:lang w:val="sr-Latn-CS"/>
        </w:rPr>
        <w:t>podaci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informacije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ukazuju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opravdanost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uverenja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terorizam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uključeno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aktivnosti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grupe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VEZI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podaci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biti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mišljenja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organa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uverenja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odlučuje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predloženog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Rešenje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dostavlja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lično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preko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ministarstva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spoljne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upućuje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molbu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rešenjem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Vlade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ukoliko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postoji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saznanje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drugoj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državi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Molba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sadrži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podatke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činjenice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ukazuju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opravdanost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uverenja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terorizam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uključeno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aktivnosti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grupe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VEZI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podatke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biti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 6.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Zahtev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sredstvima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učinjen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dostavlja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diplomatskim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putem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>, 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uverenja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terorizam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uključeno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aktivnosti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grupe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VEZI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najkraćem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mogućem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roku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odlučuje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ministarstva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3.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preko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ministarstva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spoljne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obaveštava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podnosioca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Rešenje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doneto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osnovu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obrazloženog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strane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države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dostavlja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označenom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zakonom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9C35ED" w:rsidRPr="008805FE">
        <w:rPr>
          <w:noProof/>
          <w:color w:val="000000"/>
          <w:lang w:val="sr-Latn-CS"/>
        </w:rPr>
        <w:t xml:space="preserve"> 7</w:t>
      </w:r>
      <w:r>
        <w:rPr>
          <w:noProof/>
          <w:color w:val="000000"/>
          <w:lang w:val="sr-Latn-CS"/>
        </w:rPr>
        <w:t>a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lang w:val="sr-Latn-CS"/>
        </w:rPr>
      </w:pPr>
      <w:r>
        <w:rPr>
          <w:noProof/>
          <w:color w:val="000000"/>
          <w:lang w:val="sr-Latn-CS"/>
        </w:rPr>
        <w:t>Vlada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preko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ministarstva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spoljne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poslove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predlaže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stavljanje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listu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označenih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Saveta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Ujedinjenih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nacija</w:t>
      </w:r>
      <w:r w:rsidR="009C35ED" w:rsidRPr="008805FE">
        <w:rPr>
          <w:noProof/>
          <w:color w:val="000000"/>
          <w:lang w:val="sr-Latn-CS"/>
        </w:rPr>
        <w:t>: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t xml:space="preserve">1) </w:t>
      </w:r>
      <w:r w:rsidR="008805FE">
        <w:rPr>
          <w:noProof/>
          <w:color w:val="000000"/>
          <w:lang w:val="sr-Latn-CS"/>
        </w:rPr>
        <w:t>ako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koje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je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osnovu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rešenja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Vlade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stavljeno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listu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lica</w:t>
      </w:r>
      <w:r w:rsidRPr="008805FE">
        <w:rPr>
          <w:noProof/>
          <w:color w:val="000000"/>
          <w:lang w:val="sr-Latn-CS"/>
        </w:rPr>
        <w:t xml:space="preserve">, </w:t>
      </w:r>
      <w:r w:rsidR="008805FE">
        <w:rPr>
          <w:noProof/>
          <w:color w:val="000000"/>
          <w:lang w:val="sr-Latn-CS"/>
        </w:rPr>
        <w:t>povezano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licima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organizacijama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označenim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rezolucijama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Saveta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bezbednosti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Ujedinjenih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nacija</w:t>
      </w:r>
      <w:r w:rsidRPr="008805FE">
        <w:rPr>
          <w:noProof/>
          <w:color w:val="000000"/>
          <w:lang w:val="sr-Latn-CS"/>
        </w:rPr>
        <w:t>,</w:t>
      </w:r>
    </w:p>
    <w:p w:rsidR="009C35ED" w:rsidRPr="008805FE" w:rsidRDefault="009C35ED" w:rsidP="009C35ED">
      <w:pPr>
        <w:spacing w:after="150"/>
        <w:ind w:firstLine="708"/>
        <w:jc w:val="both"/>
        <w:rPr>
          <w:noProof/>
          <w:lang w:val="sr-Latn-CS"/>
        </w:rPr>
      </w:pPr>
      <w:r w:rsidRPr="008805FE">
        <w:rPr>
          <w:noProof/>
          <w:color w:val="000000"/>
          <w:lang w:val="sr-Latn-CS"/>
        </w:rPr>
        <w:lastRenderedPageBreak/>
        <w:t xml:space="preserve">2) </w:t>
      </w:r>
      <w:r w:rsidR="008805FE">
        <w:rPr>
          <w:noProof/>
          <w:color w:val="000000"/>
          <w:lang w:val="sr-Latn-CS"/>
        </w:rPr>
        <w:t>ako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ne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nalazi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označenih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lica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Saveta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bezbednosti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Ujedinjenih</w:t>
      </w:r>
      <w:r w:rsidRPr="008805FE">
        <w:rPr>
          <w:noProof/>
          <w:color w:val="000000"/>
          <w:lang w:val="sr-Latn-CS"/>
        </w:rPr>
        <w:t xml:space="preserve"> </w:t>
      </w:r>
      <w:r w:rsidR="008805FE">
        <w:rPr>
          <w:noProof/>
          <w:color w:val="000000"/>
          <w:lang w:val="sr-Latn-CS"/>
        </w:rPr>
        <w:t>nacija</w:t>
      </w:r>
      <w:r w:rsidRPr="008805FE">
        <w:rPr>
          <w:noProof/>
          <w:color w:val="000000"/>
          <w:lang w:val="sr-Latn-CS"/>
        </w:rPr>
        <w:t>.</w:t>
      </w:r>
    </w:p>
    <w:p w:rsidR="009C35ED" w:rsidRPr="008805FE" w:rsidRDefault="008805FE" w:rsidP="009C35ED">
      <w:pPr>
        <w:spacing w:after="150"/>
        <w:ind w:firstLine="708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Uz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predlog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stava</w:t>
      </w:r>
      <w:r w:rsidR="009C35ED" w:rsidRPr="008805FE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dostavljaju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podaci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licu</w:t>
      </w:r>
      <w:r w:rsidR="009C35ED" w:rsidRPr="008805FE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informacije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ukazuju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opravdanost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uverenja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lice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finansira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terorizam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uključeno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aktivnosti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grupe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ili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vršenje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terorističkog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akta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ODNOSNO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VEZI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ŠIRENJEM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ORUŽJA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MASOVNO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UNIŠTENJE</w:t>
      </w:r>
      <w:r w:rsidR="009C35ED" w:rsidRPr="008805FE">
        <w:rPr>
          <w:noProof/>
          <w:color w:val="000000"/>
          <w:lang w:val="sr-Latn-CS"/>
        </w:rPr>
        <w:t xml:space="preserve">; </w:t>
      </w:r>
      <w:r>
        <w:rPr>
          <w:noProof/>
          <w:color w:val="000000"/>
          <w:lang w:val="sr-Latn-CS"/>
        </w:rPr>
        <w:t>podaci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imovini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može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biti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predmet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ograničavanja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raspolaganja</w:t>
      </w:r>
      <w:r w:rsidR="009C35ED" w:rsidRPr="008805FE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kao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druge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informacije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skladu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zahtevima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nadležnih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komiteta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Saveta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bezbednosti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Ujedinjenih</w:t>
      </w:r>
      <w:r w:rsidR="009C35ED" w:rsidRPr="008805FE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nacija</w:t>
      </w:r>
      <w:r w:rsidR="009C35ED" w:rsidRPr="008805FE">
        <w:rPr>
          <w:noProof/>
          <w:color w:val="000000"/>
          <w:lang w:val="sr-Latn-CS"/>
        </w:rPr>
        <w:t>.</w:t>
      </w:r>
    </w:p>
    <w:p w:rsidR="009C35ED" w:rsidRPr="008805FE" w:rsidRDefault="009C35ED" w:rsidP="009C35ED">
      <w:pPr>
        <w:rPr>
          <w:bCs/>
          <w:noProof/>
          <w:lang w:val="sr-Latn-CS"/>
        </w:rPr>
      </w:pPr>
    </w:p>
    <w:p w:rsidR="009C35ED" w:rsidRPr="008805FE" w:rsidRDefault="008805FE" w:rsidP="009C35E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C35ED" w:rsidRPr="008805FE">
        <w:rPr>
          <w:noProof/>
          <w:lang w:val="sr-Latn-CS"/>
        </w:rPr>
        <w:t xml:space="preserve"> 6.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  <w:r w:rsidRPr="008805FE">
        <w:rPr>
          <w:noProof/>
          <w:lang w:val="sr-Latn-CS"/>
        </w:rPr>
        <w:tab/>
      </w:r>
      <w:r w:rsidR="008805FE">
        <w:rPr>
          <w:noProof/>
          <w:lang w:val="sr-Latn-CS"/>
        </w:rPr>
        <w:t>MINISTAR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NADLEŽAN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POSLOVE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FINANSIJA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ROKU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TRI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MESECA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DANA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STUPANJA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SNAGU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USKLADIĆE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PROPISE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DONETE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OSNOVU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ČLANA</w:t>
      </w:r>
      <w:r w:rsidRPr="008805FE">
        <w:rPr>
          <w:noProof/>
          <w:lang w:val="sr-Latn-CS"/>
        </w:rPr>
        <w:t xml:space="preserve"> 8. </w:t>
      </w:r>
      <w:r w:rsidR="008805FE">
        <w:rPr>
          <w:noProof/>
          <w:lang w:val="sr-Latn-CS"/>
        </w:rPr>
        <w:t>STAV</w:t>
      </w:r>
      <w:r w:rsidRPr="008805FE">
        <w:rPr>
          <w:noProof/>
          <w:lang w:val="sr-Latn-CS"/>
        </w:rPr>
        <w:t xml:space="preserve"> 10.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ČLANA</w:t>
      </w:r>
      <w:r w:rsidRPr="008805FE">
        <w:rPr>
          <w:noProof/>
          <w:lang w:val="sr-Latn-CS"/>
        </w:rPr>
        <w:t xml:space="preserve"> 9. </w:t>
      </w:r>
      <w:r w:rsidR="008805FE">
        <w:rPr>
          <w:noProof/>
          <w:lang w:val="sr-Latn-CS"/>
        </w:rPr>
        <w:t>STAV</w:t>
      </w:r>
      <w:r w:rsidRPr="008805FE">
        <w:rPr>
          <w:noProof/>
          <w:lang w:val="sr-Latn-CS"/>
        </w:rPr>
        <w:t xml:space="preserve"> 6.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OGRANIČAVANJU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RASPOLAGANJA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IMOVINOM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CILJU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SPREČAVANJA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TERORIZMA</w:t>
      </w:r>
      <w:r w:rsidRPr="008805FE">
        <w:rPr>
          <w:noProof/>
          <w:lang w:val="sr-Latn-CS"/>
        </w:rPr>
        <w:t xml:space="preserve"> („</w:t>
      </w:r>
      <w:r w:rsidR="008805FE">
        <w:rPr>
          <w:noProof/>
          <w:lang w:val="sr-Latn-CS"/>
        </w:rPr>
        <w:t>SLUŽBENI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GLASNIK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RS</w:t>
      </w:r>
      <w:r w:rsidRPr="008805FE">
        <w:rPr>
          <w:noProof/>
          <w:lang w:val="sr-Latn-CS"/>
        </w:rPr>
        <w:t xml:space="preserve">”, </w:t>
      </w:r>
      <w:r w:rsidR="008805FE">
        <w:rPr>
          <w:noProof/>
          <w:lang w:val="sr-Latn-CS"/>
        </w:rPr>
        <w:t>BR</w:t>
      </w:r>
      <w:r w:rsidRPr="008805FE">
        <w:rPr>
          <w:noProof/>
          <w:lang w:val="sr-Latn-CS"/>
        </w:rPr>
        <w:t xml:space="preserve">. 29/15 </w:t>
      </w:r>
      <w:r w:rsidR="008805FE">
        <w:rPr>
          <w:noProof/>
          <w:lang w:val="sr-Latn-CS"/>
        </w:rPr>
        <w:t>I</w:t>
      </w:r>
      <w:r w:rsidRPr="008805FE">
        <w:rPr>
          <w:noProof/>
          <w:lang w:val="sr-Latn-CS"/>
        </w:rPr>
        <w:t xml:space="preserve"> 113/17) </w:t>
      </w:r>
      <w:r w:rsidR="008805FE">
        <w:rPr>
          <w:noProof/>
          <w:lang w:val="sr-Latn-CS"/>
        </w:rPr>
        <w:t>SA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ODREDBAMA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OVOG</w:t>
      </w:r>
      <w:r w:rsidRPr="008805FE">
        <w:rPr>
          <w:noProof/>
          <w:lang w:val="sr-Latn-CS"/>
        </w:rPr>
        <w:t xml:space="preserve"> </w:t>
      </w:r>
      <w:r w:rsidR="008805FE">
        <w:rPr>
          <w:noProof/>
          <w:lang w:val="sr-Latn-CS"/>
        </w:rPr>
        <w:t>ZAKONA</w:t>
      </w:r>
      <w:r w:rsidRPr="008805FE">
        <w:rPr>
          <w:noProof/>
          <w:lang w:val="sr-Latn-CS"/>
        </w:rPr>
        <w:t>.</w:t>
      </w:r>
    </w:p>
    <w:p w:rsidR="009C35ED" w:rsidRPr="008805FE" w:rsidRDefault="009C35ED" w:rsidP="009C35ED">
      <w:pPr>
        <w:jc w:val="both"/>
        <w:rPr>
          <w:noProof/>
          <w:lang w:val="sr-Latn-CS"/>
        </w:rPr>
      </w:pPr>
    </w:p>
    <w:p w:rsidR="009C35ED" w:rsidRPr="008805FE" w:rsidRDefault="008805FE" w:rsidP="009C35E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9C35ED" w:rsidRPr="008805FE">
        <w:rPr>
          <w:noProof/>
          <w:lang w:val="sr-Latn-CS"/>
        </w:rPr>
        <w:t xml:space="preserve"> 7.</w:t>
      </w:r>
    </w:p>
    <w:p w:rsidR="009C35ED" w:rsidRPr="008805FE" w:rsidRDefault="008805FE" w:rsidP="009C35E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OSMOG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9C35ED" w:rsidRPr="008805FE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9C35ED" w:rsidRPr="008805FE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9C35ED" w:rsidRPr="008805FE">
        <w:rPr>
          <w:noProof/>
          <w:lang w:val="sr-Latn-CS"/>
        </w:rPr>
        <w:t xml:space="preserve">”. </w:t>
      </w:r>
    </w:p>
    <w:p w:rsidR="009C35ED" w:rsidRPr="008805FE" w:rsidRDefault="009C35ED" w:rsidP="009C35ED">
      <w:pPr>
        <w:ind w:firstLine="720"/>
        <w:jc w:val="both"/>
        <w:rPr>
          <w:noProof/>
          <w:lang w:val="sr-Latn-CS"/>
        </w:rPr>
      </w:pPr>
    </w:p>
    <w:p w:rsidR="009C35ED" w:rsidRPr="008805FE" w:rsidRDefault="009C35ED" w:rsidP="009C35ED">
      <w:pPr>
        <w:rPr>
          <w:noProof/>
          <w:lang w:val="sr-Latn-CS"/>
        </w:rPr>
      </w:pPr>
    </w:p>
    <w:p w:rsidR="009C35ED" w:rsidRPr="008805FE" w:rsidRDefault="009C35E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br w:type="page"/>
      </w:r>
    </w:p>
    <w:p w:rsidR="00FC03D1" w:rsidRPr="008805FE" w:rsidRDefault="008805FE" w:rsidP="00FC03D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OBRAZAC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IZJAVE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PREDLOGA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DOPUNAMA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OGRANIČAVANJU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RASPOLAGANJA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IMOVINOM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CILJU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SPREČAVANJA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TERORIZMA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</w:p>
    <w:p w:rsidR="00FC03D1" w:rsidRPr="008805FE" w:rsidRDefault="00FC03D1" w:rsidP="00FC03D1">
      <w:pPr>
        <w:pStyle w:val="FootnoteText"/>
        <w:spacing w:line="240" w:lineRule="auto"/>
        <w:rPr>
          <w:noProof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predlagač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Obrađivač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Predlog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dopunama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Zakona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ograničavanju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raspolaganja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imovinom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cilju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sprečavanja</w:t>
      </w:r>
      <w:r w:rsidR="00FC03D1" w:rsidRPr="008805FE"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hr-HR"/>
        </w:rPr>
        <w:t>terorizma</w:t>
      </w:r>
    </w:p>
    <w:p w:rsidR="00FC03D1" w:rsidRPr="008805FE" w:rsidRDefault="00FC03D1" w:rsidP="00FC03D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Draft Law amending the Law on the Freezing of Assets with the Aim to Prevent Terrorism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stabilizaciji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pridruživanju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Evropskih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zajednica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njihovih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članica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83/08 -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Sporazum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):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normativnu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usklađivanje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zakonodavstva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neispunjavanje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proizlaze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Sporazuma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Nacionalnim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tekovina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ustanovljena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NPAA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NPAA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finansiranja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širenja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oružja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masovno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uništenje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FC03D1" w:rsidRPr="008805FE" w:rsidRDefault="008805FE" w:rsidP="00FC03D1">
      <w:pPr>
        <w:pStyle w:val="cm4"/>
        <w:jc w:val="both"/>
        <w:rPr>
          <w:rFonts w:ascii="Times New Roman" w:hAnsi="Times New Roman"/>
          <w:noProof/>
          <w:color w:val="FF0000"/>
          <w:lang w:val="sr-Latn-CS"/>
        </w:rPr>
      </w:pPr>
      <w:r>
        <w:rPr>
          <w:rFonts w:ascii="Times New Roman" w:hAnsi="Times New Roman"/>
          <w:noProof/>
          <w:lang w:val="sr-Latn-CS"/>
        </w:rPr>
        <w:t>a</w:t>
      </w:r>
      <w:r w:rsidR="00FC03D1" w:rsidRPr="008805FE">
        <w:rPr>
          <w:rFonts w:ascii="Times New Roman" w:hAnsi="Times New Roman"/>
          <w:noProof/>
          <w:lang w:val="sr-Latn-CS"/>
        </w:rPr>
        <w:t xml:space="preserve">) </w:t>
      </w:r>
      <w:r>
        <w:rPr>
          <w:rFonts w:ascii="Times New Roman" w:hAnsi="Times New Roman"/>
          <w:noProof/>
          <w:lang w:val="sr-Latn-CS"/>
        </w:rPr>
        <w:t>Navođenje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odredbi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primarnih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izvora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prava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Evropske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unije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i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ocene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usklađenosti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sa</w:t>
      </w:r>
      <w:r w:rsidR="00FC03D1" w:rsidRPr="008805FE">
        <w:rPr>
          <w:rFonts w:ascii="Times New Roman" w:hAnsi="Times New Roman"/>
          <w:noProof/>
          <w:lang w:val="sr-Latn-CS"/>
        </w:rPr>
        <w:t xml:space="preserve"> </w:t>
      </w:r>
      <w:r>
        <w:rPr>
          <w:rFonts w:ascii="Times New Roman" w:hAnsi="Times New Roman"/>
          <w:noProof/>
          <w:lang w:val="sr-Latn-CS"/>
        </w:rPr>
        <w:t>njima</w:t>
      </w:r>
      <w:r w:rsidR="00FC03D1" w:rsidRPr="008805FE">
        <w:rPr>
          <w:rFonts w:ascii="Times New Roman" w:hAnsi="Times New Roman"/>
          <w:noProof/>
          <w:lang w:val="sr-Latn-CS"/>
        </w:rPr>
        <w:t>:</w:t>
      </w:r>
    </w:p>
    <w:p w:rsidR="00FC03D1" w:rsidRPr="008805FE" w:rsidRDefault="00FC03D1" w:rsidP="00FC03D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Navođenje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sekundarnih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theme="minorBidi"/>
          <w:noProof/>
          <w:sz w:val="24"/>
          <w:szCs w:val="24"/>
          <w:lang w:val="sr-Latn-CS"/>
        </w:rPr>
      </w:pPr>
      <w:r w:rsidRPr="008805FE">
        <w:rPr>
          <w:rFonts w:ascii="Times New Roman" w:hAnsi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Navođenje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ostalih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izvora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delimičnu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neusklađenost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navesti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postizanje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potpune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FC03D1"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materiji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reguliše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sekundarni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obezbediti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usklađenost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obrazložiti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činjenicu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ovom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slučaju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popunjavati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Tabelu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usklađenosti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Tabelu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usklađenosti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nije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popunjavati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ukoliko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domaćim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propisom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prenos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odredbi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sekundarnog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izvora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već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isključivo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primena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sprovođenje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nekog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zahteva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proizilazi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odredbe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sekundarnog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izvora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prava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npr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Predlogom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odluke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izradi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strateške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procene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uticaja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biće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lastRenderedPageBreak/>
        <w:t>sprovedena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4.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Direktive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2001/42/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EZ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ali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prenos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odredbe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direktive</w:t>
      </w:r>
      <w:r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). 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FC03D1" w:rsidRPr="008805FE" w:rsidRDefault="008805FE" w:rsidP="00FC03D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postoje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odgovarajući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EU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potrebno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obezbediti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usklađenost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predmetnog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propisa</w:t>
      </w:r>
      <w:r w:rsidR="00FC03D1" w:rsidRPr="008805F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prethodno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izvori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prevedeni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srpski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?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7.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li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preveden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jezik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?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8.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Saradnja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Evropskom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unijom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konsultanata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njihovo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C03D1" w:rsidRPr="008805FE" w:rsidRDefault="00FC03D1" w:rsidP="00FC03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</w:t>
      </w:r>
      <w:r w:rsidR="008805FE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</w:p>
    <w:p w:rsidR="00FC03D1" w:rsidRPr="008805FE" w:rsidRDefault="00FC03D1" w:rsidP="00FC03D1">
      <w:pPr>
        <w:tabs>
          <w:tab w:val="left" w:pos="6937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805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            </w:t>
      </w:r>
    </w:p>
    <w:p w:rsidR="006B6F48" w:rsidRPr="008805FE" w:rsidRDefault="006B6F4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6B6F48" w:rsidRPr="008805FE" w:rsidSect="00924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D8" w:rsidRDefault="00BD3FD8" w:rsidP="00924563">
      <w:pPr>
        <w:spacing w:after="0" w:line="240" w:lineRule="auto"/>
      </w:pPr>
      <w:r>
        <w:separator/>
      </w:r>
    </w:p>
  </w:endnote>
  <w:endnote w:type="continuationSeparator" w:id="0">
    <w:p w:rsidR="00BD3FD8" w:rsidRDefault="00BD3FD8" w:rsidP="009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E" w:rsidRDefault="00880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E" w:rsidRDefault="00880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E" w:rsidRDefault="0088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D8" w:rsidRDefault="00BD3FD8" w:rsidP="00924563">
      <w:pPr>
        <w:spacing w:after="0" w:line="240" w:lineRule="auto"/>
      </w:pPr>
      <w:r>
        <w:separator/>
      </w:r>
    </w:p>
  </w:footnote>
  <w:footnote w:type="continuationSeparator" w:id="0">
    <w:p w:rsidR="00BD3FD8" w:rsidRDefault="00BD3FD8" w:rsidP="009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E" w:rsidRDefault="00880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455249906"/>
      <w:docPartObj>
        <w:docPartGallery w:val="Page Numbers (Top of Page)"/>
        <w:docPartUnique/>
      </w:docPartObj>
    </w:sdtPr>
    <w:sdtEndPr/>
    <w:sdtContent>
      <w:p w:rsidR="00924563" w:rsidRPr="008805FE" w:rsidRDefault="00924563">
        <w:pPr>
          <w:pStyle w:val="Header"/>
          <w:jc w:val="right"/>
          <w:rPr>
            <w:noProof/>
            <w:lang w:val="sr-Latn-CS"/>
          </w:rPr>
        </w:pPr>
        <w:r w:rsidRPr="008805FE">
          <w:rPr>
            <w:noProof/>
            <w:lang w:val="sr-Latn-CS"/>
          </w:rPr>
          <w:fldChar w:fldCharType="begin"/>
        </w:r>
        <w:r w:rsidRPr="008805FE">
          <w:rPr>
            <w:noProof/>
            <w:lang w:val="sr-Latn-CS"/>
          </w:rPr>
          <w:instrText xml:space="preserve"> PAGE   \* MERGEFORMAT </w:instrText>
        </w:r>
        <w:r w:rsidRPr="008805FE">
          <w:rPr>
            <w:noProof/>
            <w:lang w:val="sr-Latn-CS"/>
          </w:rPr>
          <w:fldChar w:fldCharType="separate"/>
        </w:r>
        <w:r w:rsidR="008805FE">
          <w:rPr>
            <w:noProof/>
            <w:lang w:val="sr-Latn-CS"/>
          </w:rPr>
          <w:t>2</w:t>
        </w:r>
        <w:r w:rsidRPr="008805FE">
          <w:rPr>
            <w:noProof/>
            <w:lang w:val="sr-Latn-CS"/>
          </w:rPr>
          <w:fldChar w:fldCharType="end"/>
        </w:r>
      </w:p>
    </w:sdtContent>
  </w:sdt>
  <w:p w:rsidR="00924563" w:rsidRPr="008805FE" w:rsidRDefault="00924563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E" w:rsidRDefault="00880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97"/>
    <w:rsid w:val="00003348"/>
    <w:rsid w:val="00003978"/>
    <w:rsid w:val="00004EC7"/>
    <w:rsid w:val="0003215A"/>
    <w:rsid w:val="0006418C"/>
    <w:rsid w:val="0007394B"/>
    <w:rsid w:val="0008468D"/>
    <w:rsid w:val="000A65DE"/>
    <w:rsid w:val="000B6DBA"/>
    <w:rsid w:val="00115481"/>
    <w:rsid w:val="001855B9"/>
    <w:rsid w:val="0018578F"/>
    <w:rsid w:val="0019011E"/>
    <w:rsid w:val="001A1E1B"/>
    <w:rsid w:val="001A345C"/>
    <w:rsid w:val="001B45C0"/>
    <w:rsid w:val="001C1A3C"/>
    <w:rsid w:val="001C4CD5"/>
    <w:rsid w:val="001C6EB4"/>
    <w:rsid w:val="001D0C5C"/>
    <w:rsid w:val="001F2903"/>
    <w:rsid w:val="00232958"/>
    <w:rsid w:val="00246297"/>
    <w:rsid w:val="00247832"/>
    <w:rsid w:val="00261356"/>
    <w:rsid w:val="002871F5"/>
    <w:rsid w:val="00291B2A"/>
    <w:rsid w:val="002950F3"/>
    <w:rsid w:val="002A4AAB"/>
    <w:rsid w:val="002B4A05"/>
    <w:rsid w:val="003071A4"/>
    <w:rsid w:val="003229A6"/>
    <w:rsid w:val="00344CB0"/>
    <w:rsid w:val="003454AA"/>
    <w:rsid w:val="003540C6"/>
    <w:rsid w:val="0037334D"/>
    <w:rsid w:val="00384CEF"/>
    <w:rsid w:val="003E23E9"/>
    <w:rsid w:val="004141FC"/>
    <w:rsid w:val="00414DB0"/>
    <w:rsid w:val="0042170B"/>
    <w:rsid w:val="004338D1"/>
    <w:rsid w:val="00450F18"/>
    <w:rsid w:val="00463F46"/>
    <w:rsid w:val="004843B5"/>
    <w:rsid w:val="004A3B83"/>
    <w:rsid w:val="004C1BBA"/>
    <w:rsid w:val="004D44A9"/>
    <w:rsid w:val="00506EE3"/>
    <w:rsid w:val="00533D42"/>
    <w:rsid w:val="005556BC"/>
    <w:rsid w:val="00566F71"/>
    <w:rsid w:val="00577B25"/>
    <w:rsid w:val="00596372"/>
    <w:rsid w:val="005E478A"/>
    <w:rsid w:val="006705C0"/>
    <w:rsid w:val="00695199"/>
    <w:rsid w:val="00697BFB"/>
    <w:rsid w:val="006B6F48"/>
    <w:rsid w:val="006C60B0"/>
    <w:rsid w:val="006D5205"/>
    <w:rsid w:val="00703C36"/>
    <w:rsid w:val="007141A0"/>
    <w:rsid w:val="00720BA9"/>
    <w:rsid w:val="00726E6A"/>
    <w:rsid w:val="00730D13"/>
    <w:rsid w:val="0078204F"/>
    <w:rsid w:val="007A11EB"/>
    <w:rsid w:val="007B1A2B"/>
    <w:rsid w:val="007B6116"/>
    <w:rsid w:val="007C0A60"/>
    <w:rsid w:val="007C59FF"/>
    <w:rsid w:val="007D41F1"/>
    <w:rsid w:val="00813B4C"/>
    <w:rsid w:val="00817A20"/>
    <w:rsid w:val="00851E2F"/>
    <w:rsid w:val="00862721"/>
    <w:rsid w:val="008805FE"/>
    <w:rsid w:val="00884B88"/>
    <w:rsid w:val="00892AC2"/>
    <w:rsid w:val="008D6D72"/>
    <w:rsid w:val="0091407D"/>
    <w:rsid w:val="00920EA9"/>
    <w:rsid w:val="00924563"/>
    <w:rsid w:val="0097187F"/>
    <w:rsid w:val="00973410"/>
    <w:rsid w:val="009B7486"/>
    <w:rsid w:val="009B75EE"/>
    <w:rsid w:val="009C35ED"/>
    <w:rsid w:val="009C7732"/>
    <w:rsid w:val="009D4326"/>
    <w:rsid w:val="009D4D52"/>
    <w:rsid w:val="009E56F6"/>
    <w:rsid w:val="009F30C4"/>
    <w:rsid w:val="00A0127B"/>
    <w:rsid w:val="00A05F9E"/>
    <w:rsid w:val="00A07D5C"/>
    <w:rsid w:val="00A1311F"/>
    <w:rsid w:val="00A37824"/>
    <w:rsid w:val="00A66E86"/>
    <w:rsid w:val="00A81D43"/>
    <w:rsid w:val="00AA0AEF"/>
    <w:rsid w:val="00AC76D7"/>
    <w:rsid w:val="00AE3CC3"/>
    <w:rsid w:val="00AF0CC5"/>
    <w:rsid w:val="00B14B01"/>
    <w:rsid w:val="00B34765"/>
    <w:rsid w:val="00B56B28"/>
    <w:rsid w:val="00BB12ED"/>
    <w:rsid w:val="00BB5850"/>
    <w:rsid w:val="00BB5C6D"/>
    <w:rsid w:val="00BD3FD8"/>
    <w:rsid w:val="00C61524"/>
    <w:rsid w:val="00CB2260"/>
    <w:rsid w:val="00CB4505"/>
    <w:rsid w:val="00CC7152"/>
    <w:rsid w:val="00CE623D"/>
    <w:rsid w:val="00D05BF9"/>
    <w:rsid w:val="00D115A3"/>
    <w:rsid w:val="00D70FEF"/>
    <w:rsid w:val="00DA6F07"/>
    <w:rsid w:val="00DC02D2"/>
    <w:rsid w:val="00DE136A"/>
    <w:rsid w:val="00DF5532"/>
    <w:rsid w:val="00DF6F85"/>
    <w:rsid w:val="00E33B59"/>
    <w:rsid w:val="00E347F2"/>
    <w:rsid w:val="00E368C5"/>
    <w:rsid w:val="00E37CD1"/>
    <w:rsid w:val="00E72766"/>
    <w:rsid w:val="00E77105"/>
    <w:rsid w:val="00EB54CB"/>
    <w:rsid w:val="00ED03F1"/>
    <w:rsid w:val="00EF7123"/>
    <w:rsid w:val="00F27EC9"/>
    <w:rsid w:val="00F33383"/>
    <w:rsid w:val="00F33767"/>
    <w:rsid w:val="00F51AEB"/>
    <w:rsid w:val="00F52546"/>
    <w:rsid w:val="00F640FE"/>
    <w:rsid w:val="00F721D7"/>
    <w:rsid w:val="00F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615A6-AD9D-4A98-8E3E-5048B55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97"/>
    <w:pPr>
      <w:spacing w:after="200" w:line="276" w:lineRule="auto"/>
      <w:jc w:val="left"/>
    </w:pPr>
    <w:rPr>
      <w:rFonts w:ascii="Verdana" w:hAnsi="Verdana" w:cs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2766"/>
    <w:pPr>
      <w:keepNext/>
      <w:keepLines/>
      <w:spacing w:before="480" w:after="480" w:line="240" w:lineRule="auto"/>
      <w:jc w:val="center"/>
      <w:outlineLvl w:val="0"/>
    </w:pPr>
    <w:rPr>
      <w:rFonts w:ascii="Times New Roman" w:hAnsi="Times New Roman" w:cstheme="majorBidi"/>
      <w:b/>
      <w:bCs/>
      <w:sz w:val="28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C0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4A9"/>
    <w:pPr>
      <w:keepNext/>
      <w:keepLines/>
      <w:spacing w:before="24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7A20"/>
    <w:pPr>
      <w:keepNext/>
      <w:keepLines/>
      <w:spacing w:before="200" w:after="0" w:line="240" w:lineRule="auto"/>
      <w:jc w:val="center"/>
      <w:outlineLvl w:val="3"/>
    </w:pPr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78A"/>
    <w:pPr>
      <w:keepNext/>
      <w:keepLines/>
      <w:tabs>
        <w:tab w:val="left" w:pos="1440"/>
      </w:tabs>
      <w:spacing w:before="200" w:after="0" w:line="240" w:lineRule="auto"/>
      <w:jc w:val="both"/>
      <w:outlineLvl w:val="4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766"/>
    <w:rPr>
      <w:rFonts w:cstheme="majorBidi"/>
      <w:b/>
      <w:bCs/>
      <w:sz w:val="28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6705C0"/>
    <w:rPr>
      <w:rFonts w:asciiTheme="majorHAnsi" w:eastAsiaTheme="majorEastAsia" w:hAnsiTheme="majorHAnsi" w:cstheme="majorBidi"/>
      <w:b/>
      <w:bCs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4D44A9"/>
    <w:rPr>
      <w:rFonts w:eastAsiaTheme="majorEastAsia" w:cstheme="majorBidi"/>
      <w:b/>
      <w:bCs/>
    </w:rPr>
  </w:style>
  <w:style w:type="paragraph" w:customStyle="1" w:styleId="clanovi">
    <w:name w:val="clanovi"/>
    <w:basedOn w:val="Normal"/>
    <w:link w:val="clanoviChar"/>
    <w:qFormat/>
    <w:rsid w:val="001A1E1B"/>
    <w:pPr>
      <w:keepNext/>
      <w:spacing w:before="120" w:after="0" w:line="240" w:lineRule="auto"/>
      <w:ind w:right="720"/>
      <w:jc w:val="center"/>
    </w:pPr>
    <w:rPr>
      <w:rFonts w:ascii="Times New Roman" w:hAnsi="Times New Roman" w:cs="Arial"/>
      <w:b/>
      <w:sz w:val="24"/>
    </w:rPr>
  </w:style>
  <w:style w:type="character" w:customStyle="1" w:styleId="clanoviChar">
    <w:name w:val="clanovi Char"/>
    <w:basedOn w:val="DefaultParagraphFont"/>
    <w:link w:val="clanovi"/>
    <w:rsid w:val="001A1E1B"/>
    <w:rPr>
      <w:rFonts w:eastAsia="Times New Roman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17A20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E478A"/>
    <w:rPr>
      <w:rFonts w:eastAsiaTheme="majorEastAsia" w:cstheme="majorBidi"/>
      <w:b/>
      <w:sz w:val="26"/>
      <w:szCs w:val="26"/>
      <w:lang w:val="sr-Cyrl-CS"/>
    </w:rPr>
  </w:style>
  <w:style w:type="paragraph" w:customStyle="1" w:styleId="Clan">
    <w:name w:val="Clan"/>
    <w:basedOn w:val="Normal"/>
    <w:link w:val="ClanChar"/>
    <w:autoRedefine/>
    <w:qFormat/>
    <w:rsid w:val="00EB54CB"/>
    <w:pPr>
      <w:spacing w:before="24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ClanChar">
    <w:name w:val="Clan Char"/>
    <w:basedOn w:val="DefaultParagraphFont"/>
    <w:link w:val="Clan"/>
    <w:rsid w:val="00EB54CB"/>
    <w:rPr>
      <w:rFonts w:cs="Times New Roman"/>
      <w:b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9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563"/>
    <w:rPr>
      <w:rFonts w:ascii="Verdana" w:hAnsi="Verdana" w:cs="Verdana"/>
      <w:sz w:val="22"/>
    </w:rPr>
  </w:style>
  <w:style w:type="paragraph" w:styleId="Footer">
    <w:name w:val="footer"/>
    <w:basedOn w:val="Normal"/>
    <w:link w:val="FooterChar"/>
    <w:uiPriority w:val="99"/>
    <w:unhideWhenUsed/>
    <w:rsid w:val="009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563"/>
    <w:rPr>
      <w:rFonts w:ascii="Verdana" w:hAnsi="Verdana" w:cs="Verdan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8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FC03D1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val="hu-HU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FC03D1"/>
    <w:rPr>
      <w:rFonts w:eastAsia="Times New Roman" w:cs="Times New Roman"/>
      <w:szCs w:val="20"/>
      <w:lang w:val="hu-HU" w:eastAsia="hr-HR"/>
    </w:rPr>
  </w:style>
  <w:style w:type="paragraph" w:customStyle="1" w:styleId="cm4">
    <w:name w:val="cm4"/>
    <w:basedOn w:val="Normal"/>
    <w:rsid w:val="00FC03D1"/>
    <w:pPr>
      <w:autoSpaceDE w:val="0"/>
      <w:autoSpaceDN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Normal1">
    <w:name w:val="Normal1"/>
    <w:basedOn w:val="Normal"/>
    <w:rsid w:val="00FC03D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Stojcevic</dc:creator>
  <cp:lastModifiedBy>Nenad Zdraljevic</cp:lastModifiedBy>
  <cp:revision>3</cp:revision>
  <cp:lastPrinted>2018-05-03T09:15:00Z</cp:lastPrinted>
  <dcterms:created xsi:type="dcterms:W3CDTF">2018-05-10T13:45:00Z</dcterms:created>
  <dcterms:modified xsi:type="dcterms:W3CDTF">2018-05-10T13:45:00Z</dcterms:modified>
</cp:coreProperties>
</file>