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30" w:rsidRPr="00552642" w:rsidRDefault="000A3B30" w:rsidP="00440B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0B14" w:rsidRPr="00552642" w:rsidRDefault="00440B14" w:rsidP="00440B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0B14" w:rsidRPr="00552642" w:rsidRDefault="00440B14" w:rsidP="00440B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0B14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440B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1C475B" w:rsidRPr="00552642" w:rsidRDefault="000A3B30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CENTRALNOJ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</w:p>
    <w:p w:rsidR="00440B14" w:rsidRPr="00552642" w:rsidRDefault="00440B14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77D0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440B14" w:rsidRPr="00552642" w:rsidRDefault="00440B14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7C58AE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1C475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7E182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7E182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7E182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registrovanih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1B1AD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BA1E6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B3E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E6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E6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A1E6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A1E6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BA1E6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A5049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584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1E75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440B14" w:rsidRPr="00552642" w:rsidRDefault="00440B14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E75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E7584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E75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E7584" w:rsidRPr="00552642" w:rsidRDefault="001E758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akcionarskih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E7584" w:rsidRPr="00552642" w:rsidRDefault="001E758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="008D2D2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42672" w:rsidRPr="00552642" w:rsidRDefault="001E758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ogranke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C90F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42672" w:rsidRPr="00552642" w:rsidRDefault="00F75651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političkih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sportskih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crkava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verskih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E7584" w:rsidRPr="00552642" w:rsidRDefault="00C90FE8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8D2D2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fondacije</w:t>
      </w:r>
      <w:r w:rsidR="00C426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426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zadužbine</w:t>
      </w:r>
      <w:r w:rsidR="00C30F9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54C80" w:rsidRPr="00552642" w:rsidRDefault="00C90FE8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8D2D2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ustanov</w:t>
      </w:r>
      <w:r w:rsidR="00B5499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87650" w:rsidRPr="00552642" w:rsidRDefault="00AD187F" w:rsidP="00440B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7)</w:t>
      </w:r>
      <w:r w:rsidR="00440B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predstavništva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="005530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fondacija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zadužbina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672F8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A482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EA482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A482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A482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A8765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72F8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pojmova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0B14" w:rsidRPr="00552642" w:rsidRDefault="00440B14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15C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672F8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pojmovi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672F8" w:rsidRPr="00552642" w:rsidRDefault="007E1826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2A3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C72A3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jedinstvena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elektronska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baza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C96BE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367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B4738" w:rsidRPr="00552642" w:rsidRDefault="0011073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B47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D231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31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Centralnoj</w:t>
      </w:r>
      <w:r w:rsidR="00D231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D231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D1F9B" w:rsidRPr="00552642" w:rsidRDefault="00827EAF" w:rsidP="00440B14">
      <w:pPr>
        <w:pStyle w:val="Default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52642">
        <w:rPr>
          <w:rFonts w:ascii="Times New Roman" w:hAnsi="Times New Roman" w:cs="Times New Roman"/>
          <w:noProof/>
          <w:lang w:val="sr-Latn-CS"/>
        </w:rPr>
        <w:t>3</w:t>
      </w:r>
      <w:r w:rsidR="003672F8" w:rsidRPr="00552642">
        <w:rPr>
          <w:rFonts w:ascii="Times New Roman" w:hAnsi="Times New Roman" w:cs="Times New Roman"/>
          <w:noProof/>
          <w:lang w:val="sr-Latn-CS"/>
        </w:rPr>
        <w:t>)</w:t>
      </w:r>
      <w:r w:rsidR="00EB6B97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stvarni</w:t>
      </w:r>
      <w:r w:rsidR="00E61046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vlasnik</w:t>
      </w:r>
      <w:r w:rsidR="00E61046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Registrovanog</w:t>
      </w:r>
      <w:r w:rsidR="00C96BE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subjekta</w:t>
      </w:r>
      <w:r w:rsidR="00484C53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jeste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: </w:t>
      </w:r>
    </w:p>
    <w:p w:rsidR="00700EC2" w:rsidRPr="00552642" w:rsidRDefault="003D1F9B" w:rsidP="00440B14">
      <w:pPr>
        <w:pStyle w:val="Default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52642">
        <w:rPr>
          <w:rFonts w:ascii="Times New Roman" w:hAnsi="Times New Roman" w:cs="Times New Roman"/>
          <w:noProof/>
          <w:lang w:val="sr-Latn-CS"/>
        </w:rPr>
        <w:t xml:space="preserve">(1) </w:t>
      </w:r>
      <w:r w:rsidR="00552642">
        <w:rPr>
          <w:rFonts w:ascii="Times New Roman" w:hAnsi="Times New Roman" w:cs="Times New Roman"/>
          <w:noProof/>
          <w:lang w:val="sr-Latn-CS"/>
        </w:rPr>
        <w:t>fizičko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koje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posredno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ili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neposredno</w:t>
      </w:r>
      <w:r w:rsidR="00947B87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imalac</w:t>
      </w:r>
      <w:r w:rsidR="00947B87" w:rsidRPr="00552642">
        <w:rPr>
          <w:rFonts w:ascii="Times New Roman" w:hAnsi="Times New Roman" w:cs="Times New Roman"/>
          <w:noProof/>
          <w:lang w:val="sr-Latn-CS"/>
        </w:rPr>
        <w:t xml:space="preserve"> 25% </w:t>
      </w:r>
      <w:r w:rsidR="00552642">
        <w:rPr>
          <w:rFonts w:ascii="Times New Roman" w:hAnsi="Times New Roman" w:cs="Times New Roman"/>
          <w:noProof/>
          <w:lang w:val="sr-Latn-CS"/>
        </w:rPr>
        <w:t>ili</w:t>
      </w:r>
      <w:r w:rsidR="00947B87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više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udela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akcija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prava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glasa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ili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drugih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prava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na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osnovu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kojih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učestvuje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upravljanju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Registrovanim</w:t>
      </w:r>
      <w:r w:rsidR="001460CD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subjektom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odnosno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učestvuje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kapitalu</w:t>
      </w:r>
      <w:r w:rsidR="001460CD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Registrovanog</w:t>
      </w:r>
      <w:r w:rsidR="001460CD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subjekta</w:t>
      </w:r>
      <w:r w:rsidR="00700EC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sa</w:t>
      </w:r>
      <w:r w:rsidR="00700EC2" w:rsidRPr="00552642">
        <w:rPr>
          <w:rFonts w:ascii="Times New Roman" w:hAnsi="Times New Roman" w:cs="Times New Roman"/>
          <w:noProof/>
          <w:lang w:val="sr-Latn-CS"/>
        </w:rPr>
        <w:t xml:space="preserve"> 25% </w:t>
      </w:r>
      <w:r w:rsidR="00552642">
        <w:rPr>
          <w:rFonts w:ascii="Times New Roman" w:hAnsi="Times New Roman" w:cs="Times New Roman"/>
          <w:noProof/>
          <w:lang w:val="sr-Latn-CS"/>
        </w:rPr>
        <w:t>ili</w:t>
      </w:r>
      <w:r w:rsidR="00700EC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više</w:t>
      </w:r>
      <w:r w:rsidR="00700EC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udela</w:t>
      </w:r>
      <w:r w:rsidR="00700EC2" w:rsidRPr="00552642">
        <w:rPr>
          <w:rFonts w:ascii="Times New Roman" w:hAnsi="Times New Roman" w:cs="Times New Roman"/>
          <w:noProof/>
          <w:lang w:val="sr-Latn-CS"/>
        </w:rPr>
        <w:t>;</w:t>
      </w:r>
    </w:p>
    <w:p w:rsidR="003D1F9B" w:rsidRPr="00552642" w:rsidRDefault="00700EC2" w:rsidP="00440B14">
      <w:pPr>
        <w:pStyle w:val="Default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52642">
        <w:rPr>
          <w:rFonts w:ascii="Times New Roman" w:hAnsi="Times New Roman" w:cs="Times New Roman"/>
          <w:noProof/>
          <w:lang w:val="sr-Latn-CS"/>
        </w:rPr>
        <w:t>(2)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fizičko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koje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posredno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ili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neposredno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ima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preovlađujući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uticaj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na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vođenje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poslova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donošenje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odluka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EA408A" w:rsidRPr="00552642" w:rsidRDefault="00700EC2" w:rsidP="00440B14">
      <w:pPr>
        <w:pStyle w:val="Default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52642">
        <w:rPr>
          <w:rFonts w:ascii="Times New Roman" w:hAnsi="Times New Roman" w:cs="Times New Roman"/>
          <w:noProof/>
          <w:lang w:val="sr-Latn-CS"/>
        </w:rPr>
        <w:t>(3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) </w:t>
      </w:r>
      <w:r w:rsidR="00552642">
        <w:rPr>
          <w:rFonts w:ascii="Times New Roman" w:hAnsi="Times New Roman" w:cs="Times New Roman"/>
          <w:noProof/>
          <w:lang w:val="sr-Latn-CS"/>
        </w:rPr>
        <w:t>fizičko</w:t>
      </w:r>
      <w:r w:rsidR="00CE49E6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="00CE49E6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koje</w:t>
      </w:r>
      <w:r w:rsidR="00CE49E6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Registrovanom</w:t>
      </w:r>
      <w:r w:rsidR="00CE49E6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subjektu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posredno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obezbedi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ili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obezbeđuje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sredstva</w:t>
      </w:r>
      <w:r w:rsidR="006B136F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</w:t>
      </w:r>
      <w:r w:rsidR="006B136F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</w:t>
      </w:r>
      <w:r w:rsidR="006B136F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tom</w:t>
      </w:r>
      <w:r w:rsidR="006B136F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osnovu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bitno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utiče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na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donošenje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odluka</w:t>
      </w:r>
      <w:r w:rsidR="00233C2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organa</w:t>
      </w:r>
      <w:r w:rsidR="00233C2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upravljanja</w:t>
      </w:r>
      <w:r w:rsidR="00233C2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Registrovanog</w:t>
      </w:r>
      <w:r w:rsidR="00CE49E6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subjekta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prilikom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odlučivanja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finansiranju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poslovanju</w:t>
      </w:r>
      <w:r w:rsidR="00110732" w:rsidRPr="00552642">
        <w:rPr>
          <w:rFonts w:ascii="Times New Roman" w:hAnsi="Times New Roman" w:cs="Times New Roman"/>
          <w:noProof/>
          <w:lang w:val="sr-Latn-CS"/>
        </w:rPr>
        <w:t>;</w:t>
      </w:r>
    </w:p>
    <w:p w:rsidR="00B35325" w:rsidRPr="00552642" w:rsidRDefault="00EA408A" w:rsidP="00440B14">
      <w:pPr>
        <w:pStyle w:val="Default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52642">
        <w:rPr>
          <w:rFonts w:ascii="Times New Roman" w:hAnsi="Times New Roman" w:cs="Times New Roman"/>
          <w:noProof/>
          <w:lang w:val="sr-Latn-CS"/>
        </w:rPr>
        <w:t xml:space="preserve">(4) </w:t>
      </w:r>
      <w:r w:rsidR="00552642">
        <w:rPr>
          <w:rFonts w:ascii="Times New Roman" w:hAnsi="Times New Roman" w:cs="Times New Roman"/>
          <w:noProof/>
          <w:lang w:val="sr-Latn-CS"/>
        </w:rPr>
        <w:t>fizičko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koje</w:t>
      </w:r>
      <w:r w:rsidR="0055308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osnivač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poverenik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zaštitnik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korisnik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ako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određen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kao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koje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ima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dominantan</w:t>
      </w:r>
      <w:r w:rsidR="003D1F9B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položaj</w:t>
      </w:r>
      <w:r w:rsidR="0055308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</w:t>
      </w:r>
      <w:r w:rsidR="0055308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upravljanju</w:t>
      </w:r>
      <w:r w:rsidR="0055308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trastom</w:t>
      </w:r>
      <w:r w:rsidR="00553082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odnosno</w:t>
      </w:r>
      <w:r w:rsidR="0011073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</w:t>
      </w:r>
      <w:r w:rsidR="0011073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drugom</w:t>
      </w:r>
      <w:r w:rsidR="0011073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licu</w:t>
      </w:r>
      <w:r w:rsidR="0011073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stranog</w:t>
      </w:r>
      <w:r w:rsidR="00110732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prava</w:t>
      </w:r>
      <w:r w:rsidR="00110732" w:rsidRPr="00552642">
        <w:rPr>
          <w:rFonts w:ascii="Times New Roman" w:hAnsi="Times New Roman" w:cs="Times New Roman"/>
          <w:noProof/>
          <w:lang w:val="sr-Latn-CS"/>
        </w:rPr>
        <w:t>;</w:t>
      </w:r>
    </w:p>
    <w:p w:rsidR="00110732" w:rsidRPr="00552642" w:rsidRDefault="00110732" w:rsidP="00440B14">
      <w:pPr>
        <w:pStyle w:val="Default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52642">
        <w:rPr>
          <w:rFonts w:ascii="Times New Roman" w:hAnsi="Times New Roman" w:cs="Times New Roman"/>
          <w:noProof/>
          <w:lang w:val="sr-Latn-CS"/>
        </w:rPr>
        <w:lastRenderedPageBreak/>
        <w:t xml:space="preserve">(5) </w:t>
      </w:r>
      <w:r w:rsidR="00552642">
        <w:rPr>
          <w:rFonts w:ascii="Times New Roman" w:hAnsi="Times New Roman" w:cs="Times New Roman"/>
          <w:noProof/>
          <w:lang w:val="sr-Latn-CS"/>
        </w:rPr>
        <w:t>fizičko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koje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registrovano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za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zastupanje</w:t>
      </w:r>
      <w:r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zadruga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fondacija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zadužbina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i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ustanova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lang w:val="sr-Latn-CS"/>
        </w:rPr>
        <w:t>ako</w:t>
      </w:r>
      <w:r w:rsidR="002819C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ovlašćeno</w:t>
      </w:r>
      <w:r w:rsidR="002819C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="002819C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za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zastupanje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nije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prijavilo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drugo</w:t>
      </w:r>
      <w:r w:rsidR="004C449E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fizičko</w:t>
      </w:r>
      <w:r w:rsidR="00B53074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lice</w:t>
      </w:r>
      <w:r w:rsidR="00B53074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kao</w:t>
      </w:r>
      <w:r w:rsidR="00B53074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stvarnog</w:t>
      </w:r>
      <w:r w:rsidR="00B53074" w:rsidRPr="00552642">
        <w:rPr>
          <w:rFonts w:ascii="Times New Roman" w:hAnsi="Times New Roman" w:cs="Times New Roman"/>
          <w:noProof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lang w:val="sr-Latn-CS"/>
        </w:rPr>
        <w:t>vlasnika</w:t>
      </w:r>
      <w:r w:rsidR="00B53074" w:rsidRPr="00552642">
        <w:rPr>
          <w:rFonts w:ascii="Times New Roman" w:hAnsi="Times New Roman" w:cs="Times New Roman"/>
          <w:noProof/>
          <w:lang w:val="sr-Latn-CS"/>
        </w:rPr>
        <w:t>.</w:t>
      </w:r>
    </w:p>
    <w:p w:rsidR="00BB6C2E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0EC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3)</w:t>
      </w:r>
      <w:r w:rsidR="00BD3A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="00440B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 (1) -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(4)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576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1107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zastupanje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B6C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507BA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BD3A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pojmovi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upotrebljavaju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="006E13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13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4804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="004804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6E13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="0077331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507BA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="00C507B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</w:p>
    <w:p w:rsidR="00440B14" w:rsidRPr="00552642" w:rsidRDefault="00440B14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507B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266AF8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825AE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825AE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825AE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25AE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5AE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25AE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11EC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EC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elektronskoj</w:t>
      </w:r>
      <w:r w:rsidR="00E11EC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E11EC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1710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E1710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registratora</w:t>
      </w:r>
      <w:r w:rsidR="00E1710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6AF8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266A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266A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</w:p>
    <w:p w:rsidR="00440B14" w:rsidRPr="00552642" w:rsidRDefault="00440B14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66A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7257B8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forme</w:t>
      </w:r>
      <w:r w:rsidR="006338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0B4B9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A413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A413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A54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A54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sedišta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podatka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dodeljen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7257B8" w:rsidRPr="00552642" w:rsidRDefault="008177D0" w:rsidP="0063388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261B6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261B6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61B6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261B6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aktivan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stečaju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likvidaciji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388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prinudnoj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likvidaciji</w:t>
      </w:r>
      <w:r w:rsidR="00261B6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brisan</w:t>
      </w:r>
      <w:r w:rsidR="00261B6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6161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forma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šifra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pretežne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3862C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862C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3862C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3862C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zastupniku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DC70B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70BB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B6F4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B72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57B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177D0" w:rsidRPr="00552642" w:rsidRDefault="008177D0" w:rsidP="0001016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63C7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63C7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="0001016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63C7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63C7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osnivačima</w:t>
      </w:r>
      <w:r w:rsidR="00763C7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procentu</w:t>
      </w:r>
      <w:r w:rsidR="00254FF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490B8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490B8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dnosno</w:t>
      </w:r>
    </w:p>
    <w:p w:rsidR="007257B8" w:rsidRPr="00552642" w:rsidRDefault="00552642" w:rsidP="0001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490B8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90B8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procentu</w:t>
      </w:r>
      <w:r w:rsidR="00443CF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7B333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7257B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skraćeno</w:t>
      </w:r>
      <w:r w:rsidR="007D57B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7D57B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7D57B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skraćeno</w:t>
      </w:r>
      <w:r w:rsidR="007D57B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7D57B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16)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prijem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17)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prijem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18)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brojeve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bankama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5CE8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19)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kontakt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F52FF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449F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449F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5CE8" w:rsidRPr="00552642" w:rsidRDefault="00552642" w:rsidP="00440B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="00B3070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B3070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4E5CE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177D0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B35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domaće</w:t>
      </w:r>
      <w:r w:rsidR="005B35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35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lično</w:t>
      </w:r>
      <w:r w:rsidR="00055F9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055F9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jedinstveni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55F9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</w:p>
    <w:p w:rsidR="003F543A" w:rsidRPr="00552642" w:rsidRDefault="00552642" w:rsidP="0044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F543A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stranca</w:t>
      </w:r>
      <w:r w:rsidR="00CB0AB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lično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stranca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stranca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zemlja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ulazak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boravak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stranaca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F54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državljanstvo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177D0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277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izbegla</w:t>
      </w:r>
      <w:r w:rsidR="009277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277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prognana</w:t>
      </w:r>
      <w:r w:rsidR="009277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2778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lično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legitimacije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</w:p>
    <w:p w:rsidR="005A37E9" w:rsidRPr="00552642" w:rsidRDefault="00552642" w:rsidP="0044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92F2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boravišta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35EF5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svojstva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4C34D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005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005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EA40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="00575BF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(1) - (5)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40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5142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A40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35E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A37E9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C005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005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005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C0058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B188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188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Centralna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datume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evidentiranju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B188E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</w:t>
      </w:r>
      <w:r w:rsidR="00CB2D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5A37E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0F53C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0F53C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0F53C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43206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8300F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8300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58300F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2531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31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2531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2531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531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43776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5A410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43776" w:rsidRPr="00552642" w:rsidRDefault="00932CD8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vlasničke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strukture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591E2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177D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177D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2FF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ceniti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svojstva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F437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1AF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721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F59A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0B14" w:rsidRPr="00552642" w:rsidRDefault="00440B14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AC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11EC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3F7CB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F00AC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F00AC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registrator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02A3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02A3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02A3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preuzetih</w:t>
      </w:r>
      <w:r w:rsidR="00802A3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F7CB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3F7CB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F7CB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32CD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45953" w:rsidRPr="00552642" w:rsidRDefault="008177D0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zastupanje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B758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164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2164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F1F6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F00A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C5310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</w:t>
      </w:r>
      <w:r w:rsidR="00A34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34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509B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preuzme</w:t>
      </w:r>
      <w:r w:rsidR="00C10B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C10B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A34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34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34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509B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0509B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509B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913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nastupanja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913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nastaloj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dobijenog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C096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C10B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10B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C10B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10BC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83296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824B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="008824B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824B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8824B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Centralnoj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7C531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531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C531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C531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8108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7C531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C61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C61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C61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nastupanja</w:t>
      </w:r>
      <w:r w:rsidR="009C61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</w:t>
      </w:r>
      <w:r w:rsidR="009C61F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582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66E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83296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Centralnoj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portala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08329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3682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5A58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58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ispravku</w:t>
      </w:r>
      <w:r w:rsidR="005A58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5A58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A58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kvalifikovanog</w:t>
      </w:r>
      <w:r w:rsidR="005A587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932CD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2CD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</w:t>
      </w:r>
      <w:r w:rsidR="00932CD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34D5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CE35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8143A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portalu</w:t>
      </w:r>
      <w:r w:rsidR="008143A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143A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143A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A368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22DB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Izvodi</w:t>
      </w:r>
      <w:r w:rsidR="00B20C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0C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7222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222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7222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22D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8177D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B4C0B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zainteresovanog</w:t>
      </w:r>
      <w:r w:rsidR="00783DF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27A3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B4C0B" w:rsidRPr="00552642" w:rsidRDefault="000A3B30" w:rsidP="00A620A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A62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B4C0B" w:rsidRPr="00552642" w:rsidRDefault="000A3B30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46C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istorijskim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="008C5E5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07DAF" w:rsidRPr="00552642" w:rsidRDefault="000A3B30" w:rsidP="00440B1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9701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neko</w:t>
      </w:r>
      <w:r w:rsidR="003F0F5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07DA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07DA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107DA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9124F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C5E5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735A8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A62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A620A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07DA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B4C0B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Zahtev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portala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FB1EB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podnesak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5214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4C0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izvoda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5214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4044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F396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1B1C5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627B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</w:t>
      </w:r>
      <w:r w:rsidR="005318E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8E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dejstvo</w:t>
      </w:r>
      <w:r w:rsidR="005318E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504F4C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evidentiranjem</w:t>
      </w:r>
      <w:r w:rsidR="005318E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318E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5271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396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portalu</w:t>
      </w:r>
      <w:r w:rsidR="007F396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D5C5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13A4B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D8525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0149F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dejstvo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trećim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5271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5271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B5271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B5271C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396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portalu</w:t>
      </w:r>
      <w:r w:rsidR="007F396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7B05F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913C8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A913C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A913C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C7F5A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3C7F5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511E7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tačne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ažurne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8C5E5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8C5E5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8C5E5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A805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10203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917B9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D15B2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670F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13A4B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1176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1176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176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1176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CB2DF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1176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11763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D3D4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292F7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B35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B152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7B35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DE7EC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DE7EC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7B35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627B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</w:t>
      </w:r>
      <w:r w:rsidR="00551421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1601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sredstvo</w:t>
      </w:r>
      <w:r w:rsidR="00DF4AA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F4AA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stvarne</w:t>
      </w:r>
      <w:r w:rsidR="00DF4AA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vlasnike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4206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E07E3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evidentirano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sedištu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C57C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C57C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57C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C57C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57C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57C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21C54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1D5D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D5D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1D5D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presude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tužilac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342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presudu</w:t>
      </w:r>
      <w:r w:rsidR="001D5D2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C00AA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603EC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452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452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tužbi</w:t>
      </w:r>
      <w:r w:rsidR="007452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452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3B0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452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hitan</w:t>
      </w:r>
      <w:r w:rsidR="0074523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20E64" w:rsidRPr="00552642" w:rsidRDefault="00114E55" w:rsidP="00440B1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4E55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0A3B3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920E6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F4AAB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="005B60E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="00EB191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F4AAB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prikrije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upiše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upiše</w:t>
      </w:r>
      <w:r w:rsidR="00420CB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neistinit</w:t>
      </w:r>
      <w:r w:rsidR="00420CB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vlasniku</w:t>
      </w:r>
      <w:r w:rsidR="00420CB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420CB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istinit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izbriše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istinit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0966CE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zatvora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5232F8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83B6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EB6B9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F4AAB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Prekršaji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E5FCC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A4D4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DA4D4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816E5" w:rsidRPr="00552642" w:rsidRDefault="009E5FCC" w:rsidP="0044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40B1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94B4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114E5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816E5" w:rsidRPr="00552642" w:rsidRDefault="005816E5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BF38D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BF38D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F38D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F38D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Centralnoj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1B0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A3B30" w:rsidRPr="00552642" w:rsidRDefault="005816E5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tačne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ažurne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evidentirao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14E5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2A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72AC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E3437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816E5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816E5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F4AAB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="00DF4AA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F4AA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DF4AA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51280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Postojeći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odrede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stvarnog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Registrovanog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51280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1280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B241D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3A4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51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176F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2C176F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4D767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73F83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F41FB9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DB7E3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9428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24A2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176F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</w:t>
      </w:r>
    </w:p>
    <w:p w:rsidR="007F165F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F165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65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7F165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Centralnu</w:t>
      </w:r>
      <w:r w:rsidR="007F165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F165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F165F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A7AAD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Ovlašćeno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Registrovanog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osnovanog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AA7AAD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E667EA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204F4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</w:p>
    <w:p w:rsidR="00440B14" w:rsidRPr="00552642" w:rsidRDefault="00440B14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448A" w:rsidRPr="00552642" w:rsidRDefault="00552642" w:rsidP="0044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2627B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C176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DB7E36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204F4" w:rsidRPr="00552642" w:rsidRDefault="00552642" w:rsidP="0044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756AA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3793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204F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7A44" w:rsidRPr="00552642" w:rsidRDefault="00857A44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857A44" w:rsidRPr="00552642" w:rsidRDefault="00552642" w:rsidP="00857A44">
      <w:pPr>
        <w:pStyle w:val="Heading1"/>
        <w:spacing w:before="0"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Toc458678115"/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57A44" w:rsidRPr="00552642" w:rsidRDefault="00857A44" w:rsidP="00857A44">
      <w:pPr>
        <w:rPr>
          <w:noProof/>
          <w:lang w:val="sr-Latn-CS"/>
        </w:rPr>
      </w:pPr>
    </w:p>
    <w:p w:rsidR="00857A44" w:rsidRPr="00552642" w:rsidRDefault="00857A44" w:rsidP="00857A44">
      <w:pPr>
        <w:pStyle w:val="Heading1"/>
        <w:spacing w:before="0" w:after="0"/>
        <w:rPr>
          <w:rFonts w:ascii="Times New Roman" w:hAnsi="Times New Roman"/>
          <w:noProof/>
          <w:sz w:val="24"/>
          <w:szCs w:val="24"/>
          <w:lang w:val="sr-Latn-CS"/>
        </w:rPr>
      </w:pPr>
      <w:bookmarkStart w:id="1" w:name="_Toc458678116"/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ZAKON</w:t>
      </w:r>
      <w:bookmarkEnd w:id="1"/>
      <w:r w:rsidR="00552642"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857A44" w:rsidRPr="00552642" w:rsidRDefault="00857A44" w:rsidP="00857A44">
      <w:pPr>
        <w:rPr>
          <w:noProof/>
          <w:lang w:val="sr-Latn-CS"/>
        </w:rPr>
      </w:pP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Ustavom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2" w:name="_Toc458678117"/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II.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bookmarkEnd w:id="2"/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    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usklade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2015/849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sprečavanju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preduzmu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pronalaženja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proizilaze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ažurne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udelima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članici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857A44" w:rsidRPr="00552642">
        <w:rPr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57A44" w:rsidRPr="0055264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CS"/>
        </w:rPr>
        <w:t>2017/1132</w:t>
      </w:r>
      <w:r w:rsidR="00857A44" w:rsidRPr="00552642">
        <w:rPr>
          <w:b/>
          <w:bCs/>
          <w:noProof/>
          <w:color w:val="000000"/>
          <w:shd w:val="clear" w:color="auto" w:fill="FFFFFF"/>
          <w:lang w:val="sr-Latn-CS"/>
        </w:rPr>
        <w:t> 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ažurni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57A44" w:rsidRPr="00552642" w:rsidRDefault="00857A44" w:rsidP="00857A44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dostupne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finansijsko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obaveštajnim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ikakvog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fizička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profesionalnih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advokati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beležnici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revizori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knjigovođe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dubinske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osobama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dokazati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Osobama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dokazati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imenu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nacionalnosti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boravišta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procentu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vlasničkog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borbi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širenja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masovno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uništenje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FATF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>, (</w:t>
      </w:r>
      <w:r w:rsidRPr="00552642">
        <w:rPr>
          <w:rFonts w:ascii="Times New Roman" w:hAnsi="Times New Roman"/>
          <w:i/>
          <w:noProof/>
          <w:sz w:val="24"/>
          <w:szCs w:val="24"/>
          <w:lang w:val="sr-Latn-CS"/>
        </w:rPr>
        <w:t>Financial Action Task Force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Preporuci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pribave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tačne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aktuelne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FATF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kaže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nekoj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registrovana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nekoj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obično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Minimalne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evidentirane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potvrda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registraciji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adresa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registrovanog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sedišta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osnivačka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akcionara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akcionari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akcionar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kategoriju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pStyle w:val="Num-DocParagraph0"/>
        <w:tabs>
          <w:tab w:val="clear" w:pos="850"/>
          <w:tab w:val="clear" w:pos="1191"/>
          <w:tab w:val="left" w:pos="0"/>
          <w:tab w:val="left" w:pos="720"/>
          <w:tab w:val="left" w:pos="108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FATF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evaluacije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petom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krugu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evaluacije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pojačanom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praćenju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naveo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uvesti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registraciju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nepostupanje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neistinitih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ostavljen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ispuni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najznačajnijih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57A44" w:rsidRPr="00552642" w:rsidRDefault="00857A44" w:rsidP="00857A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donela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formira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Centralna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evidencija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         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izneto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smatramo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uredilo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fondacija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zadužbina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celovit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sveobuhvatan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uredilo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otkrivanja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domaćeg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standardima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57A44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Arial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nedelotvoran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ušla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pojačan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procedurama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pokaže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postigla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napredak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konstatovanih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nedostaci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delotvornosti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pokazala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zadovoljavajući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napredak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potvrdio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pojačanom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usvojenom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zasedanju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ostavljen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</w:t>
      </w:r>
      <w:r w:rsidR="00857A44" w:rsidRPr="00552642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pokaže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napredak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delotvornosti</w:t>
      </w:r>
      <w:r w:rsidR="00857A44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nedavno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otvorila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poglavlja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pregovorima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pristupanje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nacionalno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ubrzano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usaglasiti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evropskim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57A44" w:rsidRPr="00552642" w:rsidRDefault="00857A44" w:rsidP="00857A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standardi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razlozima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usaglašava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uporednopravna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ukazuju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regulisana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tesnoj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efikasnošću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Manival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ocenjen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prilično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lošim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ocenama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pokazati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političku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spremnost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pokazuje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ozbiljne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nedostatke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izlaže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riziku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zloupotreba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političke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volje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priznavanja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ozbiljnosti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doprineće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efikasnijem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zadatih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borbe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57A44" w:rsidRPr="00552642" w:rsidRDefault="00857A44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pStyle w:val="Heading1"/>
        <w:spacing w:before="0"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3" w:name="_Toc458678118"/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REŠENJ</w:t>
      </w:r>
      <w:bookmarkEnd w:id="3"/>
      <w:r w:rsidR="00552642"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857A44" w:rsidRPr="00552642" w:rsidRDefault="00857A44" w:rsidP="00857A44">
      <w:pPr>
        <w:rPr>
          <w:noProof/>
          <w:lang w:val="sr-Latn-CS"/>
        </w:rPr>
      </w:pP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Predloga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definiše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utvrđuju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uspostavljanja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vođenja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određuju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primenjuje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koga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primenjuje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definiše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pojam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pojam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evidentiranja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vođenje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mora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sadržati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sadržinu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bliže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sadržinu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upisa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osnivanje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vlasničke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strukture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članova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kojih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ceniti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ispunjenost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sticanje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svojstva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evidentiranje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podaci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evidentiraju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registrator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preuzme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slučaju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dođe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evidentira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Centralnoj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slučaju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nastupanja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odgovarajućeg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upisa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omogući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nesmetan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pristup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Centralnoj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evidentiranja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evidentiranje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upotrebu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kvalifikovanog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elektronskog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potpisa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pristup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internet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portalu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njenog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korišćenja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prijema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izdaje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izvod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potvrde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forma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kojoj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podnosi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izdavanje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izvoda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potvrde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prilaže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dokaz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uplati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izdavanje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izvoda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potvrde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utvrđivanje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visine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objavljivanje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važećih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istovremeno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upisom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podaci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proizvode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dejstvo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trećim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licima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narednog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objavljivanja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čuva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vezi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čuvanja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stvarnim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vlasnicima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bliže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elektronske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podataka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državnih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Narodne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banke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postupak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tužbi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slučaju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Registrovanog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tvrdi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stvarni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nadležnost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vršenje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nadzora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biće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zaprećenu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Član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prekršaje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zaprećenu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15-17.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propisuju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prelazne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završne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ostalog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doneti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podzakonski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registre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uspostaviti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evidenciju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predviđeno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stupanje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snagu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osmog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objavljivanja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Službenom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glasniku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57A44" w:rsidRPr="00552642">
        <w:rPr>
          <w:rFonts w:ascii="Times New Roman" w:hAnsi="Times New Roman"/>
          <w:bCs/>
          <w:noProof/>
          <w:sz w:val="24"/>
          <w:szCs w:val="24"/>
          <w:lang w:val="sr-Latn-CS"/>
        </w:rPr>
        <w:t>”.</w:t>
      </w:r>
      <w:bookmarkStart w:id="4" w:name="_Toc458678119"/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IV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PROCENA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FINANSIJSKIH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SREDSTAVA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bookmarkEnd w:id="4"/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857A44" w:rsidRPr="00552642" w:rsidRDefault="00857A44" w:rsidP="00857A44">
      <w:pPr>
        <w:spacing w:after="0" w:line="240" w:lineRule="auto"/>
        <w:jc w:val="both"/>
        <w:rPr>
          <w:rFonts w:ascii="Calibri" w:hAnsi="Calibri"/>
          <w:b/>
          <w:noProof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predviđa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novih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već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korišćenje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postojećih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resursa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kod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nadležnih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državnih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primenu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primenu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nije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obezbediti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sredstva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budžetu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već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će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sredstva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obezbediti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Agencija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privredne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registre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Donošenjem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nije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predviđeno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zapošljavanje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dodatne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radne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snage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državnim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organima</w:t>
      </w: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57A44" w:rsidRPr="00552642" w:rsidRDefault="00857A44" w:rsidP="00857A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55264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POSTUPK</w:t>
      </w:r>
      <w:bookmarkStart w:id="5" w:name="_Toc458678120"/>
      <w:r w:rsidR="00552642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</w:p>
    <w:p w:rsidR="00857A44" w:rsidRPr="00552642" w:rsidRDefault="00857A44" w:rsidP="00857A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Predlaže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donošenje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hitnom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saglasno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Poslovnika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skupštine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20/12 -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prečišćen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tekst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imajući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vidu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neophodno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najkraćem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pripreme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značajan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napredak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sistemu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borbu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protiv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novca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terorizma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razlog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donošenja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sprečavanju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novca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terorizma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primenjuje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aprila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Naime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decembar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2014 –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april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bila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predmet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petog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kruga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evaluacije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pogledu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radnji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mera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preduzima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cilju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borbe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protiv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novca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terorizma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vrši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Komitet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Manival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Evrope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Evaluacija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usmerena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sagledavanje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tehničke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usklađenosti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međunarodnim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standardima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borbu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protiv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novca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finansiranja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terorizma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FATF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standardi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revidirani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ali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procenu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delotvornosti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celokupnog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sistema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plenarnom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zasedanju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Komiteta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Manival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održanom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aprilu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Strazburu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usvojen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Izveštaj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evaluaciji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57A44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objavljenih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ocena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Izveštaju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komiteta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Manival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ulazi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pojačani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nadzor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strane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komiteta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:rsidR="006E6090" w:rsidRPr="00552642" w:rsidRDefault="00552642" w:rsidP="00857A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navedenog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neophodno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najkraćem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doneti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Centralnoj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evidenciji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stvarnih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vlasnika</w:t>
      </w:r>
      <w:r w:rsidR="00857A44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bookmarkEnd w:id="5"/>
    </w:p>
    <w:p w:rsidR="006E6090" w:rsidRPr="00552642" w:rsidRDefault="006E6090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br w:type="page"/>
      </w:r>
    </w:p>
    <w:p w:rsidR="006E6090" w:rsidRPr="00552642" w:rsidRDefault="006E6090" w:rsidP="006E6090">
      <w:pPr>
        <w:ind w:right="-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 xml:space="preserve">VI.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E6090" w:rsidRPr="00552642" w:rsidRDefault="00552642" w:rsidP="006E6090">
      <w:pPr>
        <w:ind w:right="-279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reši</w:t>
      </w:r>
    </w:p>
    <w:p w:rsidR="006E6090" w:rsidRPr="00552642" w:rsidRDefault="00552642" w:rsidP="006E6090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usklade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2015/849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pronalaženja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proizilaze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udelima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članici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2009/101/</w:t>
      </w:r>
      <w:r>
        <w:rPr>
          <w:rFonts w:ascii="Times New Roman" w:hAnsi="Times New Roman"/>
          <w:noProof/>
          <w:sz w:val="24"/>
          <w:szCs w:val="24"/>
          <w:lang w:val="sr-Latn-CS"/>
        </w:rPr>
        <w:t>EZ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E6090" w:rsidRPr="00552642" w:rsidRDefault="00552642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obaveštajnim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ikakvog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advokati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beležnici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revizori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knjigovođe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dubinske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Osobama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nacionalnosti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boravišta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procentu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vlasničkog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širenja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masovno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uništenje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FATF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>, (</w:t>
      </w:r>
      <w:r w:rsidR="006E6090" w:rsidRPr="00552642">
        <w:rPr>
          <w:rFonts w:ascii="Times New Roman" w:hAnsi="Times New Roman"/>
          <w:i/>
          <w:noProof/>
          <w:sz w:val="24"/>
          <w:szCs w:val="24"/>
          <w:lang w:val="sr-Latn-CS"/>
        </w:rPr>
        <w:t>Financial Action Task Force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Preporuci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aktuelne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FATF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obično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registraciji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akcionara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akcionari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akcionar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  <w:tab w:val="left" w:pos="108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FATF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evaluacije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Manival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petom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krugu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evaluacije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pojačanom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praćenju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naveo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uvesti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registraciju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nepostupanje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neistinitih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ostavljen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ispuni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najznačajnijih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registracije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stvarnog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E6090" w:rsidRPr="00552642" w:rsidRDefault="00552642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  <w:tab w:val="left" w:pos="1080"/>
        </w:tabs>
        <w:spacing w:after="0" w:line="240" w:lineRule="auto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Uprava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obrađuje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prosleđuje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otkrivanje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transakcijama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zasniva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transakcija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mehanizam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brzine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verodostojnosti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istih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uspostavljanjem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Centralne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dostupni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momenta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ukaže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6E6090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E6090" w:rsidRPr="00552642" w:rsidRDefault="00552642" w:rsidP="006E609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izneto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smatramo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uredilo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fondacija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zadužbina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celovit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sveobuhvatan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uredilo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Ciljevi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postići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E6090" w:rsidRPr="00552642" w:rsidRDefault="006E6090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CS"/>
        </w:rPr>
      </w:pPr>
    </w:p>
    <w:p w:rsidR="006E6090" w:rsidRPr="00552642" w:rsidRDefault="006E6090" w:rsidP="006E6090">
      <w:pPr>
        <w:pStyle w:val="Num-DocParagraph0"/>
        <w:tabs>
          <w:tab w:val="clear" w:pos="850"/>
          <w:tab w:val="clear" w:pos="1191"/>
          <w:tab w:val="left" w:pos="0"/>
          <w:tab w:val="left" w:pos="720"/>
        </w:tabs>
        <w:spacing w:after="0" w:line="240" w:lineRule="auto"/>
        <w:ind w:right="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jedinstvene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baze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otkrivanja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Postojeći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mehanizam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obveznicima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pokazao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efikasnim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verodostojnosti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 M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eđunarodni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standardi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akcenat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upravo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kratak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interval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doći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predviđaju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postojanje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objedinjeno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vodili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realnom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trenutno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celosti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ispuniti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Manival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imala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dokaže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postigla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napredak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konstatovanih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nedostaci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delotvornosti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pokazala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zadovoljavajući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napredak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Manival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potvrdio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pojačanom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zasedanju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preporuke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pokaže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napredak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delotvornosti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nedavno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otvorila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pregovorima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pristupanje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nacionalno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ubrzano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usaglasiti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E6090" w:rsidRPr="00552642" w:rsidRDefault="006E6090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Razmatrane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mogućnosti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6E6090" w:rsidRPr="00552642" w:rsidRDefault="006E6090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6E6090" w:rsidP="006E6090">
      <w:pPr>
        <w:tabs>
          <w:tab w:val="left" w:pos="0"/>
        </w:tabs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standardi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razlozima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usaglašava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uporedna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praksa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ukazuju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regulisana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nekim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propisuju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tabs>
          <w:tab w:val="left" w:pos="0"/>
        </w:tabs>
        <w:spacing w:after="0" w:line="240" w:lineRule="auto"/>
        <w:ind w:right="-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najbolji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</w:p>
    <w:p w:rsidR="006E6090" w:rsidRPr="00552642" w:rsidRDefault="006E6090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tesnoj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efikasnošću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Manival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ocenjen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prilično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lošim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ocenama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političku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spremnost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pokazuje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izlaže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zloupotreba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političke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volje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priznavanja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borbe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koga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najverovatnije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uticati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</w:p>
    <w:p w:rsidR="006E6090" w:rsidRPr="00552642" w:rsidRDefault="006E6090" w:rsidP="006E60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obveznicima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olakšati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preduzimanje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otkrivanje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terorizma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transakcije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uspostavljanja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izradu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redovno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ažuriranje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tzv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):</w:t>
      </w:r>
    </w:p>
    <w:p w:rsidR="006E6090" w:rsidRPr="00552642" w:rsidRDefault="006E6090" w:rsidP="006E6090">
      <w:pPr>
        <w:spacing w:after="0" w:line="240" w:lineRule="auto"/>
        <w:ind w:left="720"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akcionarskih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E6090" w:rsidRPr="00552642" w:rsidRDefault="006E6090" w:rsidP="006E6090">
      <w:pPr>
        <w:spacing w:after="0" w:line="240" w:lineRule="auto"/>
        <w:ind w:left="720"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E6090" w:rsidRPr="00552642" w:rsidRDefault="006E6090" w:rsidP="006E6090">
      <w:pPr>
        <w:spacing w:after="0" w:line="240" w:lineRule="auto"/>
        <w:ind w:left="720"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ogranke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E6090" w:rsidRPr="00552642" w:rsidRDefault="006E6090" w:rsidP="006E6090">
      <w:pPr>
        <w:spacing w:after="0" w:line="240" w:lineRule="auto"/>
        <w:ind w:left="720"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političkih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stranaka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sportskih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crkava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verskih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E6090" w:rsidRPr="00552642" w:rsidRDefault="006E6090" w:rsidP="006E6090">
      <w:pPr>
        <w:spacing w:after="0" w:line="240" w:lineRule="auto"/>
        <w:ind w:left="720"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fondacije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zadužbine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E6090" w:rsidRPr="00552642" w:rsidRDefault="006E6090" w:rsidP="006E6090">
      <w:pPr>
        <w:spacing w:after="0" w:line="240" w:lineRule="auto"/>
        <w:ind w:left="720"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ustanov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e;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predstavništva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fondacija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zadužbina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delovanje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sprečavanju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finansiranju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deviznih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menjačkih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igara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sreću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Advokatska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poštanskog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Javnobeležnička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unutrašnje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pravosuđa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javna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tužilaštva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sudovi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</w:t>
      </w:r>
      <w:r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.).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Ističemo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postići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pouzdanosti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evidentirane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stvarnim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vlasnicima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obzirom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kaznene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unošenje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neistinitih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6E6090" w:rsidRPr="00552642" w:rsidRDefault="00552642" w:rsidP="006E6090">
      <w:pPr>
        <w:autoSpaceDE w:val="0"/>
        <w:autoSpaceDN w:val="0"/>
        <w:adjustRightInd w:val="0"/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sudovi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predviđa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novih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već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korišćenje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postojećih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resursa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kod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nadležnih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državnih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primenu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izazvati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građanima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naročito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malim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preduzećima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pStyle w:val="ListParagraph"/>
        <w:autoSpaceDE w:val="0"/>
        <w:autoSpaceDN w:val="0"/>
        <w:adjustRightInd w:val="0"/>
        <w:spacing w:after="0" w:line="240" w:lineRule="auto"/>
        <w:ind w:left="0"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ukazujemo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ističemo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zanemarljivi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172.000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izloženi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besplatno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besplatno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kvalifikovani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pozitivne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posledice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opravdavaju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donošenja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prevazilaze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napred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minimalne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troškove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izazvati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Naime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obveznicima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olakšati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preduzimanje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otkrivanje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terorizma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transakcije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uspostavljanja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izradu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redovno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ažuriranje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deviznih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menjačkih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igara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sreću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Advokatska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Javnobeležnička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pravosuđa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tužilaštva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sudovi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.)</w:t>
      </w:r>
    </w:p>
    <w:p w:rsidR="006E6090" w:rsidRPr="00552642" w:rsidRDefault="006E6090" w:rsidP="006E6090">
      <w:pPr>
        <w:spacing w:after="0" w:line="240" w:lineRule="auto"/>
        <w:ind w:right="-138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podržava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stvaranje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novih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privrednih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subjekata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tržištu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tržišna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konkurencija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konkurenciju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tabs>
          <w:tab w:val="left" w:pos="7769"/>
        </w:tabs>
        <w:spacing w:after="0" w:line="240" w:lineRule="auto"/>
        <w:ind w:left="720" w:right="-138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tabs>
          <w:tab w:val="left" w:pos="7769"/>
        </w:tabs>
        <w:spacing w:after="0" w:line="240" w:lineRule="auto"/>
        <w:ind w:left="720" w:right="-138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zainteresovane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strane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imale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priliku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izjasne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E6090" w:rsidRPr="00552642" w:rsidRDefault="006E6090" w:rsidP="006E6090">
      <w:pPr>
        <w:tabs>
          <w:tab w:val="left" w:pos="7769"/>
        </w:tabs>
        <w:spacing w:after="0" w:line="240" w:lineRule="auto"/>
        <w:ind w:left="720" w:right="-138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izradila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sačinjena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preporuka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FATF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Manivala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učestvovali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tokom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preduzeti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postiglo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što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zakonom</w:t>
      </w:r>
      <w:r w:rsidR="006E6090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predviđa</w:t>
      </w:r>
    </w:p>
    <w:p w:rsidR="006E6090" w:rsidRPr="00552642" w:rsidRDefault="006E6090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6090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registrovanim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sudova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7DCF" w:rsidRPr="00552642" w:rsidRDefault="00552642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čitav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niz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upoznavanju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značaju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E6090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7DCF" w:rsidRPr="00552642" w:rsidRDefault="00DD7DCF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DD7DCF" w:rsidRPr="00552642" w:rsidRDefault="00552642" w:rsidP="00DD7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OBRAZAC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IZJAVE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USKLAĐENOSTI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PROPISA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PROPISIMA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EVROPSKE</w:t>
      </w:r>
      <w:r w:rsidR="00DD7DCF"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UNIJE</w:t>
      </w:r>
    </w:p>
    <w:p w:rsidR="00DD7DCF" w:rsidRPr="00552642" w:rsidRDefault="00DD7DCF" w:rsidP="00DD7DCF">
      <w:pPr>
        <w:pStyle w:val="FootnoteText"/>
        <w:spacing w:line="240" w:lineRule="auto"/>
        <w:rPr>
          <w:noProof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Obrađivač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Centralnoj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Draft Law on the Centralised records of beneficial owners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članica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83/08) (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):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normativnu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neispunjavanje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tekovina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ustanovljena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NPAA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NPAA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D7DCF" w:rsidRPr="00552642" w:rsidRDefault="00552642" w:rsidP="00DD7DCF">
      <w:pPr>
        <w:pStyle w:val="cm4"/>
        <w:jc w:val="both"/>
        <w:rPr>
          <w:rFonts w:ascii="Times New Roman" w:hAnsi="Times New Roman"/>
          <w:noProof/>
          <w:color w:val="FF0000"/>
          <w:lang w:val="sr-Latn-CS"/>
        </w:rPr>
      </w:pPr>
      <w:r>
        <w:rPr>
          <w:rFonts w:ascii="Times New Roman" w:hAnsi="Times New Roman"/>
          <w:noProof/>
          <w:lang w:val="sr-Latn-CS"/>
        </w:rPr>
        <w:t>a</w:t>
      </w:r>
      <w:r w:rsidR="00DD7DCF" w:rsidRPr="00552642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Navođenje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odredbi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primarnih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ocene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DD7DCF" w:rsidRPr="00552642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njima</w:t>
      </w:r>
      <w:r w:rsidR="00DD7DCF" w:rsidRPr="00552642">
        <w:rPr>
          <w:rFonts w:ascii="Times New Roman" w:hAnsi="Times New Roman"/>
          <w:noProof/>
          <w:lang w:val="sr-Latn-CS"/>
        </w:rPr>
        <w:t>:</w:t>
      </w:r>
    </w:p>
    <w:p w:rsidR="00DD7DCF" w:rsidRPr="00552642" w:rsidRDefault="00DD7DCF" w:rsidP="00DD7DC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sekundarnih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Direktiv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>a (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2015/849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parlamenta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648/2012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parlamenta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2005/60/E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parlamenta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2006/70/E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Potpuno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delimičnu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neusklađenost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postizanje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D7DCF"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materiji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sekundarni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obezbediti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obrazložiti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činjenicu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ovom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popunjavati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Tabelu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Tabelu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popunjavati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ukoliko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domaćim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propisom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sekundarnog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već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isključivo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primena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nekog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proizilazi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sekundarnog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npr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Predlogom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izradi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strateške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procene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uticaja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biće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sprovedena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Direktive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2001/42/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EZ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direktive</w:t>
      </w:r>
      <w:r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).  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DD7DCF" w:rsidRPr="00552642" w:rsidRDefault="00552642" w:rsidP="00DD7DC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Tabelu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popunjavati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jer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sekundarnog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već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isključivo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uspostavljanju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centralne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evidencije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stvarnih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vlasnika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proizilazi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sekundarnog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DD7DCF" w:rsidRPr="0055264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>a (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2015/849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parlamenta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Direktivom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) 2015/849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parlamenta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D7DCF" w:rsidRPr="005526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prevedeni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? 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preveden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? 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8.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Saradnja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Evropskom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unijom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konsultanata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D7DCF" w:rsidRPr="00552642" w:rsidRDefault="00DD7DCF" w:rsidP="00DD7D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526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bookmarkStart w:id="6" w:name="_GoBack"/>
      <w:bookmarkEnd w:id="6"/>
      <w:r w:rsidR="0055264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Pr="005526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AA7AAD" w:rsidRPr="00552642" w:rsidRDefault="00AA7AAD" w:rsidP="006E6090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AA7AAD" w:rsidRPr="00552642" w:rsidSect="00440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50" w:rsidRDefault="008A0350" w:rsidP="00CC2B1F">
      <w:pPr>
        <w:spacing w:after="0" w:line="240" w:lineRule="auto"/>
      </w:pPr>
      <w:r>
        <w:separator/>
      </w:r>
    </w:p>
  </w:endnote>
  <w:endnote w:type="continuationSeparator" w:id="0">
    <w:p w:rsidR="008A0350" w:rsidRDefault="008A0350" w:rsidP="00CC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2" w:rsidRDefault="00552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539201424"/>
      <w:docPartObj>
        <w:docPartGallery w:val="Page Numbers (Bottom of Page)"/>
        <w:docPartUnique/>
      </w:docPartObj>
    </w:sdtPr>
    <w:sdtEndPr/>
    <w:sdtContent>
      <w:p w:rsidR="00440B14" w:rsidRPr="00552642" w:rsidRDefault="00440B14">
        <w:pPr>
          <w:pStyle w:val="Footer"/>
          <w:jc w:val="right"/>
          <w:rPr>
            <w:noProof/>
            <w:lang w:val="sr-Latn-CS"/>
          </w:rPr>
        </w:pPr>
        <w:r w:rsidRPr="00552642">
          <w:rPr>
            <w:noProof/>
            <w:lang w:val="sr-Latn-CS"/>
          </w:rPr>
          <w:fldChar w:fldCharType="begin"/>
        </w:r>
        <w:r w:rsidRPr="00552642">
          <w:rPr>
            <w:noProof/>
            <w:lang w:val="sr-Latn-CS"/>
          </w:rPr>
          <w:instrText xml:space="preserve"> PAGE   \* MERGEFORMAT </w:instrText>
        </w:r>
        <w:r w:rsidRPr="00552642">
          <w:rPr>
            <w:noProof/>
            <w:lang w:val="sr-Latn-CS"/>
          </w:rPr>
          <w:fldChar w:fldCharType="separate"/>
        </w:r>
        <w:r w:rsidR="00552642">
          <w:rPr>
            <w:noProof/>
            <w:lang w:val="sr-Latn-CS"/>
          </w:rPr>
          <w:t>2</w:t>
        </w:r>
        <w:r w:rsidRPr="00552642">
          <w:rPr>
            <w:noProof/>
            <w:lang w:val="sr-Latn-CS"/>
          </w:rPr>
          <w:fldChar w:fldCharType="end"/>
        </w:r>
      </w:p>
    </w:sdtContent>
  </w:sdt>
  <w:p w:rsidR="00634206" w:rsidRPr="00552642" w:rsidRDefault="00634206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2" w:rsidRDefault="0055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50" w:rsidRDefault="008A0350" w:rsidP="00CC2B1F">
      <w:pPr>
        <w:spacing w:after="0" w:line="240" w:lineRule="auto"/>
      </w:pPr>
      <w:r>
        <w:separator/>
      </w:r>
    </w:p>
  </w:footnote>
  <w:footnote w:type="continuationSeparator" w:id="0">
    <w:p w:rsidR="008A0350" w:rsidRDefault="008A0350" w:rsidP="00CC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2" w:rsidRDefault="0055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2" w:rsidRDefault="00552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42" w:rsidRDefault="0055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248"/>
    <w:multiLevelType w:val="hybridMultilevel"/>
    <w:tmpl w:val="67440A48"/>
    <w:lvl w:ilvl="0" w:tplc="4C3AC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5CA4"/>
    <w:multiLevelType w:val="hybridMultilevel"/>
    <w:tmpl w:val="82E29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E15"/>
    <w:multiLevelType w:val="hybridMultilevel"/>
    <w:tmpl w:val="F932B60E"/>
    <w:lvl w:ilvl="0" w:tplc="F482A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67702"/>
    <w:multiLevelType w:val="hybridMultilevel"/>
    <w:tmpl w:val="BF584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41"/>
    <w:multiLevelType w:val="hybridMultilevel"/>
    <w:tmpl w:val="1EF64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537"/>
    <w:multiLevelType w:val="hybridMultilevel"/>
    <w:tmpl w:val="F40CFDD4"/>
    <w:lvl w:ilvl="0" w:tplc="7340DE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7B89"/>
    <w:multiLevelType w:val="hybridMultilevel"/>
    <w:tmpl w:val="4A1A3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71F"/>
    <w:multiLevelType w:val="hybridMultilevel"/>
    <w:tmpl w:val="B44E9378"/>
    <w:lvl w:ilvl="0" w:tplc="DC6243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0654"/>
    <w:multiLevelType w:val="hybridMultilevel"/>
    <w:tmpl w:val="785E2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72F2"/>
    <w:multiLevelType w:val="hybridMultilevel"/>
    <w:tmpl w:val="B44E9378"/>
    <w:lvl w:ilvl="0" w:tplc="DC6243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0"/>
    <w:rsid w:val="00000FA1"/>
    <w:rsid w:val="00010161"/>
    <w:rsid w:val="000149FE"/>
    <w:rsid w:val="000227E2"/>
    <w:rsid w:val="000449FD"/>
    <w:rsid w:val="000509B5"/>
    <w:rsid w:val="00055F98"/>
    <w:rsid w:val="00061A7A"/>
    <w:rsid w:val="0007547F"/>
    <w:rsid w:val="00083296"/>
    <w:rsid w:val="00084D9D"/>
    <w:rsid w:val="000917B9"/>
    <w:rsid w:val="00094280"/>
    <w:rsid w:val="000966CE"/>
    <w:rsid w:val="000A0FF3"/>
    <w:rsid w:val="000A2C5A"/>
    <w:rsid w:val="000A3710"/>
    <w:rsid w:val="000A3B30"/>
    <w:rsid w:val="000A4A31"/>
    <w:rsid w:val="000A653F"/>
    <w:rsid w:val="000B4B91"/>
    <w:rsid w:val="000B636D"/>
    <w:rsid w:val="000F53C5"/>
    <w:rsid w:val="000F6997"/>
    <w:rsid w:val="00102039"/>
    <w:rsid w:val="00107DAF"/>
    <w:rsid w:val="00110732"/>
    <w:rsid w:val="00114E55"/>
    <w:rsid w:val="0011763A"/>
    <w:rsid w:val="00124BD9"/>
    <w:rsid w:val="00127D4E"/>
    <w:rsid w:val="00132B2B"/>
    <w:rsid w:val="001460CD"/>
    <w:rsid w:val="00147CE4"/>
    <w:rsid w:val="00161612"/>
    <w:rsid w:val="00161D8D"/>
    <w:rsid w:val="001670FF"/>
    <w:rsid w:val="001872C5"/>
    <w:rsid w:val="00187A2B"/>
    <w:rsid w:val="00195FA4"/>
    <w:rsid w:val="001B1ADC"/>
    <w:rsid w:val="001B1C5C"/>
    <w:rsid w:val="001B4738"/>
    <w:rsid w:val="001B47E3"/>
    <w:rsid w:val="001B6F48"/>
    <w:rsid w:val="001C3B41"/>
    <w:rsid w:val="001C475B"/>
    <w:rsid w:val="001D38F1"/>
    <w:rsid w:val="001D5D24"/>
    <w:rsid w:val="001E0C1D"/>
    <w:rsid w:val="001E5C10"/>
    <w:rsid w:val="001E7584"/>
    <w:rsid w:val="001F1850"/>
    <w:rsid w:val="00200E45"/>
    <w:rsid w:val="002137BF"/>
    <w:rsid w:val="00221C54"/>
    <w:rsid w:val="00223742"/>
    <w:rsid w:val="00223CE9"/>
    <w:rsid w:val="00233C2B"/>
    <w:rsid w:val="00242F9A"/>
    <w:rsid w:val="00246E5A"/>
    <w:rsid w:val="00252B81"/>
    <w:rsid w:val="002531DB"/>
    <w:rsid w:val="00254FF7"/>
    <w:rsid w:val="002615E2"/>
    <w:rsid w:val="00261B6C"/>
    <w:rsid w:val="00266AF8"/>
    <w:rsid w:val="00273F83"/>
    <w:rsid w:val="002819CE"/>
    <w:rsid w:val="00281F1D"/>
    <w:rsid w:val="002845B1"/>
    <w:rsid w:val="00292F78"/>
    <w:rsid w:val="00295C39"/>
    <w:rsid w:val="002B4C0B"/>
    <w:rsid w:val="002B5F5B"/>
    <w:rsid w:val="002C0965"/>
    <w:rsid w:val="002C176F"/>
    <w:rsid w:val="002D5C56"/>
    <w:rsid w:val="002D78C4"/>
    <w:rsid w:val="002E4F28"/>
    <w:rsid w:val="002E76B2"/>
    <w:rsid w:val="002F59A1"/>
    <w:rsid w:val="00336CD2"/>
    <w:rsid w:val="00347A09"/>
    <w:rsid w:val="00351280"/>
    <w:rsid w:val="00351815"/>
    <w:rsid w:val="00353B59"/>
    <w:rsid w:val="00364A7F"/>
    <w:rsid w:val="00366252"/>
    <w:rsid w:val="003672F8"/>
    <w:rsid w:val="00373BDE"/>
    <w:rsid w:val="00383B6D"/>
    <w:rsid w:val="003862C2"/>
    <w:rsid w:val="00386881"/>
    <w:rsid w:val="00387E21"/>
    <w:rsid w:val="00391FDA"/>
    <w:rsid w:val="003A3682"/>
    <w:rsid w:val="003B484C"/>
    <w:rsid w:val="003C7F5A"/>
    <w:rsid w:val="003D1F9B"/>
    <w:rsid w:val="003E7053"/>
    <w:rsid w:val="003F0F52"/>
    <w:rsid w:val="003F1F62"/>
    <w:rsid w:val="003F543A"/>
    <w:rsid w:val="003F7CBF"/>
    <w:rsid w:val="00401AFB"/>
    <w:rsid w:val="00402B03"/>
    <w:rsid w:val="00415C44"/>
    <w:rsid w:val="00420CB2"/>
    <w:rsid w:val="0043206E"/>
    <w:rsid w:val="00434DF2"/>
    <w:rsid w:val="00440B14"/>
    <w:rsid w:val="00443CF7"/>
    <w:rsid w:val="004477AC"/>
    <w:rsid w:val="004573DC"/>
    <w:rsid w:val="00457C97"/>
    <w:rsid w:val="004603EC"/>
    <w:rsid w:val="00461277"/>
    <w:rsid w:val="00464CA3"/>
    <w:rsid w:val="00472AC7"/>
    <w:rsid w:val="00480484"/>
    <w:rsid w:val="00484C53"/>
    <w:rsid w:val="004909E7"/>
    <w:rsid w:val="00490B88"/>
    <w:rsid w:val="0049422B"/>
    <w:rsid w:val="00494589"/>
    <w:rsid w:val="004A0C3E"/>
    <w:rsid w:val="004A5496"/>
    <w:rsid w:val="004B485B"/>
    <w:rsid w:val="004B6285"/>
    <w:rsid w:val="004C34D5"/>
    <w:rsid w:val="004C3A9A"/>
    <w:rsid w:val="004C449E"/>
    <w:rsid w:val="004D3D45"/>
    <w:rsid w:val="004D56D6"/>
    <w:rsid w:val="004D7676"/>
    <w:rsid w:val="004E5CE8"/>
    <w:rsid w:val="00504F4C"/>
    <w:rsid w:val="00505702"/>
    <w:rsid w:val="00506A82"/>
    <w:rsid w:val="00516012"/>
    <w:rsid w:val="0052164F"/>
    <w:rsid w:val="005232F8"/>
    <w:rsid w:val="00526164"/>
    <w:rsid w:val="00530479"/>
    <w:rsid w:val="005318EA"/>
    <w:rsid w:val="0053238E"/>
    <w:rsid w:val="005465F4"/>
    <w:rsid w:val="00551421"/>
    <w:rsid w:val="00552642"/>
    <w:rsid w:val="00553082"/>
    <w:rsid w:val="00554BA1"/>
    <w:rsid w:val="00560430"/>
    <w:rsid w:val="00571F4B"/>
    <w:rsid w:val="00575BF9"/>
    <w:rsid w:val="005816E5"/>
    <w:rsid w:val="005829F1"/>
    <w:rsid w:val="0058300F"/>
    <w:rsid w:val="00587185"/>
    <w:rsid w:val="00591E2A"/>
    <w:rsid w:val="00597018"/>
    <w:rsid w:val="005A37E9"/>
    <w:rsid w:val="005A4102"/>
    <w:rsid w:val="005A547E"/>
    <w:rsid w:val="005A5872"/>
    <w:rsid w:val="005A6E93"/>
    <w:rsid w:val="005B3572"/>
    <w:rsid w:val="005B60E0"/>
    <w:rsid w:val="005B726F"/>
    <w:rsid w:val="005C3012"/>
    <w:rsid w:val="005E1477"/>
    <w:rsid w:val="00611B02"/>
    <w:rsid w:val="00613A4B"/>
    <w:rsid w:val="00624F4B"/>
    <w:rsid w:val="0063388F"/>
    <w:rsid w:val="00634206"/>
    <w:rsid w:val="00637934"/>
    <w:rsid w:val="006418C8"/>
    <w:rsid w:val="006502EF"/>
    <w:rsid w:val="006511E7"/>
    <w:rsid w:val="00680BA4"/>
    <w:rsid w:val="00692F20"/>
    <w:rsid w:val="00696D7C"/>
    <w:rsid w:val="006B136F"/>
    <w:rsid w:val="006B5F67"/>
    <w:rsid w:val="006C27E7"/>
    <w:rsid w:val="006D6BD5"/>
    <w:rsid w:val="006E1372"/>
    <w:rsid w:val="006E28CF"/>
    <w:rsid w:val="006E6090"/>
    <w:rsid w:val="006F1A25"/>
    <w:rsid w:val="00700EC2"/>
    <w:rsid w:val="007222DB"/>
    <w:rsid w:val="007226EE"/>
    <w:rsid w:val="007257B8"/>
    <w:rsid w:val="0072627B"/>
    <w:rsid w:val="00727A3E"/>
    <w:rsid w:val="00735A8C"/>
    <w:rsid w:val="00745238"/>
    <w:rsid w:val="00745953"/>
    <w:rsid w:val="00757C45"/>
    <w:rsid w:val="00763C7D"/>
    <w:rsid w:val="00766E4A"/>
    <w:rsid w:val="00773315"/>
    <w:rsid w:val="00773CF3"/>
    <w:rsid w:val="00783DF7"/>
    <w:rsid w:val="0079225E"/>
    <w:rsid w:val="00794B4A"/>
    <w:rsid w:val="007967AC"/>
    <w:rsid w:val="007A2571"/>
    <w:rsid w:val="007B05FA"/>
    <w:rsid w:val="007B3330"/>
    <w:rsid w:val="007B3524"/>
    <w:rsid w:val="007B3B06"/>
    <w:rsid w:val="007B616E"/>
    <w:rsid w:val="007C1926"/>
    <w:rsid w:val="007C5310"/>
    <w:rsid w:val="007C58AE"/>
    <w:rsid w:val="007D57BE"/>
    <w:rsid w:val="007E1826"/>
    <w:rsid w:val="007F165F"/>
    <w:rsid w:val="007F3967"/>
    <w:rsid w:val="007F525B"/>
    <w:rsid w:val="00802A3B"/>
    <w:rsid w:val="00802D16"/>
    <w:rsid w:val="00805B9B"/>
    <w:rsid w:val="008143A0"/>
    <w:rsid w:val="008177D0"/>
    <w:rsid w:val="00825AE3"/>
    <w:rsid w:val="00827EAF"/>
    <w:rsid w:val="008312A6"/>
    <w:rsid w:val="00837A64"/>
    <w:rsid w:val="008445BB"/>
    <w:rsid w:val="00856DFD"/>
    <w:rsid w:val="00857A44"/>
    <w:rsid w:val="008824B7"/>
    <w:rsid w:val="00891046"/>
    <w:rsid w:val="00891865"/>
    <w:rsid w:val="008A0350"/>
    <w:rsid w:val="008C5E57"/>
    <w:rsid w:val="008D2D21"/>
    <w:rsid w:val="0090625D"/>
    <w:rsid w:val="00906EA9"/>
    <w:rsid w:val="009124FD"/>
    <w:rsid w:val="00914D8A"/>
    <w:rsid w:val="009204F4"/>
    <w:rsid w:val="00920E64"/>
    <w:rsid w:val="00927784"/>
    <w:rsid w:val="00932CD8"/>
    <w:rsid w:val="00940364"/>
    <w:rsid w:val="00941142"/>
    <w:rsid w:val="00941688"/>
    <w:rsid w:val="0094582F"/>
    <w:rsid w:val="00946365"/>
    <w:rsid w:val="00947B87"/>
    <w:rsid w:val="0095768F"/>
    <w:rsid w:val="0097430F"/>
    <w:rsid w:val="00994A7E"/>
    <w:rsid w:val="009C61F2"/>
    <w:rsid w:val="009D3C43"/>
    <w:rsid w:val="009E3437"/>
    <w:rsid w:val="009E541D"/>
    <w:rsid w:val="009E5FCC"/>
    <w:rsid w:val="009F0D3F"/>
    <w:rsid w:val="009F4184"/>
    <w:rsid w:val="00A019F1"/>
    <w:rsid w:val="00A1325A"/>
    <w:rsid w:val="00A14D2E"/>
    <w:rsid w:val="00A340AD"/>
    <w:rsid w:val="00A41364"/>
    <w:rsid w:val="00A50495"/>
    <w:rsid w:val="00A620AD"/>
    <w:rsid w:val="00A7418C"/>
    <w:rsid w:val="00A805C7"/>
    <w:rsid w:val="00A8108B"/>
    <w:rsid w:val="00A87650"/>
    <w:rsid w:val="00A913C8"/>
    <w:rsid w:val="00AA7AAD"/>
    <w:rsid w:val="00AB3EE9"/>
    <w:rsid w:val="00AB7661"/>
    <w:rsid w:val="00AC210B"/>
    <w:rsid w:val="00AC5178"/>
    <w:rsid w:val="00AD187F"/>
    <w:rsid w:val="00AD27C3"/>
    <w:rsid w:val="00AD448A"/>
    <w:rsid w:val="00AE2E9A"/>
    <w:rsid w:val="00AF659B"/>
    <w:rsid w:val="00AF765C"/>
    <w:rsid w:val="00B06E5B"/>
    <w:rsid w:val="00B15214"/>
    <w:rsid w:val="00B20CFF"/>
    <w:rsid w:val="00B2417B"/>
    <w:rsid w:val="00B30705"/>
    <w:rsid w:val="00B3186E"/>
    <w:rsid w:val="00B34566"/>
    <w:rsid w:val="00B35325"/>
    <w:rsid w:val="00B35769"/>
    <w:rsid w:val="00B35EF5"/>
    <w:rsid w:val="00B4124C"/>
    <w:rsid w:val="00B451CC"/>
    <w:rsid w:val="00B5271C"/>
    <w:rsid w:val="00B52A86"/>
    <w:rsid w:val="00B53074"/>
    <w:rsid w:val="00B54995"/>
    <w:rsid w:val="00B66BB7"/>
    <w:rsid w:val="00B758C0"/>
    <w:rsid w:val="00B96E69"/>
    <w:rsid w:val="00BA1E66"/>
    <w:rsid w:val="00BA3DF3"/>
    <w:rsid w:val="00BA425E"/>
    <w:rsid w:val="00BB4026"/>
    <w:rsid w:val="00BB6C2E"/>
    <w:rsid w:val="00BB7F34"/>
    <w:rsid w:val="00BD3AF2"/>
    <w:rsid w:val="00BF00AC"/>
    <w:rsid w:val="00BF38D3"/>
    <w:rsid w:val="00BF3D1C"/>
    <w:rsid w:val="00C0058A"/>
    <w:rsid w:val="00C00AA8"/>
    <w:rsid w:val="00C0313D"/>
    <w:rsid w:val="00C10BC0"/>
    <w:rsid w:val="00C138B2"/>
    <w:rsid w:val="00C30F9E"/>
    <w:rsid w:val="00C31715"/>
    <w:rsid w:val="00C42672"/>
    <w:rsid w:val="00C507BA"/>
    <w:rsid w:val="00C57C14"/>
    <w:rsid w:val="00C72A3D"/>
    <w:rsid w:val="00C756AA"/>
    <w:rsid w:val="00C802C2"/>
    <w:rsid w:val="00C84867"/>
    <w:rsid w:val="00C90FE8"/>
    <w:rsid w:val="00C93FC0"/>
    <w:rsid w:val="00C96BEE"/>
    <w:rsid w:val="00CB0ABE"/>
    <w:rsid w:val="00CB2DF5"/>
    <w:rsid w:val="00CC2496"/>
    <w:rsid w:val="00CC2B1F"/>
    <w:rsid w:val="00CD2636"/>
    <w:rsid w:val="00CE14D2"/>
    <w:rsid w:val="00CE35F5"/>
    <w:rsid w:val="00CE496D"/>
    <w:rsid w:val="00CE49E6"/>
    <w:rsid w:val="00D03B4E"/>
    <w:rsid w:val="00D15B2E"/>
    <w:rsid w:val="00D23156"/>
    <w:rsid w:val="00D54C80"/>
    <w:rsid w:val="00D627CA"/>
    <w:rsid w:val="00D63C46"/>
    <w:rsid w:val="00D656EC"/>
    <w:rsid w:val="00D72306"/>
    <w:rsid w:val="00D7250C"/>
    <w:rsid w:val="00D73F00"/>
    <w:rsid w:val="00D85251"/>
    <w:rsid w:val="00D90403"/>
    <w:rsid w:val="00DA4978"/>
    <w:rsid w:val="00DA4D42"/>
    <w:rsid w:val="00DB7E36"/>
    <w:rsid w:val="00DC70BB"/>
    <w:rsid w:val="00DC71A9"/>
    <w:rsid w:val="00DD52C5"/>
    <w:rsid w:val="00DD606B"/>
    <w:rsid w:val="00DD7DCF"/>
    <w:rsid w:val="00DE7ECB"/>
    <w:rsid w:val="00DF1D58"/>
    <w:rsid w:val="00DF4AAB"/>
    <w:rsid w:val="00E024A2"/>
    <w:rsid w:val="00E066E1"/>
    <w:rsid w:val="00E07E32"/>
    <w:rsid w:val="00E11EC4"/>
    <w:rsid w:val="00E12AFA"/>
    <w:rsid w:val="00E13915"/>
    <w:rsid w:val="00E1710E"/>
    <w:rsid w:val="00E3093D"/>
    <w:rsid w:val="00E32889"/>
    <w:rsid w:val="00E4044B"/>
    <w:rsid w:val="00E56E83"/>
    <w:rsid w:val="00E61046"/>
    <w:rsid w:val="00E667EA"/>
    <w:rsid w:val="00E87021"/>
    <w:rsid w:val="00E913C7"/>
    <w:rsid w:val="00E93A75"/>
    <w:rsid w:val="00E93EF7"/>
    <w:rsid w:val="00EA408A"/>
    <w:rsid w:val="00EA482C"/>
    <w:rsid w:val="00EA6D92"/>
    <w:rsid w:val="00EB191E"/>
    <w:rsid w:val="00EB2504"/>
    <w:rsid w:val="00EB4F41"/>
    <w:rsid w:val="00EB6B62"/>
    <w:rsid w:val="00EB6B97"/>
    <w:rsid w:val="00EB7A13"/>
    <w:rsid w:val="00EC0929"/>
    <w:rsid w:val="00EC7159"/>
    <w:rsid w:val="00EE53DD"/>
    <w:rsid w:val="00F046CB"/>
    <w:rsid w:val="00F34EE4"/>
    <w:rsid w:val="00F41FB9"/>
    <w:rsid w:val="00F43776"/>
    <w:rsid w:val="00F5069D"/>
    <w:rsid w:val="00F52FF1"/>
    <w:rsid w:val="00F60CA0"/>
    <w:rsid w:val="00F71B95"/>
    <w:rsid w:val="00F72138"/>
    <w:rsid w:val="00F75651"/>
    <w:rsid w:val="00F828DA"/>
    <w:rsid w:val="00FB188E"/>
    <w:rsid w:val="00FB1EB1"/>
    <w:rsid w:val="00FB241D"/>
    <w:rsid w:val="00FB2683"/>
    <w:rsid w:val="00FB6CBC"/>
    <w:rsid w:val="00FD2502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28CBC-9EF9-42B6-B179-16FD37F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E2"/>
  </w:style>
  <w:style w:type="paragraph" w:styleId="Heading1">
    <w:name w:val="heading 1"/>
    <w:basedOn w:val="Normal"/>
    <w:next w:val="Normal"/>
    <w:link w:val="Heading1Char"/>
    <w:uiPriority w:val="9"/>
    <w:qFormat/>
    <w:rsid w:val="00857A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F8"/>
    <w:pPr>
      <w:ind w:left="720"/>
      <w:contextualSpacing/>
    </w:pPr>
  </w:style>
  <w:style w:type="paragraph" w:customStyle="1" w:styleId="Default">
    <w:name w:val="Default"/>
    <w:rsid w:val="003D1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1F"/>
  </w:style>
  <w:style w:type="paragraph" w:styleId="Footer">
    <w:name w:val="footer"/>
    <w:basedOn w:val="Normal"/>
    <w:link w:val="FooterChar"/>
    <w:uiPriority w:val="99"/>
    <w:unhideWhenUsed/>
    <w:rsid w:val="00CC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1F"/>
  </w:style>
  <w:style w:type="paragraph" w:customStyle="1" w:styleId="box456064">
    <w:name w:val="box_456064"/>
    <w:basedOn w:val="Normal"/>
    <w:rsid w:val="0006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7A4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um-DocParagraph">
    <w:name w:val="Num-Doc Paragraph (文字)"/>
    <w:link w:val="Num-DocParagraph0"/>
    <w:locked/>
    <w:rsid w:val="00857A44"/>
    <w:rPr>
      <w:rFonts w:ascii="Cambria" w:hAnsi="Cambria"/>
      <w:lang w:eastAsia="zh-CN"/>
    </w:rPr>
  </w:style>
  <w:style w:type="paragraph" w:customStyle="1" w:styleId="Num-DocParagraph0">
    <w:name w:val="Num-Doc Paragraph"/>
    <w:link w:val="Num-DocParagraph"/>
    <w:qFormat/>
    <w:rsid w:val="00857A44"/>
    <w:pPr>
      <w:tabs>
        <w:tab w:val="left" w:pos="850"/>
        <w:tab w:val="left" w:pos="1191"/>
        <w:tab w:val="left" w:pos="1531"/>
      </w:tabs>
      <w:spacing w:after="120" w:line="280" w:lineRule="exact"/>
      <w:jc w:val="both"/>
    </w:pPr>
    <w:rPr>
      <w:rFonts w:ascii="Cambria" w:hAnsi="Cambria"/>
      <w:lang w:eastAsia="zh-CN"/>
    </w:rPr>
  </w:style>
  <w:style w:type="paragraph" w:styleId="FootnoteText">
    <w:name w:val="footnote text"/>
    <w:basedOn w:val="Normal"/>
    <w:link w:val="FootnoteTextChar"/>
    <w:semiHidden/>
    <w:rsid w:val="00DD7DCF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DD7DCF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customStyle="1" w:styleId="cm4">
    <w:name w:val="cm4"/>
    <w:basedOn w:val="Normal"/>
    <w:rsid w:val="00DD7DCF"/>
    <w:pPr>
      <w:autoSpaceDE w:val="0"/>
      <w:autoSpaceDN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Normal1">
    <w:name w:val="Normal1"/>
    <w:basedOn w:val="Normal"/>
    <w:rsid w:val="00DD7DC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3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9DE945-C710-4484-B01E-FC9E7FA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Jovan Stojanovic</cp:lastModifiedBy>
  <cp:revision>2</cp:revision>
  <cp:lastPrinted>2018-04-19T11:48:00Z</cp:lastPrinted>
  <dcterms:created xsi:type="dcterms:W3CDTF">2018-04-25T12:35:00Z</dcterms:created>
  <dcterms:modified xsi:type="dcterms:W3CDTF">2018-04-25T12:35:00Z</dcterms:modified>
</cp:coreProperties>
</file>