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50C" w:rsidRPr="00E712BE" w:rsidRDefault="00E712BE" w:rsidP="00B13371">
      <w:pPr>
        <w:spacing w:before="60" w:after="60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Na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osnovu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člana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60.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stav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2.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Zakona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efikasnom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korišćenju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energije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(</w:t>
      </w:r>
      <w:r w:rsidR="009E7BC4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Službeni</w:t>
      </w:r>
      <w:r w:rsidR="009E7BC4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glasnik</w:t>
      </w:r>
      <w:r w:rsidR="009E7BC4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RS</w:t>
      </w:r>
      <w:r w:rsidR="009E7BC4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”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broj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25/13)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člana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42.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stav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Zakona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Vladi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(</w:t>
      </w:r>
      <w:r w:rsidR="009E7BC4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Službeni</w:t>
      </w:r>
      <w:r w:rsidR="009E7BC4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glasnik</w:t>
      </w:r>
      <w:r w:rsidR="009E7BC4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RS</w:t>
      </w:r>
      <w:r w:rsidR="009E7BC4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”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br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. 55/05, 71/05 -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ispravka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101/07, 65/08, 16/11, 68/12 -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US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72/12, 7/14 -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US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44/14), </w:t>
      </w:r>
    </w:p>
    <w:p w:rsidR="00F56280" w:rsidRPr="00E712BE" w:rsidRDefault="00F56280" w:rsidP="00B13371">
      <w:pPr>
        <w:spacing w:before="60" w:after="60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</w:p>
    <w:p w:rsidR="00B4650C" w:rsidRPr="00E712BE" w:rsidRDefault="00E712BE" w:rsidP="00B13371">
      <w:pPr>
        <w:spacing w:before="60" w:after="60"/>
        <w:ind w:firstLine="567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Vlada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donosi</w:t>
      </w:r>
    </w:p>
    <w:p w:rsidR="00B13371" w:rsidRPr="00E712BE" w:rsidRDefault="00B13371" w:rsidP="00B13371">
      <w:pPr>
        <w:spacing w:before="60" w:after="60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</w:p>
    <w:p w:rsidR="00B4650C" w:rsidRPr="00E712BE" w:rsidRDefault="00E712BE" w:rsidP="00B13371">
      <w:pPr>
        <w:spacing w:before="240" w:after="120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>UREDBU</w:t>
      </w:r>
      <w:r w:rsidR="00B4650C" w:rsidRPr="00E712B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 xml:space="preserve"> </w:t>
      </w:r>
      <w:r w:rsidR="00B4650C" w:rsidRPr="00E712B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br/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>O</w:t>
      </w:r>
      <w:r w:rsidR="00B4650C" w:rsidRPr="00E712B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>UTVRĐIVANJU</w:t>
      </w:r>
      <w:r w:rsidR="00B4650C" w:rsidRPr="00E712B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>PROGRAMA</w:t>
      </w:r>
      <w:r w:rsidR="00B4650C" w:rsidRPr="00E712B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>FINANSIRANJA</w:t>
      </w:r>
      <w:r w:rsidR="00B4650C" w:rsidRPr="00E712B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>AKTIVNOSTI</w:t>
      </w:r>
      <w:r w:rsidR="00B4650C" w:rsidRPr="00E712B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>I</w:t>
      </w:r>
      <w:r w:rsidR="00B4650C" w:rsidRPr="00E712B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>MERA</w:t>
      </w:r>
      <w:r w:rsidR="00B4650C" w:rsidRPr="00E712B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 xml:space="preserve"> </w:t>
      </w:r>
      <w:r w:rsidR="00EE1750" w:rsidRPr="00E712B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br/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>UNAPREĐENJA</w:t>
      </w:r>
      <w:r w:rsidR="00B4650C" w:rsidRPr="00E712B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>EFIKASNOG</w:t>
      </w:r>
      <w:r w:rsidR="00B4650C" w:rsidRPr="00E712B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>KORIŠĆENJA</w:t>
      </w:r>
      <w:r w:rsidR="00B4650C" w:rsidRPr="00E712B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>ENERGIJE</w:t>
      </w:r>
      <w:r w:rsidR="00B4650C" w:rsidRPr="00E712B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>U</w:t>
      </w:r>
      <w:r w:rsidR="00B4650C" w:rsidRPr="00E712B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 xml:space="preserve"> </w:t>
      </w:r>
      <w:r w:rsidR="00D75728" w:rsidRPr="00E712B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>2018</w:t>
      </w:r>
      <w:r w:rsidR="00B4650C" w:rsidRPr="00E712B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 xml:space="preserve">.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>GODINI</w:t>
      </w:r>
    </w:p>
    <w:p w:rsidR="00B13371" w:rsidRPr="00E712BE" w:rsidRDefault="00B13371" w:rsidP="00B13371">
      <w:pPr>
        <w:spacing w:before="60" w:after="60"/>
        <w:outlineLvl w:val="3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</w:pPr>
    </w:p>
    <w:p w:rsidR="00B4650C" w:rsidRPr="00E712BE" w:rsidRDefault="00E712BE" w:rsidP="00B13371">
      <w:pPr>
        <w:spacing w:before="240" w:after="60"/>
        <w:jc w:val="center"/>
        <w:outlineLvl w:val="3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>Član</w:t>
      </w:r>
      <w:r w:rsidR="00B4650C" w:rsidRPr="00E712B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 xml:space="preserve"> 1.</w:t>
      </w:r>
    </w:p>
    <w:p w:rsidR="00B4650C" w:rsidRPr="00E712BE" w:rsidRDefault="00E712BE" w:rsidP="00B13371">
      <w:pPr>
        <w:spacing w:before="60" w:after="60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Ovom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uredbom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utvrđuje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se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Program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finansiranja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aktivnosti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mera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unapređenja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efikasnog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korišćenja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energije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D75728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2018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godini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koji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je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odštampan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uz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ovu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uredbu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čini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njen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sastavni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deo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. </w:t>
      </w:r>
    </w:p>
    <w:p w:rsidR="00B4650C" w:rsidRPr="00E712BE" w:rsidRDefault="00E712BE" w:rsidP="00B13371">
      <w:pPr>
        <w:spacing w:before="240" w:after="60"/>
        <w:jc w:val="center"/>
        <w:outlineLvl w:val="3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>Član</w:t>
      </w:r>
      <w:r w:rsidR="00B4650C" w:rsidRPr="00E712B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 xml:space="preserve"> 2. </w:t>
      </w:r>
    </w:p>
    <w:p w:rsidR="00B4650C" w:rsidRPr="00E712BE" w:rsidRDefault="00E712BE" w:rsidP="00B13371">
      <w:pPr>
        <w:spacing w:before="60" w:after="60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Aktivnosti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mere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unapređenja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efikasnog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korišćenja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energije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koji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će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se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finansirati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D75728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2018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godini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kao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iznos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sredstava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obavljanje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tih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aktivnosti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mera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utvrđeni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su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Programom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iz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člana</w:t>
      </w:r>
      <w:r w:rsidR="009E7BC4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 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ove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uredbe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.</w:t>
      </w:r>
    </w:p>
    <w:p w:rsidR="00B4650C" w:rsidRPr="00E712BE" w:rsidRDefault="00E712BE" w:rsidP="00B13371">
      <w:pPr>
        <w:spacing w:before="240" w:after="60"/>
        <w:jc w:val="center"/>
        <w:outlineLvl w:val="3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>Član</w:t>
      </w:r>
      <w:r w:rsidR="00B4650C" w:rsidRPr="00E712B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 xml:space="preserve"> 3. </w:t>
      </w:r>
    </w:p>
    <w:p w:rsidR="00B4650C" w:rsidRPr="00E712BE" w:rsidRDefault="00E712BE" w:rsidP="00B13371">
      <w:pPr>
        <w:spacing w:before="60" w:after="60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Ova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uredba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stupa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na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snagu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osmog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dana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od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dana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objavljivanja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9E7BC4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Službenom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glasniku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Republike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Srbije</w:t>
      </w:r>
      <w:r w:rsidR="009E7BC4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”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.</w:t>
      </w:r>
    </w:p>
    <w:p w:rsidR="00B13371" w:rsidRPr="00E712BE" w:rsidRDefault="00B13371" w:rsidP="00B13371">
      <w:pPr>
        <w:spacing w:before="60" w:after="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</w:p>
    <w:p w:rsidR="00B4650C" w:rsidRPr="00E712BE" w:rsidRDefault="00FD5851" w:rsidP="0000785A">
      <w:pPr>
        <w:spacing w:before="60" w:after="60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05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Broj</w:t>
      </w:r>
      <w:r w:rsidR="00C9535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: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00785A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110-2812/2018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br/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Beogradu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 w:rsidR="00B13371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29.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mart</w:t>
      </w:r>
      <w:r w:rsidR="009544EF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a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D2F0F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2018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.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godine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</w:p>
    <w:p w:rsidR="00B13371" w:rsidRPr="00E712BE" w:rsidRDefault="00B13371" w:rsidP="00B13371">
      <w:pPr>
        <w:spacing w:before="60" w:after="60"/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</w:pPr>
    </w:p>
    <w:p w:rsidR="00A03DCE" w:rsidRPr="00E712BE" w:rsidRDefault="00E712BE" w:rsidP="00F56280">
      <w:pPr>
        <w:spacing w:before="60" w:after="60"/>
        <w:ind w:left="-142" w:firstLine="142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>VLADA</w:t>
      </w:r>
    </w:p>
    <w:p w:rsidR="00A03DCE" w:rsidRPr="00E712BE" w:rsidRDefault="00A03DCE" w:rsidP="00B13371">
      <w:pPr>
        <w:spacing w:before="60" w:after="60"/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</w:pPr>
    </w:p>
    <w:p w:rsidR="00A03DCE" w:rsidRPr="00E712BE" w:rsidRDefault="00F56280" w:rsidP="00B13371">
      <w:pPr>
        <w:spacing w:before="60" w:after="60"/>
        <w:ind w:left="5670" w:firstLine="567"/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</w:pPr>
      <w:r w:rsidRPr="00E712BE"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ab/>
      </w:r>
      <w:r w:rsidRPr="00E712BE"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ab/>
      </w:r>
      <w:r w:rsidRPr="00E712BE"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ab/>
      </w:r>
      <w:r w:rsidRPr="00E712BE"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ab/>
      </w:r>
      <w:r w:rsidRPr="00E712BE"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ab/>
      </w:r>
      <w:r w:rsidR="00E712BE"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>PREDSEDNIK</w:t>
      </w:r>
    </w:p>
    <w:p w:rsidR="00A03DCE" w:rsidRPr="00E712BE" w:rsidRDefault="00A03DCE" w:rsidP="00B13371">
      <w:pPr>
        <w:spacing w:before="60" w:after="60"/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</w:pPr>
    </w:p>
    <w:p w:rsidR="00A03DCE" w:rsidRPr="00E712BE" w:rsidRDefault="00F56280" w:rsidP="00B13371">
      <w:pPr>
        <w:spacing w:before="60" w:after="60"/>
        <w:ind w:left="5670" w:firstLine="567"/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</w:pPr>
      <w:r w:rsidRPr="00E712BE"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 xml:space="preserve">       </w:t>
      </w:r>
      <w:r w:rsidR="0000785A" w:rsidRPr="00E712BE"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 xml:space="preserve">                            </w:t>
      </w:r>
      <w:r w:rsidRPr="00E712BE"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E712BE"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>Ana</w:t>
      </w:r>
      <w:r w:rsidRPr="00E712BE"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E712BE"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>Brnabić</w:t>
      </w:r>
      <w:r w:rsidR="0000785A" w:rsidRPr="00E712BE"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>,</w:t>
      </w:r>
      <w:r w:rsidR="00E712BE"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>s</w:t>
      </w:r>
      <w:r w:rsidR="0000785A" w:rsidRPr="00E712BE"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>.</w:t>
      </w:r>
      <w:r w:rsidR="00E712BE"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>r</w:t>
      </w:r>
      <w:r w:rsidR="0000785A" w:rsidRPr="00E712BE"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>.</w:t>
      </w:r>
    </w:p>
    <w:p w:rsidR="00B13371" w:rsidRPr="00E712BE" w:rsidRDefault="00B13371" w:rsidP="00B13371">
      <w:pPr>
        <w:spacing w:before="60" w:after="60"/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</w:pPr>
    </w:p>
    <w:p w:rsidR="00EE1750" w:rsidRPr="00E712BE" w:rsidRDefault="00EE1750" w:rsidP="00B13371">
      <w:pPr>
        <w:spacing w:before="60" w:after="60"/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</w:pPr>
    </w:p>
    <w:p w:rsidR="00B13371" w:rsidRPr="00E712BE" w:rsidRDefault="00B13371" w:rsidP="00B13371">
      <w:pPr>
        <w:spacing w:before="60" w:after="60"/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sectPr w:rsidR="00B13371" w:rsidRPr="00E712BE" w:rsidSect="00EE175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851" w:right="851" w:bottom="1134" w:left="1134" w:header="720" w:footer="720" w:gutter="0"/>
          <w:cols w:space="720"/>
          <w:titlePg/>
          <w:docGrid w:linePitch="360"/>
        </w:sectPr>
      </w:pPr>
    </w:p>
    <w:p w:rsidR="00B4650C" w:rsidRPr="00E712BE" w:rsidRDefault="00E712BE" w:rsidP="00067E09">
      <w:pPr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lastRenderedPageBreak/>
        <w:t>PROGRAM</w:t>
      </w:r>
      <w:r w:rsidR="00B4650C" w:rsidRPr="00E712B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br/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>FINANSIRANJA</w:t>
      </w:r>
      <w:r w:rsidR="00B4650C" w:rsidRPr="00E712B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>AKTIVNOSTI</w:t>
      </w:r>
      <w:r w:rsidR="00B4650C" w:rsidRPr="00E712B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>I</w:t>
      </w:r>
      <w:r w:rsidR="00B4650C" w:rsidRPr="00E712B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>MERA</w:t>
      </w:r>
      <w:r w:rsidR="00B4650C" w:rsidRPr="00E712B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>UNAPREĐENJA</w:t>
      </w:r>
      <w:r w:rsidR="00B4650C" w:rsidRPr="00E712B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 xml:space="preserve"> </w:t>
      </w:r>
      <w:r w:rsidR="00B13371" w:rsidRPr="00E712B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br/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>EFIKASNOG</w:t>
      </w:r>
      <w:r w:rsidR="00B4650C" w:rsidRPr="00E712B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>KORIŠĆENJA</w:t>
      </w:r>
      <w:r w:rsidR="00B4650C" w:rsidRPr="00E712B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>ENERGIJE</w:t>
      </w:r>
      <w:r w:rsidR="00B4650C" w:rsidRPr="00E712B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>U</w:t>
      </w:r>
      <w:r w:rsidR="00B4650C" w:rsidRPr="00E712B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 xml:space="preserve"> </w:t>
      </w:r>
      <w:r w:rsidR="00D75728" w:rsidRPr="00E712B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>2018</w:t>
      </w:r>
      <w:r w:rsidR="00B4650C" w:rsidRPr="00E712B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 xml:space="preserve">.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>GODINI</w:t>
      </w:r>
      <w:r w:rsidR="00B4650C" w:rsidRPr="00E712B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 xml:space="preserve"> </w:t>
      </w:r>
    </w:p>
    <w:p w:rsidR="00067E09" w:rsidRPr="00E712BE" w:rsidRDefault="00067E09" w:rsidP="00067E09">
      <w:pPr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</w:pPr>
    </w:p>
    <w:p w:rsidR="00B4650C" w:rsidRPr="00E712BE" w:rsidRDefault="00B4650C" w:rsidP="00067E09">
      <w:pPr>
        <w:ind w:firstLine="567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</w:pPr>
      <w:r w:rsidRPr="00E712B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 xml:space="preserve">I. </w:t>
      </w:r>
      <w:r w:rsidR="00E712B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>UVOD</w:t>
      </w:r>
    </w:p>
    <w:p w:rsidR="00067E09" w:rsidRPr="00E712BE" w:rsidRDefault="00067E09" w:rsidP="00067E09">
      <w:pPr>
        <w:ind w:firstLine="567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</w:pPr>
    </w:p>
    <w:p w:rsidR="00B4650C" w:rsidRPr="00E712BE" w:rsidRDefault="00E712BE" w:rsidP="00067E09">
      <w:pPr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Strategijom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razvoja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energetike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Republike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Srbije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do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2025.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godine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sa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projekcijama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do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2030.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godine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(</w:t>
      </w:r>
      <w:r w:rsidR="009E7BC4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Službeni</w:t>
      </w:r>
      <w:r w:rsidR="009E7BC4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glasnik</w:t>
      </w:r>
      <w:r w:rsidR="009E7BC4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RS</w:t>
      </w:r>
      <w:r w:rsidR="009E7BC4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”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broj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101/15),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energetska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efikasnost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veće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korišćenje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obnovljivih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izvora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energije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svrstani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su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među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prioritete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. </w:t>
      </w:r>
    </w:p>
    <w:p w:rsidR="00B4650C" w:rsidRPr="00E712BE" w:rsidRDefault="00E712BE" w:rsidP="00067E09">
      <w:pPr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Unapređenje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energetske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efikasnosti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kako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sektorima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proizvodnje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tako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sektorima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potrošnje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energije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prepoznato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je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kao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jedan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od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ključnih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elemenata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energetske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politike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Republike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Srbije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obzirom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da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doprinosi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sigurnosti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snabdevanja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energijom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smanjenju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potrošnje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energije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privatnom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komercijalnom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sektoru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povećanju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konkurentnosti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industrije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povećanju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standarda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građana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odnosno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doprinosi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smanjenju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uvozne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zavisnosti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smanjenju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negativnih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efekata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sektora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energetike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na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životnu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sredinu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a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naročito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emisije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gasova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koji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stvaraju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efekat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staklene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bašte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.</w:t>
      </w:r>
    </w:p>
    <w:p w:rsidR="00B4650C" w:rsidRPr="00E712BE" w:rsidRDefault="00E712BE" w:rsidP="00067E09">
      <w:pPr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Zakonodavno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-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pravni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okvir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uređivanje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efikasnog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korišćenja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energije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Republici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Srbiji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uspostavljen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je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usvajanjem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Zakona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efikasnom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korišćenju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energije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(</w:t>
      </w:r>
      <w:r w:rsidR="009E7BC4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Službeni</w:t>
      </w:r>
      <w:r w:rsidR="009E7BC4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glasnik</w:t>
      </w:r>
      <w:r w:rsidR="009E7BC4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RS</w:t>
      </w:r>
      <w:r w:rsidR="009E7BC4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”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broj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25/13 -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daljem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tekstu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Zakon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),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Zakona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planiranju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izgradnji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(</w:t>
      </w:r>
      <w:r w:rsidR="009E7BC4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Službeni</w:t>
      </w:r>
      <w:r w:rsidR="009E7BC4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glasnik</w:t>
      </w:r>
      <w:r w:rsidR="009E7BC4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RS</w:t>
      </w:r>
      <w:r w:rsidR="009E7BC4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”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br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. </w:t>
      </w:r>
      <w:r w:rsidR="00F56280" w:rsidRPr="00E712BE">
        <w:rPr>
          <w:rFonts w:ascii="CTimesRoman" w:eastAsia="Times New Roman" w:hAnsi="CTimesRoman" w:cs="Times New Roman"/>
          <w:noProof/>
          <w:sz w:val="24"/>
          <w:szCs w:val="24"/>
          <w:lang w:val="sr-Latn-CS"/>
        </w:rPr>
        <w:t xml:space="preserve">72/09, 81/09, 64/10 - </w:t>
      </w:r>
      <w:r>
        <w:rPr>
          <w:rFonts w:ascii="CTimesRoman" w:eastAsia="Times New Roman" w:hAnsi="CTimesRoman" w:cs="Times New Roman"/>
          <w:noProof/>
          <w:sz w:val="24"/>
          <w:szCs w:val="24"/>
          <w:lang w:val="sr-Latn-CS"/>
        </w:rPr>
        <w:t>US</w:t>
      </w:r>
      <w:r w:rsidR="00F56280" w:rsidRPr="00E712BE">
        <w:rPr>
          <w:rFonts w:ascii="CTimesRoman" w:eastAsia="Times New Roman" w:hAnsi="CTimesRoman" w:cs="Times New Roman"/>
          <w:noProof/>
          <w:sz w:val="24"/>
          <w:szCs w:val="24"/>
          <w:lang w:val="sr-Latn-CS"/>
        </w:rPr>
        <w:t xml:space="preserve">, 24/11, 121/12, 42/13 - </w:t>
      </w:r>
      <w:r>
        <w:rPr>
          <w:rFonts w:ascii="CTimesRoman" w:eastAsia="Times New Roman" w:hAnsi="CTimesRoman" w:cs="Times New Roman"/>
          <w:noProof/>
          <w:sz w:val="24"/>
          <w:szCs w:val="24"/>
          <w:lang w:val="sr-Latn-CS"/>
        </w:rPr>
        <w:t>US</w:t>
      </w:r>
      <w:r w:rsidR="00F56280" w:rsidRPr="00E712BE">
        <w:rPr>
          <w:rFonts w:ascii="CTimesRoman" w:eastAsia="Times New Roman" w:hAnsi="CTimesRoman" w:cs="Times New Roman"/>
          <w:noProof/>
          <w:sz w:val="24"/>
          <w:szCs w:val="24"/>
          <w:lang w:val="sr-Latn-CS"/>
        </w:rPr>
        <w:t xml:space="preserve">, 50/13 - </w:t>
      </w:r>
      <w:r>
        <w:rPr>
          <w:rFonts w:ascii="CTimesRoman" w:eastAsia="Times New Roman" w:hAnsi="CTimesRoman" w:cs="Times New Roman"/>
          <w:noProof/>
          <w:sz w:val="24"/>
          <w:szCs w:val="24"/>
          <w:lang w:val="sr-Latn-CS"/>
        </w:rPr>
        <w:t>US</w:t>
      </w:r>
      <w:r w:rsidR="00F56280" w:rsidRPr="00E712BE">
        <w:rPr>
          <w:rFonts w:ascii="CTimesRoman" w:eastAsia="Times New Roman" w:hAnsi="CTimesRoman" w:cs="Times New Roman"/>
          <w:noProof/>
          <w:sz w:val="24"/>
          <w:szCs w:val="24"/>
          <w:lang w:val="sr-Latn-CS"/>
        </w:rPr>
        <w:t xml:space="preserve">, 98/13 - </w:t>
      </w:r>
      <w:r>
        <w:rPr>
          <w:rFonts w:ascii="CTimesRoman" w:eastAsia="Times New Roman" w:hAnsi="CTimesRoman" w:cs="Times New Roman"/>
          <w:noProof/>
          <w:sz w:val="24"/>
          <w:szCs w:val="24"/>
          <w:lang w:val="sr-Latn-CS"/>
        </w:rPr>
        <w:t>US</w:t>
      </w:r>
      <w:r w:rsidR="00F56280" w:rsidRPr="00E712BE">
        <w:rPr>
          <w:rFonts w:ascii="CTimesRoman" w:eastAsia="Times New Roman" w:hAnsi="CTimesRoman" w:cs="Times New Roman"/>
          <w:noProof/>
          <w:sz w:val="24"/>
          <w:szCs w:val="24"/>
          <w:lang w:val="sr-Latn-CS"/>
        </w:rPr>
        <w:t xml:space="preserve">, 132/14 </w:t>
      </w:r>
      <w:r>
        <w:rPr>
          <w:rFonts w:ascii="CTimesRoman" w:eastAsia="Times New Roman" w:hAnsi="CTimesRoman" w:cs="Times New Roman"/>
          <w:noProof/>
          <w:sz w:val="24"/>
          <w:szCs w:val="24"/>
          <w:lang w:val="sr-Latn-CS"/>
        </w:rPr>
        <w:t>i</w:t>
      </w:r>
      <w:r w:rsidR="00F56280" w:rsidRPr="00E712BE">
        <w:rPr>
          <w:rFonts w:ascii="CTimesRoman" w:eastAsia="Times New Roman" w:hAnsi="CTimesRoman" w:cs="Times New Roman"/>
          <w:noProof/>
          <w:sz w:val="24"/>
          <w:szCs w:val="24"/>
          <w:lang w:val="sr-Latn-CS"/>
        </w:rPr>
        <w:t xml:space="preserve"> 145/14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),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Pravilnika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energetskoj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efikasnosti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zgrada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(</w:t>
      </w:r>
      <w:r w:rsidR="009E7BC4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Službeni</w:t>
      </w:r>
      <w:r w:rsidR="009E7BC4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glasnik</w:t>
      </w:r>
      <w:r w:rsidR="009E7BC4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RS</w:t>
      </w:r>
      <w:r w:rsidR="009E7BC4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”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broj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61/11)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Pravilnika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uslovima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sadržini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načinu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izdavanja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sertifikata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energetskim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svojstvima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zgrada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(</w:t>
      </w:r>
      <w:r w:rsidR="009E7BC4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Službeni</w:t>
      </w:r>
      <w:r w:rsidR="009E7BC4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glasnik</w:t>
      </w:r>
      <w:r w:rsidR="009E7BC4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RS</w:t>
      </w:r>
      <w:r w:rsidR="009E7BC4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”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broj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69/12). </w:t>
      </w:r>
    </w:p>
    <w:p w:rsidR="00D30541" w:rsidRPr="00E712BE" w:rsidRDefault="00E712BE" w:rsidP="00067E09">
      <w:pPr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Na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osnovu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obaveza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Republike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Srbije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koje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proističu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iz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Ugovora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osnivanju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Energetske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zajednice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Odluke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Ministarskog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saveta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Energetske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zajednice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broj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2009/05/MC-Enc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od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18.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decembra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2009.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godine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kojom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je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Republika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Srbija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prihvatila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obavezu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primene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Direktive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2006/32/ EC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energetskoj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efikasnosti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sektorima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potrošnje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energije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kao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Zakona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donet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je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Zaključak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usvajanju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Trećeg</w:t>
      </w:r>
      <w:r w:rsidR="005D5FE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akcionog</w:t>
      </w:r>
      <w:r w:rsidR="005D5FE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plana</w:t>
      </w:r>
      <w:r w:rsidR="005D5FE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</w:t>
      </w:r>
      <w:r w:rsidR="005D5FE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energetsku</w:t>
      </w:r>
      <w:r w:rsidR="005D5FE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efikasnost</w:t>
      </w:r>
      <w:r w:rsidR="005D5FE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Republike</w:t>
      </w:r>
      <w:r w:rsidR="005D5FE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Srbije</w:t>
      </w:r>
      <w:r w:rsidR="005D5FE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</w:t>
      </w:r>
      <w:r w:rsidR="005D5FE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period</w:t>
      </w:r>
      <w:r w:rsidR="005D5FE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do</w:t>
      </w:r>
      <w:r w:rsidR="005D5FE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2018.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godine</w:t>
      </w:r>
      <w:r w:rsidR="005D5FE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(</w:t>
      </w:r>
      <w:r w:rsidR="009E7BC4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Službeni</w:t>
      </w:r>
      <w:r w:rsidR="009E7BC4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glasnik</w:t>
      </w:r>
      <w:r w:rsidR="009E7BC4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RS</w:t>
      </w:r>
      <w:r w:rsidR="009E7BC4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”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broj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365CE6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1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/1</w:t>
      </w:r>
      <w:r w:rsidR="00365CE6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7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-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daljem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tekstu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Akcioni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plan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).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Akcionim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planom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predviđa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se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niz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mera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unapređenje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energetske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efikasnosti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sektorima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domaćinstva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javnog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komercijalnog</w:t>
      </w:r>
      <w:r w:rsidR="005D5FE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sektora</w:t>
      </w:r>
      <w:r w:rsidR="005D5FE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industrije</w:t>
      </w:r>
      <w:r w:rsidR="005D5FE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transporta</w:t>
      </w:r>
      <w:r w:rsidR="005D5FE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</w:t>
      </w:r>
      <w:r w:rsidR="005D5FE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sektora</w:t>
      </w:r>
      <w:r w:rsidR="005D5FE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proizvodnje</w:t>
      </w:r>
      <w:r w:rsidR="005D5FE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energije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Cilj</w:t>
      </w:r>
      <w:r w:rsidR="005D5FE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</w:t>
      </w:r>
      <w:r w:rsidR="005D5FE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period</w:t>
      </w:r>
      <w:r w:rsidR="005D5FE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2016-2018</w:t>
      </w:r>
      <w:r w:rsidR="00B13371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.</w:t>
      </w:r>
      <w:r w:rsidR="005D5FE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godine</w:t>
      </w:r>
      <w:r w:rsidR="00067E09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iznosi</w:t>
      </w:r>
      <w:r w:rsidR="005D5FE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4,6%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uštede</w:t>
      </w:r>
      <w:r w:rsidR="005D5FE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</w:t>
      </w:r>
      <w:r w:rsidR="005D5FE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odnosu</w:t>
      </w:r>
      <w:r w:rsidR="005D5FE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na</w:t>
      </w:r>
      <w:r w:rsidR="005D5FE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potrošnju</w:t>
      </w:r>
      <w:r w:rsidR="00201E69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finalne</w:t>
      </w:r>
      <w:r w:rsidR="00201E69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energije</w:t>
      </w:r>
      <w:r w:rsidR="00201E69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</w:t>
      </w:r>
      <w:r w:rsidR="00201E69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2008.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godine</w:t>
      </w:r>
      <w:r w:rsidR="00201E69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5D5FE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(0,3824 </w:t>
      </w:r>
      <w:r w:rsidR="001D1DE9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Mtoe</w:t>
      </w:r>
      <w:r w:rsidR="005D5FE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)</w:t>
      </w:r>
      <w:r w:rsidR="00D30541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Isto</w:t>
      </w:r>
      <w:r w:rsidR="00D30541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tako</w:t>
      </w:r>
      <w:r w:rsidR="00D30541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</w:t>
      </w:r>
      <w:r w:rsidR="00D30541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skladu</w:t>
      </w:r>
      <w:r w:rsidR="00D30541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sa</w:t>
      </w:r>
      <w:r w:rsidR="00D30541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Odlukom</w:t>
      </w:r>
      <w:r w:rsidR="00D30541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Ministarskog</w:t>
      </w:r>
      <w:r w:rsidR="00D30541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saveta</w:t>
      </w:r>
      <w:r w:rsidR="00D30541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(D/2015/08/MC-EnC)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iz</w:t>
      </w:r>
      <w:r w:rsidR="00D30541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godine</w:t>
      </w:r>
      <w:r w:rsidR="00D30541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</w:t>
      </w:r>
      <w:r w:rsidR="00D30541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potpisnice</w:t>
      </w:r>
      <w:r w:rsidR="00D30541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Energetske</w:t>
      </w:r>
      <w:r w:rsidR="00D30541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zajednice</w:t>
      </w:r>
      <w:r w:rsidR="00D30541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postala</w:t>
      </w:r>
      <w:r w:rsidR="00D30541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je</w:t>
      </w:r>
      <w:r w:rsidR="00D30541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obavezna</w:t>
      </w:r>
      <w:r w:rsidR="00D30541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primena</w:t>
      </w:r>
      <w:r w:rsidR="001B1A34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Direktiv</w:t>
      </w:r>
      <w:r w:rsidR="00527679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e</w:t>
      </w:r>
      <w:r w:rsidR="00D30541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2012/27/EU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</w:t>
      </w:r>
      <w:r w:rsidR="00D30541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energetskoj</w:t>
      </w:r>
      <w:r w:rsidR="00D30541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efikasnosti</w:t>
      </w:r>
      <w:r w:rsidR="00201E69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Kao</w:t>
      </w:r>
      <w:r w:rsidR="00201E69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deo</w:t>
      </w:r>
      <w:r w:rsidR="00201E69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implementacije</w:t>
      </w:r>
      <w:r w:rsidR="00201E69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ove</w:t>
      </w:r>
      <w:r w:rsidR="00201E69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direktive</w:t>
      </w:r>
      <w:r w:rsidR="00D30541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na</w:t>
      </w:r>
      <w:r w:rsidR="00D30541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nivou</w:t>
      </w:r>
      <w:r w:rsidR="00D30541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potpisnica</w:t>
      </w:r>
      <w:r w:rsidR="00D30541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Ugovora</w:t>
      </w:r>
      <w:r w:rsidR="00D30541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</w:t>
      </w:r>
      <w:r w:rsidR="00D30541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osnivanju</w:t>
      </w:r>
      <w:r w:rsidR="00D30541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Energetske</w:t>
      </w:r>
      <w:r w:rsidR="00D30541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zajednice</w:t>
      </w:r>
      <w:r w:rsidR="00D30541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definisan</w:t>
      </w:r>
      <w:r w:rsidR="00D30541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je</w:t>
      </w:r>
      <w:r w:rsidR="00D30541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cilj</w:t>
      </w:r>
      <w:r w:rsidR="00D30541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da</w:t>
      </w:r>
      <w:r w:rsidR="00D30541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potrošnja</w:t>
      </w:r>
      <w:r w:rsidR="00D30541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energije</w:t>
      </w:r>
      <w:r w:rsidR="00D30541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ne</w:t>
      </w:r>
      <w:r w:rsidR="00D30541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sme</w:t>
      </w:r>
      <w:r w:rsidR="00D30541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biti</w:t>
      </w:r>
      <w:r w:rsidR="00D30541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veća</w:t>
      </w:r>
      <w:r w:rsidR="00D30541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od</w:t>
      </w:r>
      <w:r w:rsidR="00D30541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187 </w:t>
      </w:r>
      <w:r w:rsidR="001D1DE9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Mtoe</w:t>
      </w:r>
      <w:r w:rsidR="00EE1750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miliona</w:t>
      </w:r>
      <w:r w:rsidR="00D30541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tona</w:t>
      </w:r>
      <w:r w:rsidR="00D30541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ekvivalentne</w:t>
      </w:r>
      <w:r w:rsidR="00EE1750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nafte</w:t>
      </w:r>
      <w:r w:rsidR="00EE1750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)</w:t>
      </w:r>
      <w:r w:rsidR="00D30541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primarne</w:t>
      </w:r>
      <w:r w:rsidR="00D30541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energije</w:t>
      </w:r>
      <w:r w:rsidR="00D30541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odnosno</w:t>
      </w:r>
      <w:r w:rsidR="00D30541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133 </w:t>
      </w:r>
      <w:r w:rsidR="001D1DE9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Mtoe</w:t>
      </w:r>
      <w:r w:rsidR="00D30541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finalne</w:t>
      </w:r>
      <w:r w:rsidR="00D30541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energije</w:t>
      </w:r>
      <w:r w:rsidR="00D30541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Shodno</w:t>
      </w:r>
      <w:r w:rsidR="00D30541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ovom</w:t>
      </w:r>
      <w:r w:rsidR="00D30541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cilju</w:t>
      </w:r>
      <w:r w:rsidR="00D30541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Programom</w:t>
      </w:r>
      <w:r w:rsidR="00D30541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ostvarivanja</w:t>
      </w:r>
      <w:r w:rsidR="001B1A34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Strategije</w:t>
      </w:r>
      <w:r w:rsidR="00D30541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razvoja</w:t>
      </w:r>
      <w:r w:rsidR="00D30541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energetike</w:t>
      </w:r>
      <w:r w:rsidR="00D30541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</w:t>
      </w:r>
      <w:r w:rsidR="00D30541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period</w:t>
      </w:r>
      <w:r w:rsidR="00D30541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2017-2023.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godine</w:t>
      </w:r>
      <w:r w:rsidR="00D30541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utvrđeno</w:t>
      </w:r>
      <w:r w:rsidR="00141F47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je</w:t>
      </w:r>
      <w:r w:rsidR="00141F47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da</w:t>
      </w:r>
      <w:r w:rsidR="00141F47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je</w:t>
      </w:r>
      <w:r w:rsidR="00D30541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indikativni</w:t>
      </w:r>
      <w:r w:rsidR="00D30541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cilj</w:t>
      </w:r>
      <w:r w:rsidR="00D30541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Republike</w:t>
      </w:r>
      <w:r w:rsidR="00D30541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Srbije</w:t>
      </w:r>
      <w:r w:rsidR="00D30541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</w:t>
      </w:r>
      <w:r w:rsidR="00D30541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2020.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godini</w:t>
      </w:r>
      <w:r w:rsidR="00D30541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da</w:t>
      </w:r>
      <w:r w:rsidR="00D30541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potrošnja</w:t>
      </w:r>
      <w:r w:rsidR="00D30541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primarne</w:t>
      </w:r>
      <w:r w:rsidR="00D30541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energije</w:t>
      </w:r>
      <w:r w:rsidR="00D30541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ne</w:t>
      </w:r>
      <w:r w:rsidR="00D30541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pređe</w:t>
      </w:r>
      <w:r w:rsidR="00D30541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17,981 </w:t>
      </w:r>
      <w:r w:rsidR="00644356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Mtoe</w:t>
      </w:r>
      <w:r w:rsidR="00D30541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primarne</w:t>
      </w:r>
      <w:r w:rsidR="00D30541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energije</w:t>
      </w:r>
      <w:r w:rsidR="00D30541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a</w:t>
      </w:r>
      <w:r w:rsidR="00D30541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potrošnja</w:t>
      </w:r>
      <w:r w:rsidR="00D30541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finalne</w:t>
      </w:r>
      <w:r w:rsidR="00D30541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energije</w:t>
      </w:r>
      <w:r w:rsidR="00D30541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13,103 </w:t>
      </w:r>
      <w:r w:rsidR="00644356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Mtoe</w:t>
      </w:r>
      <w:r w:rsidR="00D30541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finalne</w:t>
      </w:r>
      <w:r w:rsidR="00D30541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energije</w:t>
      </w:r>
      <w:r w:rsidR="00D30541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</w:t>
      </w:r>
      <w:r w:rsidR="00D30541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energetske</w:t>
      </w:r>
      <w:r w:rsidR="00D30541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svrhe</w:t>
      </w:r>
      <w:r w:rsidR="00FD5851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.</w:t>
      </w:r>
    </w:p>
    <w:p w:rsidR="00B4650C" w:rsidRPr="00E712BE" w:rsidRDefault="00E712BE" w:rsidP="00067E09">
      <w:pPr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Zakonom</w:t>
      </w:r>
      <w:r w:rsidR="007C7565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je</w:t>
      </w:r>
      <w:r w:rsidR="007C7565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predviđeno</w:t>
      </w:r>
      <w:r w:rsidR="007C7565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osnivanje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Budžetskog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fonda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unapređenje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energetske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efikasnosti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Republike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Srbije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daljem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tekstu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Budžetski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fond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koji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će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predstavljati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efikasan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način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prikupljanje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plasiranje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sredstava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svrhu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finansiranja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ili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sufinansiranja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projekata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programa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aktivnosti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koje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cilj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imaju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efikasnije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korišćenje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energije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to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:</w:t>
      </w:r>
    </w:p>
    <w:p w:rsidR="00B4650C" w:rsidRPr="00E712BE" w:rsidRDefault="00B4650C" w:rsidP="00067E09">
      <w:pPr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1)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primenu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tehničkih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mera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cilju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efikasnog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korišćenja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energije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sektorima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proizvodnje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prenosa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distribucije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potrošnje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energije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;</w:t>
      </w:r>
    </w:p>
    <w:p w:rsidR="00B4650C" w:rsidRPr="00E712BE" w:rsidRDefault="00B4650C" w:rsidP="00067E09">
      <w:pPr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2)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podsticanje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razvoja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sistema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energetskog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menadžmenta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subjekte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koji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nisu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obveznici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tog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sistema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;</w:t>
      </w:r>
    </w:p>
    <w:p w:rsidR="00B4650C" w:rsidRPr="00E712BE" w:rsidRDefault="00B4650C" w:rsidP="00067E09">
      <w:pPr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3)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promovisanje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sprovođenje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energetskih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pregleda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objekata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proizvodnih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procesa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usluga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;</w:t>
      </w:r>
    </w:p>
    <w:p w:rsidR="00B4650C" w:rsidRPr="00E712BE" w:rsidRDefault="00B4650C" w:rsidP="00067E09">
      <w:pPr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4)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izgradnju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sistema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kombinovanu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proizvodnju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toplotne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električne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energije</w:t>
      </w:r>
      <w:r w:rsidR="00067E09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,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ako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su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ispunjeni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zahtevi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pogledu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energetske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efikasnosti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postrojenja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propisani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skladu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sa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zakonom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kojim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se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uređuje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oblast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energetike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a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investitor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toplotnu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električnu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energiju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koristi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isključivo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sopstvene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potrebe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;</w:t>
      </w:r>
    </w:p>
    <w:p w:rsidR="00B4650C" w:rsidRPr="00E712BE" w:rsidRDefault="00B4650C" w:rsidP="00067E09">
      <w:pPr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5)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podsticanje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razvoja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energetskih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usluga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na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tržištu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Republike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Srbije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;</w:t>
      </w:r>
    </w:p>
    <w:p w:rsidR="00B4650C" w:rsidRPr="00E712BE" w:rsidRDefault="00B4650C" w:rsidP="00067E09">
      <w:pPr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6)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podsticanje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upotrebe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obnovljivih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izvora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energije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proizvodnju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električne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toplotne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energije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sopstvene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potrebe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;</w:t>
      </w:r>
    </w:p>
    <w:p w:rsidR="00B4650C" w:rsidRPr="00E712BE" w:rsidRDefault="00B4650C" w:rsidP="00067E09">
      <w:pPr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lastRenderedPageBreak/>
        <w:t xml:space="preserve">7)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druge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namene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skladu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sa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zakonom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.</w:t>
      </w:r>
    </w:p>
    <w:p w:rsidR="00B4650C" w:rsidRPr="00E712BE" w:rsidRDefault="00E712BE" w:rsidP="00067E09">
      <w:pPr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Odlukom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otvaranju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Budžetskog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fonda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unapređenje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energetske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efikasnosti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Republike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Srbije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(</w:t>
      </w:r>
      <w:r w:rsidR="009E7BC4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Službeni</w:t>
      </w:r>
      <w:r w:rsidR="009E7BC4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glasnik</w:t>
      </w:r>
      <w:r w:rsidR="009E7BC4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RS</w:t>
      </w:r>
      <w:r w:rsidR="009E7BC4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”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broj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92/13)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otvoren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je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Budžetski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fond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unapređenje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energetske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efikasnosti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Republike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Srbije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kao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evidencioni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račun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okviru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glavne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knjige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trezora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to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okviru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razdela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ministarstva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nadležnog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poslove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energetike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. </w:t>
      </w:r>
    </w:p>
    <w:p w:rsidR="00B4650C" w:rsidRPr="00E712BE" w:rsidRDefault="00E712BE" w:rsidP="00067E09">
      <w:pPr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Korišćenje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sredstava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iz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Budžetskog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fonda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vršiće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se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skladu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sa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godišnjim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programom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finansiranja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aktivnosti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mera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unapređenja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efikasnog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korišćenja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energije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.</w:t>
      </w:r>
    </w:p>
    <w:p w:rsidR="00B4650C" w:rsidRPr="00E712BE" w:rsidRDefault="00E712BE" w:rsidP="00067E09">
      <w:pPr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Ovim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programom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određuju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se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ciljevi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programa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mere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unapređenja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energetske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efikasnosti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koje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će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biti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finansirane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način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finansiranja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nosioci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programa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.</w:t>
      </w:r>
    </w:p>
    <w:p w:rsidR="00067E09" w:rsidRPr="00E712BE" w:rsidRDefault="00067E09" w:rsidP="00067E09">
      <w:pPr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</w:p>
    <w:p w:rsidR="00B4650C" w:rsidRPr="00E712BE" w:rsidRDefault="00B4650C" w:rsidP="00067E09">
      <w:pPr>
        <w:ind w:firstLine="567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</w:pPr>
      <w:r w:rsidRPr="00E712B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 xml:space="preserve">II. </w:t>
      </w:r>
      <w:r w:rsidR="00E712B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>CILJEVI</w:t>
      </w:r>
      <w:r w:rsidRPr="00E712B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>PROGRAMA</w:t>
      </w:r>
      <w:r w:rsidRPr="00E712B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>FINANSIRANJA</w:t>
      </w:r>
      <w:r w:rsidRPr="00E712B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>AKTIVNOSTI</w:t>
      </w:r>
      <w:r w:rsidRPr="00E712B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>I</w:t>
      </w:r>
      <w:r w:rsidRPr="00E712B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>MERA</w:t>
      </w:r>
      <w:r w:rsidRPr="00E712B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>UNAPREĐENJA</w:t>
      </w:r>
      <w:r w:rsidRPr="00E712B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>EFIKASNOG</w:t>
      </w:r>
      <w:r w:rsidRPr="00E712B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>KORIŠĆENJA</w:t>
      </w:r>
      <w:r w:rsidRPr="00E712B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>ENERGIJE</w:t>
      </w:r>
      <w:r w:rsidRPr="00E712B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>U</w:t>
      </w:r>
      <w:r w:rsidRPr="00E712B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 xml:space="preserve"> </w:t>
      </w:r>
      <w:r w:rsidR="00D75728" w:rsidRPr="00E712B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>2018</w:t>
      </w:r>
      <w:r w:rsidRPr="00E712B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 xml:space="preserve">. </w:t>
      </w:r>
      <w:r w:rsidR="00E712B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>GODINI</w:t>
      </w:r>
    </w:p>
    <w:p w:rsidR="00067E09" w:rsidRPr="00E712BE" w:rsidRDefault="00067E09" w:rsidP="00067E09">
      <w:pPr>
        <w:ind w:firstLine="567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 w:eastAsia="sr-Latn-RS"/>
        </w:rPr>
      </w:pPr>
    </w:p>
    <w:p w:rsidR="00B4650C" w:rsidRPr="00E712BE" w:rsidRDefault="00E712BE" w:rsidP="00067E09">
      <w:pPr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Osnovni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cilj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Programa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finansiranja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aktivnosti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mera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unapređenja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efikasnog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korišćenja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energije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D75728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2018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godini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daljem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tekstu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Program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je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finansijska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podrška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merama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mehanizmima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unapređenja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energetske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efikasnosti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predviđenih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Zakonom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Akcionim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planom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drugim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strateškim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dokumentima</w:t>
      </w:r>
      <w:r w:rsidR="00AD20FE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iz</w:t>
      </w:r>
      <w:r w:rsidR="00AD20FE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oblasti</w:t>
      </w:r>
      <w:r w:rsidR="00AD20FE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energetike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. </w:t>
      </w:r>
    </w:p>
    <w:p w:rsidR="00B4650C" w:rsidRPr="00E712BE" w:rsidRDefault="00E712BE" w:rsidP="00067E09">
      <w:pPr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Programom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treba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da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budu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postignuti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sledeći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posebni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ciljevi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:</w:t>
      </w:r>
    </w:p>
    <w:p w:rsidR="00B4650C" w:rsidRPr="00E712BE" w:rsidRDefault="00B4650C" w:rsidP="00067E09">
      <w:pPr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1)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ostvarivanje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uštede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energije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njeno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racionalno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korišćenje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primenom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proverenih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savremenih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tehnologija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proizvoda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čije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je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korišćenje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ekonomski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opravdano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;</w:t>
      </w:r>
    </w:p>
    <w:p w:rsidR="00B4650C" w:rsidRPr="00E712BE" w:rsidRDefault="00B4650C" w:rsidP="00067E09">
      <w:pPr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2)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korišćenje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obnovljivih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izvora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energije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sopstvene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potrebe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;</w:t>
      </w:r>
    </w:p>
    <w:p w:rsidR="00B4650C" w:rsidRPr="00E712BE" w:rsidRDefault="00B4650C" w:rsidP="00067E09">
      <w:pPr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3)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uposlenost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privrednih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subjekata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;</w:t>
      </w:r>
    </w:p>
    <w:p w:rsidR="00B4650C" w:rsidRPr="00E712BE" w:rsidRDefault="00B4650C" w:rsidP="00067E09">
      <w:pPr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4)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zaštita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životne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sredine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kroz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smanjene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emisije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gasova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koji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stvaraju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efekat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staklene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bašte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(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GHG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gasovi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);</w:t>
      </w:r>
    </w:p>
    <w:p w:rsidR="00B4650C" w:rsidRPr="00E712BE" w:rsidRDefault="00B4650C" w:rsidP="00067E09">
      <w:pPr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5)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povećanje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javne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svesti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značaju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energetske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efikasnosti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.</w:t>
      </w:r>
    </w:p>
    <w:p w:rsidR="00067E09" w:rsidRPr="00E712BE" w:rsidRDefault="00067E09" w:rsidP="00067E09">
      <w:pPr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</w:p>
    <w:p w:rsidR="00B4650C" w:rsidRPr="00E712BE" w:rsidRDefault="00B4650C" w:rsidP="00067E09">
      <w:pPr>
        <w:ind w:firstLine="567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</w:pPr>
      <w:r w:rsidRPr="00E712B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 xml:space="preserve">III. </w:t>
      </w:r>
      <w:r w:rsidR="00E712B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>NOSIOCI</w:t>
      </w:r>
      <w:r w:rsidRPr="00E712B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>PROGRAMA</w:t>
      </w:r>
    </w:p>
    <w:p w:rsidR="00067E09" w:rsidRPr="00E712BE" w:rsidRDefault="00067E09" w:rsidP="00067E09">
      <w:pPr>
        <w:ind w:firstLine="567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</w:pPr>
    </w:p>
    <w:p w:rsidR="00B4650C" w:rsidRPr="00E712BE" w:rsidRDefault="00E712BE" w:rsidP="00067E09">
      <w:pPr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Nosioci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Programa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su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:</w:t>
      </w:r>
    </w:p>
    <w:p w:rsidR="00B4650C" w:rsidRPr="00E712BE" w:rsidRDefault="00B4650C" w:rsidP="00067E09">
      <w:pPr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1)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Republika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Srbija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;</w:t>
      </w:r>
    </w:p>
    <w:p w:rsidR="00B4650C" w:rsidRPr="00E712BE" w:rsidRDefault="00B4650C" w:rsidP="00067E09">
      <w:pPr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2)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jedinice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lokalne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samouprave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privredna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društva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odnosno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druga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pravna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lica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čiji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je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osnivač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jedinica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lokalne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samouprave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autonomna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pokrajina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odnosno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Republika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Srbija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.</w:t>
      </w:r>
    </w:p>
    <w:p w:rsidR="00067E09" w:rsidRPr="00E712BE" w:rsidRDefault="00067E09" w:rsidP="00067E09">
      <w:pPr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</w:p>
    <w:p w:rsidR="00B4650C" w:rsidRPr="00E712BE" w:rsidRDefault="00B4650C" w:rsidP="00067E09">
      <w:pPr>
        <w:ind w:firstLine="567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</w:pPr>
      <w:r w:rsidRPr="00E712B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 xml:space="preserve">IV. </w:t>
      </w:r>
      <w:r w:rsidR="00E712B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>MERE</w:t>
      </w:r>
      <w:r w:rsidRPr="00E712B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>UNAPREĐENJA</w:t>
      </w:r>
      <w:r w:rsidRPr="00E712B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>ENERGETSKE</w:t>
      </w:r>
      <w:r w:rsidRPr="00E712B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>EFIKASNOSTI</w:t>
      </w:r>
    </w:p>
    <w:p w:rsidR="00067E09" w:rsidRPr="00E712BE" w:rsidRDefault="00067E09" w:rsidP="00067E09">
      <w:pPr>
        <w:ind w:firstLine="567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</w:pPr>
    </w:p>
    <w:p w:rsidR="00B4650C" w:rsidRPr="00E712BE" w:rsidRDefault="00E712BE" w:rsidP="00067E09">
      <w:pPr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Mere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unapređenja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energetske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efikasnosti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koje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se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naročito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finansiraju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ili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sufinansiraju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skladu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sa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ovim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programom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su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sledeće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:</w:t>
      </w:r>
    </w:p>
    <w:p w:rsidR="00B4650C" w:rsidRPr="00E712BE" w:rsidRDefault="00B4650C" w:rsidP="00067E09">
      <w:pPr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1)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unapređenje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energetske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efikasnosti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zgradama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(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npr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.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energetska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sanacija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postojećeg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postavljanje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novog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omotača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zamena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spoljnih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prozora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vrata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zamena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ili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ugradnja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nove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energetski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efikasnije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opreme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sisteme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grejanje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/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ili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hlađenje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zamena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/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modernizacija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sistema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unutrašnjeg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osvetljenja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uvođenje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sistema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automatsko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upravljanje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energijom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dr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.);</w:t>
      </w:r>
    </w:p>
    <w:p w:rsidR="00B4650C" w:rsidRPr="00E712BE" w:rsidRDefault="00B4650C" w:rsidP="00067E09">
      <w:pPr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2)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povezivanje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novih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potrošača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na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postojeći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sistem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daljinskog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grejanja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;</w:t>
      </w:r>
    </w:p>
    <w:p w:rsidR="00B4650C" w:rsidRPr="00E712BE" w:rsidRDefault="00B4650C" w:rsidP="00067E09">
      <w:pPr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3)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povezivanje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potrošača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koji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koriste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električnu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energiju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grejanje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ili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neefikasne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kotlove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/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peći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na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ugalj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grejanje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na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postojeću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gasnu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distributivnu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mrežu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;</w:t>
      </w:r>
    </w:p>
    <w:p w:rsidR="00B4650C" w:rsidRPr="00E712BE" w:rsidRDefault="00B4650C" w:rsidP="00067E09">
      <w:pPr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4)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instalacija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toplotnih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pumpi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manjeg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kapaciteta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sa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visokim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koeficijentom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učinka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(COP); </w:t>
      </w:r>
    </w:p>
    <w:p w:rsidR="00B4650C" w:rsidRPr="00E712BE" w:rsidRDefault="00B4650C" w:rsidP="00067E09">
      <w:pPr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5)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instalacija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kotlova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na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biomasu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;</w:t>
      </w:r>
    </w:p>
    <w:p w:rsidR="00B4650C" w:rsidRPr="00E712BE" w:rsidRDefault="00B4650C" w:rsidP="00067E09">
      <w:pPr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6)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instalacija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solarnih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kolektora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grejanje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potrošne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tople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vode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;</w:t>
      </w:r>
    </w:p>
    <w:p w:rsidR="00B4650C" w:rsidRPr="00E712BE" w:rsidRDefault="00B4650C" w:rsidP="00067E09">
      <w:pPr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7)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promovisanje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korišćenja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energetski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efikasnih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uređaja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domaćinstvima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;</w:t>
      </w:r>
    </w:p>
    <w:p w:rsidR="00B4650C" w:rsidRPr="00E712BE" w:rsidRDefault="00B4650C" w:rsidP="00067E09">
      <w:pPr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8)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modernizacija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sistema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javnog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osvetljenja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gradovima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opštinama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;</w:t>
      </w:r>
    </w:p>
    <w:p w:rsidR="00B4650C" w:rsidRPr="00E712BE" w:rsidRDefault="00B4650C" w:rsidP="00067E09">
      <w:pPr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9)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unapređenje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energetske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efikasnosti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sektoru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industrije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;</w:t>
      </w:r>
    </w:p>
    <w:p w:rsidR="00B4650C" w:rsidRPr="00E712BE" w:rsidRDefault="00B4650C" w:rsidP="00067E09">
      <w:pPr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10)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podizanje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svesti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značaju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energetske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efikasnosti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(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npr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.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realizacija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informativnih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kampanja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edukacija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na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svim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nivoima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organizovanje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radionica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konferencija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izrada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alata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komunikaciju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);</w:t>
      </w:r>
    </w:p>
    <w:p w:rsidR="00B4650C" w:rsidRPr="00E712BE" w:rsidRDefault="00B4650C" w:rsidP="00067E09">
      <w:pPr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lastRenderedPageBreak/>
        <w:t xml:space="preserve">11)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izrada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studija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elaborata</w:t>
      </w:r>
      <w:r w:rsidR="00B946DD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energetske</w:t>
      </w:r>
      <w:r w:rsidR="00B946DD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efikasnosti</w:t>
      </w:r>
      <w:r w:rsidR="00B946DD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softverskih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rešenja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analiza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odnosno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projektne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dokumentacije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.</w:t>
      </w:r>
    </w:p>
    <w:p w:rsidR="00B4650C" w:rsidRPr="00E712BE" w:rsidRDefault="00E712BE" w:rsidP="00067E09">
      <w:pPr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Mere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iz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stava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ove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glave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će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se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finansirati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ili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sufinansirati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sredstvima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Budžetskog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fonda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donacijama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ukoliko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budu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obezbeđene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.</w:t>
      </w:r>
    </w:p>
    <w:p w:rsidR="00067E09" w:rsidRPr="00E712BE" w:rsidRDefault="00067E09" w:rsidP="00067E09">
      <w:pPr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</w:p>
    <w:p w:rsidR="00B4650C" w:rsidRPr="00E712BE" w:rsidRDefault="00B4650C" w:rsidP="00067E09">
      <w:pPr>
        <w:ind w:firstLine="567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</w:pPr>
      <w:r w:rsidRPr="00E712B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 xml:space="preserve">V. </w:t>
      </w:r>
      <w:r w:rsidR="00E712B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>FINANSIRANJE</w:t>
      </w:r>
      <w:r w:rsidRPr="00E712B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>MERA</w:t>
      </w:r>
      <w:r w:rsidRPr="00E712B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>UNAPREĐENJA</w:t>
      </w:r>
      <w:r w:rsidRPr="00E712B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>ENERGETSKE</w:t>
      </w:r>
      <w:r w:rsidRPr="00E712B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>EFIKASNOSTI</w:t>
      </w:r>
      <w:r w:rsidRPr="00E712B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>SREDSTVIMA</w:t>
      </w:r>
      <w:r w:rsidRPr="00E712B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>BUDŽETSKOG</w:t>
      </w:r>
      <w:r w:rsidRPr="00E712B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>FONDA</w:t>
      </w:r>
    </w:p>
    <w:p w:rsidR="00067E09" w:rsidRPr="00E712BE" w:rsidRDefault="00067E09" w:rsidP="00067E09">
      <w:pPr>
        <w:ind w:firstLine="567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</w:pPr>
    </w:p>
    <w:p w:rsidR="00B4650C" w:rsidRPr="00E712BE" w:rsidRDefault="00E712BE" w:rsidP="00067E09">
      <w:pPr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javnom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sektoru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sredstva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će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se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koristiti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naročito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primenu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sledećih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mera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energetske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efikasnosti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:</w:t>
      </w:r>
    </w:p>
    <w:p w:rsidR="00B4650C" w:rsidRPr="00E712BE" w:rsidRDefault="00B4650C" w:rsidP="00067E09">
      <w:pPr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1)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poboljšanje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odnosno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zamenu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spoljnih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prozora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vrata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;</w:t>
      </w:r>
    </w:p>
    <w:p w:rsidR="00B4650C" w:rsidRPr="00E712BE" w:rsidRDefault="00B4650C" w:rsidP="00067E09">
      <w:pPr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2)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postavljanje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ili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poboljšanje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postojeće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termičke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izolacije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zidova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krova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tavanica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iznad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otvorenih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prolaza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zidova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podova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na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tlu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kao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ostalih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zidova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prema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negrejanom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prostoru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(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termički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omotač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zgrade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);</w:t>
      </w:r>
    </w:p>
    <w:p w:rsidR="00B4650C" w:rsidRPr="00E712BE" w:rsidRDefault="00B4650C" w:rsidP="00067E09">
      <w:pPr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3)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zamenu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ili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ugradnju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efikasnih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sistema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klimatizaciju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;</w:t>
      </w:r>
    </w:p>
    <w:p w:rsidR="00B4650C" w:rsidRPr="00E712BE" w:rsidRDefault="00B4650C" w:rsidP="00067E09">
      <w:pPr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4)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unapređenje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odnosno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modernizaciju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sistema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unutrašnjeg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osvetljenja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objektima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;</w:t>
      </w:r>
    </w:p>
    <w:p w:rsidR="00B4650C" w:rsidRPr="00E712BE" w:rsidRDefault="00B4650C" w:rsidP="00067E09">
      <w:pPr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5)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zamenu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sistema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ili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dela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sistema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grejanja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efikasnijim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sistemom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(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npr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.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zamena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kotla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efikasnijim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ugradnja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pumpi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sa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promenljivim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brojem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obrtaja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ugradnja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uređaja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automatsku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regulaciju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rada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sistema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grejanja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itd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.);</w:t>
      </w:r>
    </w:p>
    <w:p w:rsidR="00B4650C" w:rsidRPr="00E712BE" w:rsidRDefault="00B4650C" w:rsidP="00067E09">
      <w:pPr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6)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opremanje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grejne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instalacije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sa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termostatskim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ventilima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potrebi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uređajima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merenje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predate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količine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toplote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objektu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odnosno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delu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objekta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;</w:t>
      </w:r>
    </w:p>
    <w:p w:rsidR="00B4650C" w:rsidRPr="00E712BE" w:rsidRDefault="00B4650C" w:rsidP="00067E09">
      <w:pPr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7)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instalaciju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kotlova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na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biomasu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;</w:t>
      </w:r>
    </w:p>
    <w:p w:rsidR="00B4650C" w:rsidRPr="00E712BE" w:rsidRDefault="00B4650C" w:rsidP="00067E09">
      <w:pPr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8)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instalaciju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solarnih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kolektora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grejanje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potrošne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tople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vode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;</w:t>
      </w:r>
    </w:p>
    <w:p w:rsidR="00B4650C" w:rsidRPr="00E712BE" w:rsidRDefault="00B4650C" w:rsidP="00067E09">
      <w:pPr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9)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instalaciju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toplotnih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pumpi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manjeg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kapaciteta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sa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visokim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koeficijentom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učinka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(COP); </w:t>
      </w:r>
    </w:p>
    <w:p w:rsidR="00B4650C" w:rsidRPr="00E712BE" w:rsidRDefault="00B4650C" w:rsidP="00067E09">
      <w:pPr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1</w:t>
      </w:r>
      <w:r w:rsidR="00370D24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0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)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ugradnju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uređaja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primenu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specifičnih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IT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alata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daljinsku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kontrolu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automatsku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regulaciju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rada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energetskih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sistema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objektima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; </w:t>
      </w:r>
    </w:p>
    <w:p w:rsidR="00B4650C" w:rsidRPr="00E712BE" w:rsidRDefault="00B4650C" w:rsidP="00067E09">
      <w:pPr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1</w:t>
      </w:r>
      <w:r w:rsidR="00370D24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1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)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druge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mere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unapređenje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energetske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efikasnosti</w:t>
      </w:r>
      <w:r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.</w:t>
      </w:r>
    </w:p>
    <w:p w:rsidR="00B4650C" w:rsidRPr="00E712BE" w:rsidRDefault="00E712BE" w:rsidP="00067E09">
      <w:pPr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Mere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iz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stava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ove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glave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će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se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finansirati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ili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sufinansirati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sredstvima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Budžetskog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fonda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.</w:t>
      </w:r>
    </w:p>
    <w:p w:rsidR="00B4650C" w:rsidRPr="00E712BE" w:rsidRDefault="00B4650C" w:rsidP="00067E09">
      <w:pPr>
        <w:ind w:firstLine="567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</w:pPr>
      <w:r w:rsidRPr="00E712B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 xml:space="preserve">VI. </w:t>
      </w:r>
      <w:r w:rsidR="00E712B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>NAČIN</w:t>
      </w:r>
      <w:r w:rsidRPr="00E712B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 xml:space="preserve"> </w:t>
      </w:r>
      <w:r w:rsidR="00E712B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>FINANSIRANJA</w:t>
      </w:r>
    </w:p>
    <w:p w:rsidR="00067E09" w:rsidRPr="00E712BE" w:rsidRDefault="00067E09" w:rsidP="00067E09">
      <w:pPr>
        <w:ind w:firstLine="567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</w:pPr>
    </w:p>
    <w:p w:rsidR="00B4650C" w:rsidRPr="00E712BE" w:rsidRDefault="00E712BE" w:rsidP="00067E09">
      <w:pPr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realizaciju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ovog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programa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preuzetih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obaveza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na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osnovu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Uredbe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utvrđivanju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Programa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finansiranja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aktivnosti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mera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unapređenja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efikasnog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korišćenja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energije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201</w:t>
      </w:r>
      <w:r w:rsidR="00B946DD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6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godini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(</w:t>
      </w:r>
      <w:r w:rsidR="009E7BC4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Službeni</w:t>
      </w:r>
      <w:r w:rsidR="009E7BC4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glasnik</w:t>
      </w:r>
      <w:r w:rsidR="009E7BC4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RS</w:t>
      </w:r>
      <w:r w:rsidR="009E7BC4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”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broj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B946DD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13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/1</w:t>
      </w:r>
      <w:r w:rsidR="00B946DD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6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koriste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se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sredstva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Budžetskog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fonda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koja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su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obezbeđena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na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osnovu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Zakona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budžetu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Republike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Srbije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201</w:t>
      </w:r>
      <w:r w:rsidR="00B946DD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8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godinu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(</w:t>
      </w:r>
      <w:r w:rsidR="009E7BC4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Službeni</w:t>
      </w:r>
      <w:r w:rsidR="009E7BC4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glasnik</w:t>
      </w:r>
      <w:r w:rsidR="009E7BC4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RS</w:t>
      </w:r>
      <w:r w:rsidR="009E7BC4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”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broj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121521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113/17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od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budžetskih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sredstava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iznosu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od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1</w:t>
      </w:r>
      <w:r w:rsidR="00B946DD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5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0.000.000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dinara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Sredstva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finansiranje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projekata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unapređenja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energetske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efikasnosti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mogu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se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opredeliti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kao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bespovratna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sredstva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. </w:t>
      </w:r>
    </w:p>
    <w:p w:rsidR="00B946DD" w:rsidRPr="00E712BE" w:rsidRDefault="00E712BE" w:rsidP="00067E09">
      <w:pPr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Iznos</w:t>
      </w:r>
      <w:r w:rsidR="00B946DD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od</w:t>
      </w:r>
      <w:r w:rsidR="00B946DD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10.000.000,00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dinara</w:t>
      </w:r>
      <w:r w:rsidR="00B946DD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se</w:t>
      </w:r>
      <w:r w:rsidR="006E602F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obezbeđuje</w:t>
      </w:r>
      <w:r w:rsidR="00B946DD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</w:t>
      </w:r>
      <w:r w:rsidR="006E602F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finansiranje</w:t>
      </w:r>
      <w:r w:rsidR="006E602F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tehničke</w:t>
      </w:r>
      <w:r w:rsidR="006E602F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pomoći</w:t>
      </w:r>
      <w:r w:rsidR="006E602F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</w:t>
      </w:r>
      <w:r w:rsidR="006E602F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aktivnosti</w:t>
      </w:r>
      <w:r w:rsidR="006E602F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Budžetskog</w:t>
      </w:r>
      <w:r w:rsidR="006E602F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fonda</w:t>
      </w:r>
      <w:r w:rsidR="00B946DD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.</w:t>
      </w:r>
    </w:p>
    <w:p w:rsidR="00720ED1" w:rsidRPr="00E712BE" w:rsidRDefault="00E712BE" w:rsidP="00067E09">
      <w:pPr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Korisnici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sredstava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su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jedinice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lokalne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samouprave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Finansiranje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projekata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vrši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se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skladu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sa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propisom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kojim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se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uređuju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bliži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uslovi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raspodelu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korišćenje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sredstava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Budžetskog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fonda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način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raspodele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tih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sredstava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kao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način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praćenja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namenskog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korišćenja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sredstava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ugovorenih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prava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obaveza</w:t>
      </w:r>
      <w:r w:rsidR="00B4650C" w:rsidRPr="00E71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. </w:t>
      </w:r>
    </w:p>
    <w:sectPr w:rsidR="00720ED1" w:rsidRPr="00E712BE" w:rsidSect="00EE1750">
      <w:footerReference w:type="first" r:id="rId13"/>
      <w:pgSz w:w="11906" w:h="16838"/>
      <w:pgMar w:top="851" w:right="851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DAC" w:rsidRDefault="00C31DAC" w:rsidP="00A03DCE">
      <w:r>
        <w:separator/>
      </w:r>
    </w:p>
  </w:endnote>
  <w:endnote w:type="continuationSeparator" w:id="0">
    <w:p w:rsidR="00C31DAC" w:rsidRDefault="00C31DAC" w:rsidP="00A03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2BE" w:rsidRDefault="00E712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noProof/>
      </w:rPr>
      <w:id w:val="664369858"/>
      <w:docPartObj>
        <w:docPartGallery w:val="Page Numbers (Bottom of Page)"/>
        <w:docPartUnique/>
      </w:docPartObj>
    </w:sdtPr>
    <w:sdtEndPr/>
    <w:sdtContent>
      <w:p w:rsidR="00A03DCE" w:rsidRPr="00E712BE" w:rsidRDefault="00A03DCE">
        <w:pPr>
          <w:pStyle w:val="Footer"/>
          <w:jc w:val="center"/>
          <w:rPr>
            <w:rFonts w:ascii="Times New Roman" w:hAnsi="Times New Roman"/>
            <w:noProof/>
          </w:rPr>
        </w:pPr>
        <w:r w:rsidRPr="00E712BE">
          <w:rPr>
            <w:rFonts w:ascii="Times New Roman" w:hAnsi="Times New Roman"/>
            <w:noProof/>
          </w:rPr>
          <w:fldChar w:fldCharType="begin"/>
        </w:r>
        <w:r w:rsidRPr="00E712BE">
          <w:rPr>
            <w:rFonts w:ascii="Times New Roman" w:hAnsi="Times New Roman"/>
            <w:noProof/>
          </w:rPr>
          <w:instrText xml:space="preserve"> PAGE   \* MERGEFORMAT </w:instrText>
        </w:r>
        <w:r w:rsidRPr="00E712BE">
          <w:rPr>
            <w:rFonts w:ascii="Times New Roman" w:hAnsi="Times New Roman"/>
            <w:noProof/>
          </w:rPr>
          <w:fldChar w:fldCharType="separate"/>
        </w:r>
        <w:r w:rsidR="00E712BE">
          <w:rPr>
            <w:rFonts w:ascii="Times New Roman" w:hAnsi="Times New Roman"/>
            <w:noProof/>
          </w:rPr>
          <w:t>2</w:t>
        </w:r>
        <w:r w:rsidRPr="00E712BE">
          <w:rPr>
            <w:rFonts w:ascii="Times New Roman" w:hAnsi="Times New Roman"/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2BE" w:rsidRDefault="00E712B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DCE" w:rsidRDefault="00A03D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DAC" w:rsidRDefault="00C31DAC" w:rsidP="00A03DCE">
      <w:r>
        <w:separator/>
      </w:r>
    </w:p>
  </w:footnote>
  <w:footnote w:type="continuationSeparator" w:id="0">
    <w:p w:rsidR="00C31DAC" w:rsidRDefault="00C31DAC" w:rsidP="00A03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2BE" w:rsidRDefault="00E712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2BE" w:rsidRDefault="00E712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2BE" w:rsidRDefault="00E712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9711E"/>
    <w:multiLevelType w:val="hybridMultilevel"/>
    <w:tmpl w:val="150A9896"/>
    <w:lvl w:ilvl="0" w:tplc="09FA30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50C"/>
    <w:rsid w:val="0000785A"/>
    <w:rsid w:val="00067E09"/>
    <w:rsid w:val="000C78E3"/>
    <w:rsid w:val="00114143"/>
    <w:rsid w:val="00121521"/>
    <w:rsid w:val="00141F47"/>
    <w:rsid w:val="001A07CC"/>
    <w:rsid w:val="001B1A34"/>
    <w:rsid w:val="001D1DE9"/>
    <w:rsid w:val="00201E69"/>
    <w:rsid w:val="002C506E"/>
    <w:rsid w:val="002E3E2A"/>
    <w:rsid w:val="00365CE6"/>
    <w:rsid w:val="00370D24"/>
    <w:rsid w:val="004973F1"/>
    <w:rsid w:val="004A12AA"/>
    <w:rsid w:val="004A19A4"/>
    <w:rsid w:val="004A7FAA"/>
    <w:rsid w:val="004B5EFE"/>
    <w:rsid w:val="00527679"/>
    <w:rsid w:val="005D5FEC"/>
    <w:rsid w:val="00611C9E"/>
    <w:rsid w:val="00644356"/>
    <w:rsid w:val="006E602F"/>
    <w:rsid w:val="00720ED1"/>
    <w:rsid w:val="00750DA9"/>
    <w:rsid w:val="007A4BD5"/>
    <w:rsid w:val="007C25FD"/>
    <w:rsid w:val="007C7565"/>
    <w:rsid w:val="008005E2"/>
    <w:rsid w:val="00845B01"/>
    <w:rsid w:val="008B6D36"/>
    <w:rsid w:val="00911A96"/>
    <w:rsid w:val="009544EF"/>
    <w:rsid w:val="00961331"/>
    <w:rsid w:val="009E040C"/>
    <w:rsid w:val="009E7BC4"/>
    <w:rsid w:val="00A03DCE"/>
    <w:rsid w:val="00A87641"/>
    <w:rsid w:val="00AC5C2A"/>
    <w:rsid w:val="00AD20FE"/>
    <w:rsid w:val="00B13371"/>
    <w:rsid w:val="00B4650C"/>
    <w:rsid w:val="00B946DD"/>
    <w:rsid w:val="00BA56A1"/>
    <w:rsid w:val="00C31DAC"/>
    <w:rsid w:val="00C7115C"/>
    <w:rsid w:val="00C9535C"/>
    <w:rsid w:val="00CD1F23"/>
    <w:rsid w:val="00D30541"/>
    <w:rsid w:val="00D75728"/>
    <w:rsid w:val="00D84485"/>
    <w:rsid w:val="00E712BE"/>
    <w:rsid w:val="00E719A3"/>
    <w:rsid w:val="00E9209B"/>
    <w:rsid w:val="00ED2F0F"/>
    <w:rsid w:val="00EE1750"/>
    <w:rsid w:val="00F56280"/>
    <w:rsid w:val="00FD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6A0C5E-49AC-48DD-AD3B-7C59C4BBD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4650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paragraph" w:styleId="Heading2">
    <w:name w:val="heading 2"/>
    <w:basedOn w:val="Normal"/>
    <w:link w:val="Heading2Char"/>
    <w:uiPriority w:val="9"/>
    <w:qFormat/>
    <w:rsid w:val="00B4650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r-Latn-RS"/>
    </w:rPr>
  </w:style>
  <w:style w:type="paragraph" w:styleId="Heading3">
    <w:name w:val="heading 3"/>
    <w:basedOn w:val="Normal"/>
    <w:link w:val="Heading3Char"/>
    <w:uiPriority w:val="9"/>
    <w:qFormat/>
    <w:rsid w:val="00B4650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r-Latn-RS"/>
    </w:rPr>
  </w:style>
  <w:style w:type="paragraph" w:styleId="Heading4">
    <w:name w:val="heading 4"/>
    <w:basedOn w:val="Normal"/>
    <w:link w:val="Heading4Char"/>
    <w:uiPriority w:val="9"/>
    <w:qFormat/>
    <w:rsid w:val="00B4650C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650C"/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character" w:customStyle="1" w:styleId="Heading2Char">
    <w:name w:val="Heading 2 Char"/>
    <w:basedOn w:val="DefaultParagraphFont"/>
    <w:link w:val="Heading2"/>
    <w:uiPriority w:val="9"/>
    <w:rsid w:val="00B4650C"/>
    <w:rPr>
      <w:rFonts w:ascii="Times New Roman" w:eastAsia="Times New Roman" w:hAnsi="Times New Roman" w:cs="Times New Roman"/>
      <w:b/>
      <w:bCs/>
      <w:sz w:val="36"/>
      <w:szCs w:val="36"/>
      <w:lang w:eastAsia="sr-Latn-RS"/>
    </w:rPr>
  </w:style>
  <w:style w:type="character" w:customStyle="1" w:styleId="Heading3Char">
    <w:name w:val="Heading 3 Char"/>
    <w:basedOn w:val="DefaultParagraphFont"/>
    <w:link w:val="Heading3"/>
    <w:uiPriority w:val="9"/>
    <w:rsid w:val="00B4650C"/>
    <w:rPr>
      <w:rFonts w:ascii="Times New Roman" w:eastAsia="Times New Roman" w:hAnsi="Times New Roman" w:cs="Times New Roman"/>
      <w:b/>
      <w:bCs/>
      <w:sz w:val="27"/>
      <w:szCs w:val="27"/>
      <w:lang w:eastAsia="sr-Latn-RS"/>
    </w:rPr>
  </w:style>
  <w:style w:type="character" w:customStyle="1" w:styleId="Heading4Char">
    <w:name w:val="Heading 4 Char"/>
    <w:basedOn w:val="DefaultParagraphFont"/>
    <w:link w:val="Heading4"/>
    <w:uiPriority w:val="9"/>
    <w:rsid w:val="00B4650C"/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styleId="NormalWeb">
    <w:name w:val="Normal (Web)"/>
    <w:basedOn w:val="Normal"/>
    <w:uiPriority w:val="99"/>
    <w:semiHidden/>
    <w:unhideWhenUsed/>
    <w:rsid w:val="00B465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pn1">
    <w:name w:val="pn1"/>
    <w:basedOn w:val="Normal"/>
    <w:rsid w:val="00B465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customStyle="1" w:styleId="lat">
    <w:name w:val="lat"/>
    <w:basedOn w:val="DefaultParagraphFont"/>
    <w:rsid w:val="00B4650C"/>
  </w:style>
  <w:style w:type="character" w:styleId="Hyperlink">
    <w:name w:val="Hyperlink"/>
    <w:basedOn w:val="DefaultParagraphFont"/>
    <w:uiPriority w:val="99"/>
    <w:semiHidden/>
    <w:unhideWhenUsed/>
    <w:rsid w:val="00B4650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1C9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973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73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73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3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3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3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3F1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03DCE"/>
    <w:pPr>
      <w:tabs>
        <w:tab w:val="center" w:pos="4703"/>
        <w:tab w:val="right" w:pos="9406"/>
      </w:tabs>
    </w:pPr>
    <w:rPr>
      <w:rFonts w:ascii="Calibri" w:eastAsia="Times New Roman" w:hAnsi="Calibri" w:cs="Times New Roman"/>
      <w:lang w:val="sr-Latn-CS" w:eastAsia="sr-Latn-CS"/>
    </w:rPr>
  </w:style>
  <w:style w:type="character" w:customStyle="1" w:styleId="FooterChar">
    <w:name w:val="Footer Char"/>
    <w:basedOn w:val="DefaultParagraphFont"/>
    <w:link w:val="Footer"/>
    <w:uiPriority w:val="99"/>
    <w:rsid w:val="00A03DCE"/>
    <w:rPr>
      <w:rFonts w:ascii="Calibri" w:eastAsia="Times New Roman" w:hAnsi="Calibri" w:cs="Times New Roman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A03DC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3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3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8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1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6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22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1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0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90412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06217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46703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56836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224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1657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Mlinar</dc:creator>
  <cp:lastModifiedBy>Jovan Stojanovic</cp:lastModifiedBy>
  <cp:revision>2</cp:revision>
  <cp:lastPrinted>2018-03-29T15:14:00Z</cp:lastPrinted>
  <dcterms:created xsi:type="dcterms:W3CDTF">2018-03-30T10:43:00Z</dcterms:created>
  <dcterms:modified xsi:type="dcterms:W3CDTF">2018-03-30T10:43:00Z</dcterms:modified>
</cp:coreProperties>
</file>