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98" w:rsidRPr="00B93F73" w:rsidRDefault="002A1298" w:rsidP="00AA7430">
      <w:pPr>
        <w:pStyle w:val="FootnoteText"/>
        <w:spacing w:before="120" w:after="120"/>
        <w:jc w:val="center"/>
        <w:rPr>
          <w:iCs/>
          <w:color w:val="000000"/>
          <w:sz w:val="28"/>
          <w:szCs w:val="28"/>
          <w:lang w:val="sr-Cyrl-CS"/>
        </w:rPr>
      </w:pPr>
      <w:r w:rsidRPr="00B93F73">
        <w:rPr>
          <w:sz w:val="28"/>
          <w:szCs w:val="28"/>
          <w:lang w:val="sr-Cyrl-CS"/>
        </w:rPr>
        <w:t>ИЗЈАВ</w:t>
      </w:r>
      <w:r w:rsidR="00DD355C" w:rsidRPr="00B93F73">
        <w:rPr>
          <w:sz w:val="28"/>
          <w:szCs w:val="28"/>
          <w:lang w:val="sr-Cyrl-CS"/>
        </w:rPr>
        <w:t>А</w:t>
      </w:r>
      <w:r w:rsidRPr="00B93F73">
        <w:rPr>
          <w:sz w:val="28"/>
          <w:szCs w:val="28"/>
          <w:lang w:val="sr-Cyrl-CS"/>
        </w:rPr>
        <w:t xml:space="preserve"> О УСКЛАЂЕНОСТИ </w:t>
      </w:r>
      <w:r w:rsidR="00AA7430" w:rsidRPr="00B93F73">
        <w:rPr>
          <w:sz w:val="28"/>
          <w:szCs w:val="28"/>
          <w:lang w:val="sr-Cyrl-CS"/>
        </w:rPr>
        <w:t xml:space="preserve">ПРЕДЛОГА </w:t>
      </w:r>
      <w:r w:rsidR="00AA7430" w:rsidRPr="00B93F73">
        <w:rPr>
          <w:iCs/>
          <w:color w:val="000000"/>
          <w:sz w:val="28"/>
          <w:szCs w:val="28"/>
          <w:lang w:val="sr-Cyrl-CS"/>
        </w:rPr>
        <w:t xml:space="preserve">ЗАКОНА О ИЗМЕНАМА И ДОПУНАМА ЗАКОНА О ИЗВОЗУ И УВОЗУ РОБЕ ДВОСТРУКЕ НАМЕНЕ </w:t>
      </w:r>
      <w:r w:rsidRPr="00B93F73">
        <w:rPr>
          <w:sz w:val="28"/>
          <w:szCs w:val="28"/>
          <w:lang w:val="sr-Cyrl-CS"/>
        </w:rPr>
        <w:t>СА ПРОПИСИМА ЕВРОПСКЕ УНИЈЕ</w:t>
      </w:r>
    </w:p>
    <w:p w:rsidR="003D192B" w:rsidRPr="00B93F73" w:rsidRDefault="003D192B" w:rsidP="00955514">
      <w:pPr>
        <w:shd w:val="clear" w:color="auto" w:fill="FFFFFF"/>
        <w:rPr>
          <w:sz w:val="32"/>
          <w:szCs w:val="32"/>
          <w:lang w:val="sr-Cyrl-CS"/>
        </w:rPr>
      </w:pPr>
    </w:p>
    <w:p w:rsidR="003D192B" w:rsidRPr="00B93F73" w:rsidRDefault="003D192B">
      <w:pPr>
        <w:pStyle w:val="FootnoteText"/>
        <w:spacing w:line="240" w:lineRule="auto"/>
        <w:rPr>
          <w:lang w:val="sr-Cyrl-CS"/>
        </w:rPr>
      </w:pPr>
    </w:p>
    <w:p w:rsidR="00DD355C" w:rsidRPr="00B93F73" w:rsidRDefault="00DD355C">
      <w:pPr>
        <w:pStyle w:val="FootnoteText"/>
        <w:spacing w:line="240" w:lineRule="auto"/>
        <w:rPr>
          <w:lang w:val="sr-Cyrl-CS"/>
        </w:rPr>
      </w:pPr>
    </w:p>
    <w:p w:rsidR="0026447A" w:rsidRPr="00B93F73" w:rsidRDefault="005A3FC5" w:rsidP="0026447A">
      <w:pPr>
        <w:jc w:val="both"/>
        <w:rPr>
          <w:lang w:val="sr-Cyrl-CS"/>
        </w:rPr>
      </w:pPr>
      <w:r w:rsidRPr="00B93F73">
        <w:rPr>
          <w:lang w:val="sr-Cyrl-CS"/>
        </w:rPr>
        <w:t xml:space="preserve">1. </w:t>
      </w:r>
      <w:r w:rsidR="00AA7430" w:rsidRPr="00B93F73">
        <w:rPr>
          <w:lang w:val="sr-Cyrl-CS"/>
        </w:rPr>
        <w:t>O</w:t>
      </w:r>
      <w:r w:rsidR="00BF1425" w:rsidRPr="00B93F73">
        <w:rPr>
          <w:lang w:val="sr-Cyrl-CS"/>
        </w:rPr>
        <w:t>влашћени предлагач прописа</w:t>
      </w:r>
      <w:r w:rsidR="00AA7430" w:rsidRPr="00B93F73">
        <w:rPr>
          <w:lang w:val="sr-Cyrl-CS"/>
        </w:rPr>
        <w:t xml:space="preserve"> - Влада</w:t>
      </w:r>
      <w:r w:rsidR="0025035F" w:rsidRPr="00B93F73">
        <w:rPr>
          <w:lang w:val="sr-Cyrl-CS"/>
        </w:rPr>
        <w:t xml:space="preserve"> </w:t>
      </w:r>
      <w:r w:rsidR="0026447A" w:rsidRPr="00B93F73">
        <w:rPr>
          <w:lang w:val="sr-Cyrl-CS"/>
        </w:rPr>
        <w:t xml:space="preserve"> </w:t>
      </w:r>
    </w:p>
    <w:p w:rsidR="00DD355C" w:rsidRPr="00B93F73" w:rsidRDefault="0026447A" w:rsidP="0026447A">
      <w:pPr>
        <w:jc w:val="both"/>
        <w:rPr>
          <w:lang w:val="sr-Cyrl-CS"/>
        </w:rPr>
      </w:pPr>
      <w:r w:rsidRPr="00B93F73">
        <w:rPr>
          <w:lang w:val="sr-Cyrl-CS"/>
        </w:rPr>
        <w:t xml:space="preserve">    </w:t>
      </w:r>
      <w:r w:rsidR="00AA7430" w:rsidRPr="00B93F73">
        <w:rPr>
          <w:lang w:val="sr-Cyrl-CS"/>
        </w:rPr>
        <w:t xml:space="preserve">Обрађивач - </w:t>
      </w:r>
      <w:r w:rsidR="00DD355C" w:rsidRPr="00B93F73">
        <w:rPr>
          <w:lang w:val="sr-Cyrl-CS"/>
        </w:rPr>
        <w:t>Министарство трговине, туризма и телекомуникација</w:t>
      </w:r>
      <w:r w:rsidR="005A3FC5" w:rsidRPr="00B93F73">
        <w:rPr>
          <w:lang w:val="sr-Cyrl-CS"/>
        </w:rPr>
        <w:t xml:space="preserve"> </w:t>
      </w:r>
    </w:p>
    <w:p w:rsidR="005A3FC5" w:rsidRPr="00B93F73" w:rsidRDefault="005A3FC5" w:rsidP="00DD355C">
      <w:pPr>
        <w:ind w:left="360"/>
        <w:jc w:val="both"/>
        <w:rPr>
          <w:i/>
          <w:lang w:val="sr-Cyrl-CS"/>
        </w:rPr>
      </w:pPr>
    </w:p>
    <w:p w:rsidR="003D192B" w:rsidRPr="00B93F73" w:rsidRDefault="005A3FC5" w:rsidP="005A3FC5">
      <w:pPr>
        <w:ind w:left="-170" w:firstLine="142"/>
        <w:jc w:val="both"/>
        <w:rPr>
          <w:lang w:val="sr-Cyrl-CS"/>
        </w:rPr>
      </w:pPr>
      <w:r w:rsidRPr="00B93F73">
        <w:rPr>
          <w:lang w:val="sr-Cyrl-CS"/>
        </w:rPr>
        <w:t xml:space="preserve">2. </w:t>
      </w:r>
      <w:r w:rsidR="00BF1425" w:rsidRPr="00B93F73">
        <w:rPr>
          <w:lang w:val="sr-Cyrl-CS"/>
        </w:rPr>
        <w:t>Назив прописа</w:t>
      </w:r>
      <w:r w:rsidRPr="00B93F73">
        <w:rPr>
          <w:lang w:val="sr-Cyrl-CS"/>
        </w:rPr>
        <w:t xml:space="preserve"> </w:t>
      </w:r>
    </w:p>
    <w:p w:rsidR="005A3FC5" w:rsidRPr="00B93F73" w:rsidRDefault="00DD355C" w:rsidP="005A3FC5">
      <w:pPr>
        <w:pStyle w:val="FootnoteText"/>
        <w:spacing w:before="120" w:after="120"/>
        <w:rPr>
          <w:iCs/>
          <w:color w:val="000000"/>
          <w:szCs w:val="24"/>
          <w:lang w:val="sr-Cyrl-CS"/>
        </w:rPr>
      </w:pPr>
      <w:r w:rsidRPr="00B93F73">
        <w:rPr>
          <w:szCs w:val="24"/>
          <w:lang w:val="sr-Cyrl-CS"/>
        </w:rPr>
        <w:t xml:space="preserve">    </w:t>
      </w:r>
      <w:r w:rsidR="00AA7430" w:rsidRPr="00B93F73">
        <w:rPr>
          <w:szCs w:val="24"/>
          <w:lang w:val="sr-Cyrl-CS"/>
        </w:rPr>
        <w:t xml:space="preserve">Предлог </w:t>
      </w:r>
      <w:r w:rsidR="005A3FC5" w:rsidRPr="00B93F73">
        <w:rPr>
          <w:iCs/>
          <w:color w:val="000000"/>
          <w:szCs w:val="24"/>
          <w:lang w:val="sr-Cyrl-CS"/>
        </w:rPr>
        <w:t xml:space="preserve">закона о изменама и допунама </w:t>
      </w:r>
      <w:r w:rsidR="003F1CD2" w:rsidRPr="00B93F73">
        <w:rPr>
          <w:iCs/>
          <w:color w:val="000000"/>
          <w:szCs w:val="24"/>
          <w:lang w:val="sr-Cyrl-CS"/>
        </w:rPr>
        <w:t>З</w:t>
      </w:r>
      <w:r w:rsidR="005A3FC5" w:rsidRPr="00B93F73">
        <w:rPr>
          <w:iCs/>
          <w:color w:val="000000"/>
          <w:szCs w:val="24"/>
          <w:lang w:val="sr-Cyrl-CS"/>
        </w:rPr>
        <w:t>акона о извозу и увозу робе двоструке намене</w:t>
      </w:r>
    </w:p>
    <w:p w:rsidR="00DD355C" w:rsidRPr="00B93F73" w:rsidRDefault="005A3FC5" w:rsidP="005A3FC5">
      <w:pPr>
        <w:jc w:val="both"/>
        <w:rPr>
          <w:iCs/>
          <w:color w:val="000000"/>
          <w:lang w:val="sr-Cyrl-CS"/>
        </w:rPr>
      </w:pPr>
      <w:r w:rsidRPr="00B93F73">
        <w:rPr>
          <w:iCs/>
          <w:color w:val="000000"/>
          <w:lang w:val="sr-Cyrl-CS"/>
        </w:rPr>
        <w:t xml:space="preserve">   Draft Law on amendments to the law on export and import of dual-use items</w:t>
      </w:r>
    </w:p>
    <w:p w:rsidR="005A3FC5" w:rsidRPr="00B93F73" w:rsidRDefault="005A3FC5" w:rsidP="005A3FC5">
      <w:pPr>
        <w:jc w:val="both"/>
        <w:rPr>
          <w:lang w:val="sr-Cyrl-CS"/>
        </w:rPr>
      </w:pPr>
    </w:p>
    <w:p w:rsidR="001E4632" w:rsidRPr="00B93F73" w:rsidRDefault="001E4632" w:rsidP="00600BD8">
      <w:pPr>
        <w:jc w:val="both"/>
        <w:rPr>
          <w:lang w:val="sr-Cyrl-CS"/>
        </w:rPr>
      </w:pPr>
      <w:r w:rsidRPr="00B93F73">
        <w:rPr>
          <w:lang w:val="sr-Cyrl-CS"/>
        </w:rPr>
        <w:t xml:space="preserve">3. Усклађеност </w:t>
      </w:r>
      <w:r w:rsidR="00BF1425" w:rsidRPr="00B93F73">
        <w:rPr>
          <w:lang w:val="sr-Cyrl-CS"/>
        </w:rPr>
        <w:t xml:space="preserve">прописа </w:t>
      </w:r>
      <w:r w:rsidRPr="00B93F73">
        <w:rPr>
          <w:lang w:val="sr-Cyrl-CS"/>
        </w:rPr>
        <w:t>с о</w:t>
      </w:r>
      <w:bookmarkStart w:id="0" w:name="_GoBack"/>
      <w:bookmarkEnd w:id="0"/>
      <w:r w:rsidRPr="00B93F73">
        <w:rPr>
          <w:lang w:val="sr-Cyrl-CS"/>
        </w:rPr>
        <w:t>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w:t>
      </w:r>
      <w:r w:rsidR="004E7BCE" w:rsidRPr="00B93F73">
        <w:rPr>
          <w:lang w:val="sr-Cyrl-CS"/>
        </w:rPr>
        <w:t xml:space="preserve"> </w:t>
      </w:r>
      <w:r w:rsidR="00BF1425" w:rsidRPr="00B93F73">
        <w:rPr>
          <w:lang w:val="sr-Cyrl-CS"/>
        </w:rPr>
        <w:t>(„Службени гласник РС”</w:t>
      </w:r>
      <w:r w:rsidR="0026447A" w:rsidRPr="00B93F73">
        <w:rPr>
          <w:lang w:val="sr-Cyrl-CS"/>
        </w:rPr>
        <w:t xml:space="preserve">, </w:t>
      </w:r>
      <w:r w:rsidR="003E46FD" w:rsidRPr="00B93F73">
        <w:rPr>
          <w:lang w:val="sr-Cyrl-CS"/>
        </w:rPr>
        <w:t>број 83/08)</w:t>
      </w:r>
      <w:r w:rsidR="00325906" w:rsidRPr="00B93F73">
        <w:rPr>
          <w:lang w:val="sr-Cyrl-CS"/>
        </w:rPr>
        <w:t xml:space="preserve"> </w:t>
      </w:r>
      <w:r w:rsidR="00796EE5" w:rsidRPr="00B93F73">
        <w:rPr>
          <w:lang w:val="sr-Cyrl-CS"/>
        </w:rPr>
        <w:t>(у даљем тексту: Споразум)</w:t>
      </w:r>
      <w:r w:rsidR="00BF1425" w:rsidRPr="00B93F73">
        <w:rPr>
          <w:lang w:val="sr-Cyrl-CS"/>
        </w:rPr>
        <w:t>,</w:t>
      </w:r>
      <w:r w:rsidR="00796EE5" w:rsidRPr="00B93F73">
        <w:rPr>
          <w:lang w:val="sr-Cyrl-CS"/>
        </w:rPr>
        <w:t xml:space="preserve"> </w:t>
      </w:r>
      <w:r w:rsidR="00325906" w:rsidRPr="00B93F73">
        <w:rPr>
          <w:lang w:val="sr-Cyrl-CS"/>
        </w:rPr>
        <w:t>односно с од</w:t>
      </w:r>
      <w:r w:rsidR="008E7CFC" w:rsidRPr="00B93F73">
        <w:rPr>
          <w:lang w:val="sr-Cyrl-CS"/>
        </w:rPr>
        <w:t>редбама Прелазног споразума о трговини и трговинским питањима између Европске заједнице, са једне стране, и Републике Србије, са друге стране</w:t>
      </w:r>
      <w:r w:rsidR="00BF1425" w:rsidRPr="00B93F73">
        <w:rPr>
          <w:lang w:val="sr-Cyrl-CS"/>
        </w:rPr>
        <w:t xml:space="preserve"> („Службени гласник РС”</w:t>
      </w:r>
      <w:r w:rsidR="008E7CFC" w:rsidRPr="00B93F73">
        <w:rPr>
          <w:lang w:val="sr-Cyrl-CS"/>
        </w:rPr>
        <w:t>, број 83/08)</w:t>
      </w:r>
      <w:r w:rsidR="00796EE5" w:rsidRPr="00B93F73">
        <w:rPr>
          <w:lang w:val="sr-Cyrl-CS"/>
        </w:rPr>
        <w:t xml:space="preserve"> (у даљем тексту: Прелазни споразум)</w:t>
      </w:r>
      <w:r w:rsidR="0081718F" w:rsidRPr="00B93F73">
        <w:rPr>
          <w:lang w:val="sr-Cyrl-CS"/>
        </w:rPr>
        <w:t>:</w:t>
      </w:r>
    </w:p>
    <w:p w:rsidR="003E46FD" w:rsidRPr="00B93F73" w:rsidRDefault="003E46FD">
      <w:pPr>
        <w:jc w:val="both"/>
        <w:rPr>
          <w:lang w:val="sr-Cyrl-CS"/>
        </w:rPr>
      </w:pPr>
    </w:p>
    <w:p w:rsidR="001E4632" w:rsidRPr="00B93F73" w:rsidRDefault="00BF1425" w:rsidP="005F022D">
      <w:pPr>
        <w:ind w:firstLine="708"/>
        <w:jc w:val="both"/>
        <w:rPr>
          <w:lang w:val="sr-Cyrl-CS"/>
        </w:rPr>
      </w:pPr>
      <w:r w:rsidRPr="00B93F73">
        <w:rPr>
          <w:lang w:val="sr-Cyrl-CS"/>
        </w:rPr>
        <w:t>а) О</w:t>
      </w:r>
      <w:r w:rsidR="008E7CFC" w:rsidRPr="00B93F73">
        <w:rPr>
          <w:lang w:val="sr-Cyrl-CS"/>
        </w:rPr>
        <w:t>дредба С</w:t>
      </w:r>
      <w:r w:rsidR="004E7BCE" w:rsidRPr="00B93F73">
        <w:rPr>
          <w:lang w:val="sr-Cyrl-CS"/>
        </w:rPr>
        <w:t>поразума</w:t>
      </w:r>
      <w:r w:rsidR="008E7CFC" w:rsidRPr="00B93F73">
        <w:rPr>
          <w:lang w:val="sr-Cyrl-CS"/>
        </w:rPr>
        <w:t xml:space="preserve"> и Прелазног споразума</w:t>
      </w:r>
      <w:r w:rsidR="001E4632" w:rsidRPr="00B93F73">
        <w:rPr>
          <w:lang w:val="sr-Cyrl-CS"/>
        </w:rPr>
        <w:t xml:space="preserve"> која се односе на</w:t>
      </w:r>
      <w:r w:rsidRPr="00B93F73">
        <w:rPr>
          <w:lang w:val="sr-Cyrl-CS"/>
        </w:rPr>
        <w:t xml:space="preserve"> нормативну саржину прописа</w:t>
      </w:r>
      <w:r w:rsidR="0081718F" w:rsidRPr="00B93F73">
        <w:rPr>
          <w:lang w:val="sr-Cyrl-CS"/>
        </w:rPr>
        <w:t>,</w:t>
      </w:r>
    </w:p>
    <w:p w:rsidR="005A3FC5" w:rsidRPr="00B93F73" w:rsidRDefault="005A3FC5">
      <w:pPr>
        <w:jc w:val="both"/>
        <w:rPr>
          <w:lang w:val="sr-Cyrl-CS"/>
        </w:rPr>
      </w:pPr>
    </w:p>
    <w:p w:rsidR="005A3FC5" w:rsidRPr="00B93F73" w:rsidRDefault="00FD450D" w:rsidP="00FD450D">
      <w:pPr>
        <w:jc w:val="both"/>
        <w:rPr>
          <w:lang w:val="sr-Cyrl-CS"/>
        </w:rPr>
      </w:pPr>
      <w:r w:rsidRPr="00B93F73">
        <w:rPr>
          <w:i/>
          <w:lang w:val="sr-Cyrl-CS"/>
        </w:rPr>
        <w:t xml:space="preserve"> </w:t>
      </w:r>
      <w:r w:rsidR="00507579" w:rsidRPr="00B93F73">
        <w:rPr>
          <w:i/>
          <w:lang w:val="sr-Cyrl-CS"/>
        </w:rPr>
        <w:tab/>
      </w:r>
      <w:r w:rsidR="005A3FC5" w:rsidRPr="00B93F73">
        <w:rPr>
          <w:lang w:val="sr-Cyrl-CS"/>
        </w:rPr>
        <w:t>Члан 3. Споразума о стабилизацији и придруживању између Европских заједница и њихових држава чланица, са једне стране, и Републике Србије са друге стране</w:t>
      </w:r>
    </w:p>
    <w:p w:rsidR="005A3FC5" w:rsidRPr="00B93F73" w:rsidRDefault="005A3FC5">
      <w:pPr>
        <w:jc w:val="both"/>
        <w:rPr>
          <w:i/>
          <w:lang w:val="sr-Cyrl-CS"/>
        </w:rPr>
      </w:pPr>
    </w:p>
    <w:p w:rsidR="001E4632" w:rsidRPr="00B93F73" w:rsidRDefault="005F022D" w:rsidP="005F022D">
      <w:pPr>
        <w:tabs>
          <w:tab w:val="left" w:pos="284"/>
        </w:tabs>
        <w:jc w:val="both"/>
        <w:rPr>
          <w:lang w:val="sr-Cyrl-CS"/>
        </w:rPr>
      </w:pPr>
      <w:r w:rsidRPr="00B93F73">
        <w:rPr>
          <w:lang w:val="sr-Cyrl-CS"/>
        </w:rPr>
        <w:t xml:space="preserve">     </w:t>
      </w:r>
      <w:r w:rsidRPr="00B93F73">
        <w:rPr>
          <w:lang w:val="sr-Cyrl-CS"/>
        </w:rPr>
        <w:tab/>
      </w:r>
      <w:r w:rsidR="00BF1425" w:rsidRPr="00B93F73">
        <w:rPr>
          <w:lang w:val="sr-Cyrl-CS"/>
        </w:rPr>
        <w:t>б) П</w:t>
      </w:r>
      <w:r w:rsidR="001E4632" w:rsidRPr="00B93F73">
        <w:rPr>
          <w:lang w:val="sr-Cyrl-CS"/>
        </w:rPr>
        <w:t>релазни рок за усклађивање законодавства према одредбама Споразума</w:t>
      </w:r>
      <w:r w:rsidR="008E7CFC" w:rsidRPr="00B93F73">
        <w:rPr>
          <w:lang w:val="sr-Cyrl-CS"/>
        </w:rPr>
        <w:t xml:space="preserve"> и Прелазног споразума</w:t>
      </w:r>
      <w:r w:rsidR="0081718F" w:rsidRPr="00B93F73">
        <w:rPr>
          <w:lang w:val="sr-Cyrl-CS"/>
        </w:rPr>
        <w:t>,</w:t>
      </w:r>
    </w:p>
    <w:p w:rsidR="005A3FC5" w:rsidRPr="00B93F73" w:rsidRDefault="005A3FC5">
      <w:pPr>
        <w:jc w:val="both"/>
        <w:rPr>
          <w:lang w:val="sr-Cyrl-CS"/>
        </w:rPr>
      </w:pPr>
    </w:p>
    <w:p w:rsidR="005A3FC5" w:rsidRPr="00B93F73" w:rsidRDefault="005A3FC5" w:rsidP="005F022D">
      <w:pPr>
        <w:ind w:firstLine="708"/>
        <w:jc w:val="both"/>
        <w:rPr>
          <w:lang w:val="sr-Cyrl-CS"/>
        </w:rPr>
      </w:pPr>
      <w:r w:rsidRPr="00B93F73">
        <w:rPr>
          <w:lang w:val="sr-Cyrl-CS"/>
        </w:rPr>
        <w:t>На наведену обавезу примењује се општи рок за усклађивање законодавства према члану 72. Споразума</w:t>
      </w:r>
    </w:p>
    <w:p w:rsidR="005A3FC5" w:rsidRPr="00B93F73" w:rsidRDefault="005A3FC5">
      <w:pPr>
        <w:jc w:val="both"/>
        <w:rPr>
          <w:i/>
          <w:lang w:val="sr-Cyrl-CS"/>
        </w:rPr>
      </w:pPr>
    </w:p>
    <w:p w:rsidR="001E4632" w:rsidRPr="00B93F73" w:rsidRDefault="005F022D" w:rsidP="005F022D">
      <w:pPr>
        <w:tabs>
          <w:tab w:val="left" w:pos="284"/>
        </w:tabs>
        <w:jc w:val="both"/>
        <w:rPr>
          <w:lang w:val="sr-Cyrl-CS"/>
        </w:rPr>
      </w:pPr>
      <w:r w:rsidRPr="00B93F73">
        <w:rPr>
          <w:lang w:val="sr-Cyrl-CS"/>
        </w:rPr>
        <w:t xml:space="preserve">     </w:t>
      </w:r>
      <w:r w:rsidRPr="00B93F73">
        <w:rPr>
          <w:lang w:val="sr-Cyrl-CS"/>
        </w:rPr>
        <w:tab/>
      </w:r>
      <w:r w:rsidR="00BF1425" w:rsidRPr="00B93F73">
        <w:rPr>
          <w:lang w:val="sr-Cyrl-CS"/>
        </w:rPr>
        <w:t>в) Оцена испуњености</w:t>
      </w:r>
      <w:r w:rsidR="001E4632" w:rsidRPr="00B93F73">
        <w:rPr>
          <w:lang w:val="sr-Cyrl-CS"/>
        </w:rPr>
        <w:t xml:space="preserve"> обавезе које произлазе из наведене одредбе Споразума</w:t>
      </w:r>
      <w:r w:rsidR="008E7CFC" w:rsidRPr="00B93F73">
        <w:rPr>
          <w:lang w:val="sr-Cyrl-CS"/>
        </w:rPr>
        <w:t xml:space="preserve"> и Прелазног споразума</w:t>
      </w:r>
      <w:r w:rsidR="0081718F" w:rsidRPr="00B93F73">
        <w:rPr>
          <w:lang w:val="sr-Cyrl-CS"/>
        </w:rPr>
        <w:t>,</w:t>
      </w:r>
    </w:p>
    <w:p w:rsidR="005A3FC5" w:rsidRPr="00B93F73" w:rsidRDefault="005A3FC5">
      <w:pPr>
        <w:jc w:val="both"/>
        <w:rPr>
          <w:lang w:val="sr-Cyrl-CS"/>
        </w:rPr>
      </w:pPr>
    </w:p>
    <w:p w:rsidR="005A3FC5" w:rsidRPr="00B93F73" w:rsidRDefault="00B60E1D" w:rsidP="005F022D">
      <w:pPr>
        <w:ind w:firstLine="708"/>
        <w:jc w:val="both"/>
        <w:rPr>
          <w:lang w:val="sr-Cyrl-CS"/>
        </w:rPr>
      </w:pPr>
      <w:r w:rsidRPr="00B93F73">
        <w:rPr>
          <w:lang w:val="sr-Cyrl-CS"/>
        </w:rPr>
        <w:t>испуњава у потпуности</w:t>
      </w:r>
    </w:p>
    <w:p w:rsidR="005A3FC5" w:rsidRPr="00B93F73" w:rsidRDefault="005A3FC5">
      <w:pPr>
        <w:jc w:val="both"/>
        <w:rPr>
          <w:lang w:val="sr-Cyrl-CS"/>
        </w:rPr>
      </w:pPr>
    </w:p>
    <w:p w:rsidR="005A3FC5" w:rsidRPr="00B93F73" w:rsidRDefault="005F022D" w:rsidP="005F022D">
      <w:pPr>
        <w:jc w:val="both"/>
        <w:rPr>
          <w:lang w:val="sr-Cyrl-CS"/>
        </w:rPr>
      </w:pPr>
      <w:r w:rsidRPr="00B93F73">
        <w:rPr>
          <w:lang w:val="sr-Cyrl-CS"/>
        </w:rPr>
        <w:t xml:space="preserve">    </w:t>
      </w:r>
      <w:r w:rsidRPr="00B93F73">
        <w:rPr>
          <w:lang w:val="sr-Cyrl-CS"/>
        </w:rPr>
        <w:tab/>
      </w:r>
      <w:r w:rsidR="00DD355C" w:rsidRPr="00B93F73">
        <w:rPr>
          <w:lang w:val="sr-Cyrl-CS"/>
        </w:rPr>
        <w:t>г) Разлози за делимично испуњавање, односно неиспуњавање обавеза које произлазе из наведене одредбе Споразума и Прелазног споразума,</w:t>
      </w:r>
    </w:p>
    <w:p w:rsidR="00FD450D" w:rsidRPr="00B93F73" w:rsidRDefault="00FD450D" w:rsidP="00DD355C">
      <w:pPr>
        <w:jc w:val="both"/>
        <w:rPr>
          <w:lang w:val="sr-Cyrl-CS"/>
        </w:rPr>
      </w:pPr>
    </w:p>
    <w:p w:rsidR="001E4632" w:rsidRPr="00B93F73" w:rsidRDefault="00007AE0" w:rsidP="005F022D">
      <w:pPr>
        <w:ind w:firstLine="708"/>
        <w:jc w:val="both"/>
        <w:rPr>
          <w:lang w:val="sr-Cyrl-CS"/>
        </w:rPr>
      </w:pPr>
      <w:r w:rsidRPr="00B93F73">
        <w:rPr>
          <w:lang w:val="sr-Cyrl-CS"/>
        </w:rPr>
        <w:t>д) В</w:t>
      </w:r>
      <w:r w:rsidR="001E4632" w:rsidRPr="00B93F73">
        <w:rPr>
          <w:lang w:val="sr-Cyrl-CS"/>
        </w:rPr>
        <w:t xml:space="preserve">еза са Националним програмом за </w:t>
      </w:r>
      <w:r w:rsidR="00BA5D58" w:rsidRPr="00B93F73">
        <w:rPr>
          <w:lang w:val="sr-Cyrl-CS"/>
        </w:rPr>
        <w:t>усвајање правних тековина Европске уније</w:t>
      </w:r>
    </w:p>
    <w:p w:rsidR="005A3FC5" w:rsidRPr="00B93F73" w:rsidRDefault="005A3FC5">
      <w:pPr>
        <w:jc w:val="both"/>
        <w:rPr>
          <w:lang w:val="sr-Cyrl-CS"/>
        </w:rPr>
      </w:pPr>
    </w:p>
    <w:p w:rsidR="00A4395C" w:rsidRPr="00B93F73" w:rsidRDefault="005A3FC5" w:rsidP="00025219">
      <w:pPr>
        <w:ind w:firstLine="708"/>
        <w:jc w:val="both"/>
        <w:rPr>
          <w:lang w:val="sr-Cyrl-CS"/>
        </w:rPr>
      </w:pPr>
      <w:r w:rsidRPr="00B93F73">
        <w:rPr>
          <w:lang w:val="sr-Cyrl-CS"/>
        </w:rPr>
        <w:t>Закон о извозу и увозу робе двоструке намене</w:t>
      </w:r>
      <w:r w:rsidR="00C9687E" w:rsidRPr="00B93F73">
        <w:rPr>
          <w:lang w:val="sr-Cyrl-CS"/>
        </w:rPr>
        <w:t xml:space="preserve"> („Службени</w:t>
      </w:r>
      <w:r w:rsidR="00AA7430" w:rsidRPr="00B93F73">
        <w:rPr>
          <w:lang w:val="sr-Cyrl-CS"/>
        </w:rPr>
        <w:t xml:space="preserve"> гласник РСˮ, број 95/</w:t>
      </w:r>
      <w:r w:rsidRPr="00B93F73">
        <w:rPr>
          <w:lang w:val="sr-Cyrl-CS"/>
        </w:rPr>
        <w:t>13) ступио је снагу 8. новембра 2013. године</w:t>
      </w:r>
      <w:r w:rsidR="00C9687E" w:rsidRPr="00B93F73">
        <w:rPr>
          <w:lang w:val="sr-Cyrl-CS"/>
        </w:rPr>
        <w:t xml:space="preserve">. </w:t>
      </w:r>
      <w:r w:rsidR="00FD450D" w:rsidRPr="00B93F73">
        <w:rPr>
          <w:lang w:val="sr-Cyrl-CS"/>
        </w:rPr>
        <w:t>У поступку његовог доношења,</w:t>
      </w:r>
      <w:r w:rsidR="00AA7430" w:rsidRPr="00B93F73">
        <w:rPr>
          <w:lang w:val="sr-Cyrl-CS"/>
        </w:rPr>
        <w:t xml:space="preserve"> између осталих, добијено је и м</w:t>
      </w:r>
      <w:r w:rsidR="0026447A" w:rsidRPr="00B93F73">
        <w:rPr>
          <w:lang w:val="sr-Cyrl-CS"/>
        </w:rPr>
        <w:t>ишљење Канцеларије за европске интеграције</w:t>
      </w:r>
      <w:r w:rsidR="00FD450D" w:rsidRPr="00B93F73">
        <w:rPr>
          <w:lang w:val="sr-Cyrl-CS"/>
        </w:rPr>
        <w:t xml:space="preserve">, у коме је </w:t>
      </w:r>
      <w:r w:rsidR="00FD450D" w:rsidRPr="00B93F73">
        <w:rPr>
          <w:lang w:val="sr-Cyrl-CS"/>
        </w:rPr>
        <w:lastRenderedPageBreak/>
        <w:t xml:space="preserve">наведено да на достављене материјале (Нацрт закона о извозу и увозу робе двоструке намене, Изјаву о усклађености прописа са прописима ЕУ и Табелу усклађености) немају примедбе. Доношењем </w:t>
      </w:r>
      <w:r w:rsidR="0026447A" w:rsidRPr="00B93F73">
        <w:rPr>
          <w:lang w:val="sr-Cyrl-CS"/>
        </w:rPr>
        <w:t xml:space="preserve">наведеног </w:t>
      </w:r>
      <w:r w:rsidR="00FD450D" w:rsidRPr="00B93F73">
        <w:rPr>
          <w:lang w:val="sr-Cyrl-CS"/>
        </w:rPr>
        <w:t>закона Република Србија је у потпуности усагласила своје законодавство са з</w:t>
      </w:r>
      <w:r w:rsidR="00AA7430" w:rsidRPr="00B93F73">
        <w:rPr>
          <w:lang w:val="sr-Cyrl-CS"/>
        </w:rPr>
        <w:t>аконодавством Европске уније</w:t>
      </w:r>
      <w:r w:rsidR="00B2218B" w:rsidRPr="00B93F73">
        <w:rPr>
          <w:lang w:val="sr-Cyrl-CS"/>
        </w:rPr>
        <w:t xml:space="preserve"> у овој области и на тај начин испунила обавезу из Националног програма. </w:t>
      </w:r>
      <w:r w:rsidR="00A4395C" w:rsidRPr="00B93F73">
        <w:rPr>
          <w:lang w:val="sr-Cyrl-CS"/>
        </w:rPr>
        <w:t>Наиме, овим законом је поред извоза робе двоструке намене, контролисан и увоз робе двостр</w:t>
      </w:r>
      <w:r w:rsidR="00AA7430" w:rsidRPr="00B93F73">
        <w:rPr>
          <w:lang w:val="sr-Cyrl-CS"/>
        </w:rPr>
        <w:t>уке намене, чиме је заправо у Републици Србији</w:t>
      </w:r>
      <w:r w:rsidR="00A4395C" w:rsidRPr="00B93F73">
        <w:rPr>
          <w:lang w:val="sr-Cyrl-CS"/>
        </w:rPr>
        <w:t xml:space="preserve"> постојао чак и већи степен контроле од онога који предвиђа </w:t>
      </w:r>
      <w:r w:rsidR="00AA7430" w:rsidRPr="00B93F73">
        <w:rPr>
          <w:lang w:val="sr-Cyrl-CS"/>
        </w:rPr>
        <w:t>Регулатива Европске уније</w:t>
      </w:r>
      <w:r w:rsidR="00B2218B" w:rsidRPr="00B93F73">
        <w:rPr>
          <w:lang w:val="sr-Cyrl-CS"/>
        </w:rPr>
        <w:t xml:space="preserve"> </w:t>
      </w:r>
      <w:r w:rsidR="00A4395C" w:rsidRPr="00B93F73">
        <w:rPr>
          <w:lang w:val="sr-Cyrl-CS"/>
        </w:rPr>
        <w:t>кој</w:t>
      </w:r>
      <w:r w:rsidR="00653214" w:rsidRPr="00B93F73">
        <w:rPr>
          <w:lang w:val="sr-Cyrl-CS"/>
        </w:rPr>
        <w:t>а</w:t>
      </w:r>
      <w:r w:rsidR="00A4395C" w:rsidRPr="00B93F73">
        <w:rPr>
          <w:lang w:val="sr-Cyrl-CS"/>
        </w:rPr>
        <w:t xml:space="preserve"> контролиш</w:t>
      </w:r>
      <w:r w:rsidR="00653214" w:rsidRPr="00B93F73">
        <w:rPr>
          <w:lang w:val="sr-Cyrl-CS"/>
        </w:rPr>
        <w:t>е</w:t>
      </w:r>
      <w:r w:rsidR="00A4395C" w:rsidRPr="00B93F73">
        <w:rPr>
          <w:lang w:val="sr-Cyrl-CS"/>
        </w:rPr>
        <w:t xml:space="preserve"> само извоз ове робе.</w:t>
      </w:r>
      <w:r w:rsidR="00025219" w:rsidRPr="00B93F73">
        <w:rPr>
          <w:lang w:val="sr-Cyrl-CS"/>
        </w:rPr>
        <w:t xml:space="preserve"> Предложене измене</w:t>
      </w:r>
      <w:r w:rsidR="005D794D" w:rsidRPr="00B93F73">
        <w:rPr>
          <w:lang w:val="sr-Cyrl-CS"/>
        </w:rPr>
        <w:t xml:space="preserve"> важећег</w:t>
      </w:r>
      <w:r w:rsidR="00AA7430" w:rsidRPr="00B93F73">
        <w:rPr>
          <w:lang w:val="sr-Cyrl-CS"/>
        </w:rPr>
        <w:t xml:space="preserve"> </w:t>
      </w:r>
      <w:r w:rsidR="005D794D" w:rsidRPr="00B93F73">
        <w:rPr>
          <w:lang w:val="sr-Cyrl-CS"/>
        </w:rPr>
        <w:t xml:space="preserve">закона </w:t>
      </w:r>
      <w:r w:rsidR="00025219" w:rsidRPr="00B93F73">
        <w:rPr>
          <w:lang w:val="sr-Cyrl-CS"/>
        </w:rPr>
        <w:t xml:space="preserve"> имају за циљ брисање одредаба које се односе на увоз роб</w:t>
      </w:r>
      <w:r w:rsidR="005D794D" w:rsidRPr="00B93F73">
        <w:rPr>
          <w:lang w:val="sr-Cyrl-CS"/>
        </w:rPr>
        <w:t>е двоструке намене, чиме би се Предлог з</w:t>
      </w:r>
      <w:r w:rsidR="00025219" w:rsidRPr="00B93F73">
        <w:rPr>
          <w:lang w:val="sr-Cyrl-CS"/>
        </w:rPr>
        <w:t>акон</w:t>
      </w:r>
      <w:r w:rsidR="005D794D" w:rsidRPr="00B93F73">
        <w:rPr>
          <w:lang w:val="sr-Cyrl-CS"/>
        </w:rPr>
        <w:t>а</w:t>
      </w:r>
      <w:r w:rsidR="00025219" w:rsidRPr="00B93F73">
        <w:rPr>
          <w:lang w:val="sr-Cyrl-CS"/>
        </w:rPr>
        <w:t xml:space="preserve"> и у том домену у потпуности ускладио са </w:t>
      </w:r>
      <w:r w:rsidR="00723168" w:rsidRPr="00B93F73">
        <w:rPr>
          <w:lang w:val="sr-Cyrl-CS"/>
        </w:rPr>
        <w:t>Уредбом</w:t>
      </w:r>
      <w:r w:rsidR="00025219" w:rsidRPr="00B93F73">
        <w:rPr>
          <w:lang w:val="sr-Cyrl-CS"/>
        </w:rPr>
        <w:t xml:space="preserve"> 428</w:t>
      </w:r>
      <w:r w:rsidR="00F2636A" w:rsidRPr="00B93F73">
        <w:rPr>
          <w:lang w:val="sr-Cyrl-CS"/>
        </w:rPr>
        <w:t>/09</w:t>
      </w:r>
      <w:r w:rsidR="00025219" w:rsidRPr="00B93F73">
        <w:rPr>
          <w:lang w:val="sr-Cyrl-CS"/>
        </w:rPr>
        <w:t>.</w:t>
      </w:r>
    </w:p>
    <w:p w:rsidR="00025219" w:rsidRPr="00B93F73" w:rsidRDefault="00025219" w:rsidP="00B2218B">
      <w:pPr>
        <w:jc w:val="both"/>
        <w:rPr>
          <w:i/>
          <w:lang w:val="sr-Cyrl-CS"/>
        </w:rPr>
      </w:pPr>
    </w:p>
    <w:p w:rsidR="003D192B" w:rsidRPr="00B93F73" w:rsidRDefault="003E46FD">
      <w:pPr>
        <w:jc w:val="both"/>
        <w:rPr>
          <w:lang w:val="sr-Cyrl-CS"/>
        </w:rPr>
      </w:pPr>
      <w:r w:rsidRPr="00B93F73">
        <w:rPr>
          <w:lang w:val="sr-Cyrl-CS"/>
        </w:rPr>
        <w:t>4</w:t>
      </w:r>
      <w:r w:rsidR="005A74FA" w:rsidRPr="00B93F73">
        <w:rPr>
          <w:lang w:val="sr-Cyrl-CS"/>
        </w:rPr>
        <w:t xml:space="preserve">. </w:t>
      </w:r>
      <w:r w:rsidR="00EA2C5E" w:rsidRPr="00B93F73">
        <w:rPr>
          <w:lang w:val="sr-Cyrl-CS"/>
        </w:rPr>
        <w:t xml:space="preserve">Усклађеност </w:t>
      </w:r>
      <w:r w:rsidR="00BF1425" w:rsidRPr="00B93F73">
        <w:rPr>
          <w:lang w:val="sr-Cyrl-CS"/>
        </w:rPr>
        <w:t xml:space="preserve">прописа </w:t>
      </w:r>
      <w:r w:rsidR="00251813" w:rsidRPr="00B93F73">
        <w:rPr>
          <w:lang w:val="sr-Cyrl-CS"/>
        </w:rPr>
        <w:t>с</w:t>
      </w:r>
      <w:r w:rsidR="00A40007" w:rsidRPr="00B93F73">
        <w:rPr>
          <w:lang w:val="sr-Cyrl-CS"/>
        </w:rPr>
        <w:t>а</w:t>
      </w:r>
      <w:r w:rsidR="00251813" w:rsidRPr="00B93F73">
        <w:rPr>
          <w:lang w:val="sr-Cyrl-CS"/>
        </w:rPr>
        <w:t xml:space="preserve"> </w:t>
      </w:r>
      <w:r w:rsidR="008E7CFC" w:rsidRPr="00B93F73">
        <w:rPr>
          <w:lang w:val="sr-Cyrl-CS"/>
        </w:rPr>
        <w:t>прописима Европске уније</w:t>
      </w:r>
      <w:r w:rsidR="0081718F" w:rsidRPr="00B93F73">
        <w:rPr>
          <w:lang w:val="sr-Cyrl-CS"/>
        </w:rPr>
        <w:t>:</w:t>
      </w:r>
    </w:p>
    <w:p w:rsidR="003D192B" w:rsidRPr="00B93F73" w:rsidRDefault="003D192B">
      <w:pPr>
        <w:jc w:val="both"/>
        <w:rPr>
          <w:lang w:val="sr-Cyrl-CS"/>
        </w:rPr>
      </w:pPr>
    </w:p>
    <w:p w:rsidR="003D192B" w:rsidRPr="00B93F73" w:rsidRDefault="00E83A77" w:rsidP="00653214">
      <w:pPr>
        <w:ind w:firstLine="708"/>
        <w:jc w:val="both"/>
        <w:rPr>
          <w:lang w:val="sr-Cyrl-CS"/>
        </w:rPr>
      </w:pPr>
      <w:r w:rsidRPr="00B93F73">
        <w:rPr>
          <w:lang w:val="sr-Cyrl-CS"/>
        </w:rPr>
        <w:t xml:space="preserve">а) </w:t>
      </w:r>
      <w:r w:rsidR="00007AE0" w:rsidRPr="00B93F73">
        <w:rPr>
          <w:lang w:val="sr-Cyrl-CS"/>
        </w:rPr>
        <w:t>Н</w:t>
      </w:r>
      <w:r w:rsidRPr="00B93F73">
        <w:rPr>
          <w:lang w:val="sr-Cyrl-CS"/>
        </w:rPr>
        <w:t>авођење</w:t>
      </w:r>
      <w:r w:rsidR="001B0DD5" w:rsidRPr="00B93F73">
        <w:rPr>
          <w:lang w:val="sr-Cyrl-CS"/>
        </w:rPr>
        <w:t xml:space="preserve"> одредби</w:t>
      </w:r>
      <w:r w:rsidR="003D192B" w:rsidRPr="00B93F73">
        <w:rPr>
          <w:lang w:val="sr-Cyrl-CS"/>
        </w:rPr>
        <w:t xml:space="preserve"> примарних извора права Е</w:t>
      </w:r>
      <w:r w:rsidR="0081718F" w:rsidRPr="00B93F73">
        <w:rPr>
          <w:lang w:val="sr-Cyrl-CS"/>
        </w:rPr>
        <w:t>европске уније</w:t>
      </w:r>
      <w:r w:rsidRPr="00B93F73">
        <w:rPr>
          <w:lang w:val="sr-Cyrl-CS"/>
        </w:rPr>
        <w:t xml:space="preserve"> и</w:t>
      </w:r>
      <w:r w:rsidR="001B0DD5" w:rsidRPr="00B93F73">
        <w:rPr>
          <w:lang w:val="sr-Cyrl-CS"/>
        </w:rPr>
        <w:t xml:space="preserve"> оцене</w:t>
      </w:r>
      <w:r w:rsidRPr="00B93F73">
        <w:rPr>
          <w:lang w:val="sr-Cyrl-CS"/>
        </w:rPr>
        <w:t xml:space="preserve"> усклађеност</w:t>
      </w:r>
      <w:r w:rsidR="001B0DD5" w:rsidRPr="00B93F73">
        <w:rPr>
          <w:lang w:val="sr-Cyrl-CS"/>
        </w:rPr>
        <w:t>и</w:t>
      </w:r>
      <w:r w:rsidRPr="00B93F73">
        <w:rPr>
          <w:lang w:val="sr-Cyrl-CS"/>
        </w:rPr>
        <w:t xml:space="preserve"> са њима</w:t>
      </w:r>
      <w:r w:rsidR="0081718F" w:rsidRPr="00B93F73">
        <w:rPr>
          <w:lang w:val="sr-Cyrl-CS"/>
        </w:rPr>
        <w:t>,</w:t>
      </w:r>
    </w:p>
    <w:p w:rsidR="00853E4D" w:rsidRPr="00B93F73" w:rsidRDefault="00853E4D" w:rsidP="00653214">
      <w:pPr>
        <w:ind w:firstLine="708"/>
        <w:jc w:val="both"/>
        <w:rPr>
          <w:lang w:val="sr-Cyrl-CS"/>
        </w:rPr>
      </w:pPr>
    </w:p>
    <w:p w:rsidR="00853E4D" w:rsidRPr="00B93F73" w:rsidRDefault="00853E4D" w:rsidP="00653214">
      <w:pPr>
        <w:ind w:firstLine="708"/>
        <w:jc w:val="both"/>
        <w:rPr>
          <w:lang w:val="sr-Cyrl-CS"/>
        </w:rPr>
      </w:pPr>
      <w:r w:rsidRPr="00B93F73">
        <w:rPr>
          <w:lang w:val="sr-Cyrl-CS"/>
        </w:rPr>
        <w:t>Члан 207. Уг</w:t>
      </w:r>
      <w:r w:rsidR="00AA7430" w:rsidRPr="00B93F73">
        <w:rPr>
          <w:lang w:val="sr-Cyrl-CS"/>
        </w:rPr>
        <w:t>овора о функционисању Европске у</w:t>
      </w:r>
      <w:r w:rsidRPr="00B93F73">
        <w:rPr>
          <w:lang w:val="sr-Cyrl-CS"/>
        </w:rPr>
        <w:t>није</w:t>
      </w:r>
    </w:p>
    <w:p w:rsidR="00853E4D" w:rsidRPr="00B93F73" w:rsidRDefault="00853E4D" w:rsidP="00653214">
      <w:pPr>
        <w:ind w:firstLine="708"/>
        <w:jc w:val="both"/>
        <w:rPr>
          <w:i/>
          <w:lang w:val="sr-Cyrl-CS"/>
        </w:rPr>
      </w:pPr>
    </w:p>
    <w:p w:rsidR="003D192B" w:rsidRPr="00B93F73" w:rsidRDefault="00E83A77" w:rsidP="00653214">
      <w:pPr>
        <w:ind w:firstLine="708"/>
        <w:jc w:val="both"/>
        <w:rPr>
          <w:lang w:val="sr-Cyrl-CS"/>
        </w:rPr>
      </w:pPr>
      <w:r w:rsidRPr="00B93F73">
        <w:rPr>
          <w:lang w:val="sr-Cyrl-CS"/>
        </w:rPr>
        <w:t xml:space="preserve">б) </w:t>
      </w:r>
      <w:r w:rsidR="00007AE0" w:rsidRPr="00B93F73">
        <w:rPr>
          <w:lang w:val="sr-Cyrl-CS"/>
        </w:rPr>
        <w:t>Н</w:t>
      </w:r>
      <w:r w:rsidRPr="00B93F73">
        <w:rPr>
          <w:lang w:val="sr-Cyrl-CS"/>
        </w:rPr>
        <w:t>авођење</w:t>
      </w:r>
      <w:r w:rsidR="003D192B" w:rsidRPr="00B93F73">
        <w:rPr>
          <w:lang w:val="sr-Cyrl-CS"/>
        </w:rPr>
        <w:t xml:space="preserve"> секундарних извора права Е</w:t>
      </w:r>
      <w:r w:rsidR="00E879FF" w:rsidRPr="00B93F73">
        <w:rPr>
          <w:lang w:val="sr-Cyrl-CS"/>
        </w:rPr>
        <w:t>вропске уније</w:t>
      </w:r>
      <w:r w:rsidR="003D192B" w:rsidRPr="00B93F73">
        <w:rPr>
          <w:lang w:val="sr-Cyrl-CS"/>
        </w:rPr>
        <w:t xml:space="preserve"> </w:t>
      </w:r>
      <w:r w:rsidRPr="00B93F73">
        <w:rPr>
          <w:lang w:val="sr-Cyrl-CS"/>
        </w:rPr>
        <w:t xml:space="preserve">и </w:t>
      </w:r>
      <w:r w:rsidR="001B0DD5" w:rsidRPr="00B93F73">
        <w:rPr>
          <w:lang w:val="sr-Cyrl-CS"/>
        </w:rPr>
        <w:t xml:space="preserve">оцене </w:t>
      </w:r>
      <w:r w:rsidRPr="00B93F73">
        <w:rPr>
          <w:lang w:val="sr-Cyrl-CS"/>
        </w:rPr>
        <w:t>усклађеност</w:t>
      </w:r>
      <w:r w:rsidR="001B0DD5" w:rsidRPr="00B93F73">
        <w:rPr>
          <w:lang w:val="sr-Cyrl-CS"/>
        </w:rPr>
        <w:t>и</w:t>
      </w:r>
      <w:r w:rsidRPr="00B93F73">
        <w:rPr>
          <w:lang w:val="sr-Cyrl-CS"/>
        </w:rPr>
        <w:t xml:space="preserve"> са њима</w:t>
      </w:r>
      <w:r w:rsidR="0081718F" w:rsidRPr="00B93F73">
        <w:rPr>
          <w:lang w:val="sr-Cyrl-CS"/>
        </w:rPr>
        <w:t>,</w:t>
      </w:r>
    </w:p>
    <w:p w:rsidR="00AE460A" w:rsidRPr="00B93F73" w:rsidRDefault="00AE460A">
      <w:pPr>
        <w:jc w:val="both"/>
        <w:rPr>
          <w:lang w:val="sr-Cyrl-CS"/>
        </w:rPr>
      </w:pPr>
    </w:p>
    <w:p w:rsidR="00B2218B" w:rsidRPr="00B93F73" w:rsidRDefault="00B2218B" w:rsidP="00653214">
      <w:pPr>
        <w:ind w:firstLine="708"/>
        <w:jc w:val="both"/>
        <w:rPr>
          <w:lang w:val="sr-Cyrl-CS"/>
        </w:rPr>
      </w:pPr>
      <w:r w:rsidRPr="00B93F73">
        <w:rPr>
          <w:lang w:val="sr-Cyrl-CS"/>
        </w:rPr>
        <w:t xml:space="preserve">Уредбa Савета (ЕК) Бр. 428/2009 oд 5. маја 2009. године о успостављању режима </w:t>
      </w:r>
      <w:r w:rsidR="00732E32" w:rsidRPr="00B93F73">
        <w:rPr>
          <w:lang w:val="sr-Cyrl-CS"/>
        </w:rPr>
        <w:t>Заједнице о контроли извоза, трансфера, брокеринга и транзита робе двоструке намене</w:t>
      </w:r>
      <w:r w:rsidR="00853E4D" w:rsidRPr="00B93F73">
        <w:rPr>
          <w:lang w:val="sr-Cyrl-CS"/>
        </w:rPr>
        <w:t>, Службени гласник ЕУ Л 134</w:t>
      </w:r>
      <w:r w:rsidR="007F303A" w:rsidRPr="00B93F73">
        <w:rPr>
          <w:lang w:val="sr-Cyrl-CS"/>
        </w:rPr>
        <w:t>,</w:t>
      </w:r>
      <w:r w:rsidR="00A31CDC" w:rsidRPr="00B93F73">
        <w:rPr>
          <w:lang w:val="sr-Cyrl-CS"/>
        </w:rPr>
        <w:t xml:space="preserve"> 29. м</w:t>
      </w:r>
      <w:r w:rsidR="007F303A" w:rsidRPr="00B93F73">
        <w:rPr>
          <w:lang w:val="sr-Cyrl-CS"/>
        </w:rPr>
        <w:t>aј 2009. године</w:t>
      </w:r>
      <w:r w:rsidR="008032B2" w:rsidRPr="00B93F73">
        <w:rPr>
          <w:lang w:val="sr-Cyrl-CS"/>
        </w:rPr>
        <w:t xml:space="preserve">, </w:t>
      </w:r>
      <w:r w:rsidR="008032B2" w:rsidRPr="00B93F73">
        <w:rPr>
          <w:iCs/>
          <w:color w:val="000000"/>
          <w:lang w:val="sr-Cyrl-CS"/>
        </w:rPr>
        <w:t>32009R0428</w:t>
      </w:r>
      <w:r w:rsidR="00853E4D" w:rsidRPr="00B93F73">
        <w:rPr>
          <w:lang w:val="sr-Cyrl-CS"/>
        </w:rPr>
        <w:t xml:space="preserve"> </w:t>
      </w:r>
    </w:p>
    <w:p w:rsidR="00AE460A" w:rsidRPr="00B93F73" w:rsidRDefault="00AE460A" w:rsidP="00AE460A">
      <w:pPr>
        <w:jc w:val="both"/>
        <w:rPr>
          <w:i/>
          <w:lang w:val="sr-Cyrl-CS"/>
        </w:rPr>
      </w:pPr>
      <w:r w:rsidRPr="00B93F73">
        <w:rPr>
          <w:i/>
          <w:lang w:val="sr-Cyrl-CS"/>
        </w:rPr>
        <w:t xml:space="preserve"> </w:t>
      </w:r>
    </w:p>
    <w:p w:rsidR="00EE6F21" w:rsidRPr="00B93F73" w:rsidRDefault="00C14707" w:rsidP="007F303A">
      <w:pPr>
        <w:autoSpaceDE w:val="0"/>
        <w:autoSpaceDN w:val="0"/>
        <w:adjustRightInd w:val="0"/>
        <w:ind w:firstLine="708"/>
        <w:jc w:val="both"/>
        <w:rPr>
          <w:rStyle w:val="Strong"/>
          <w:b w:val="0"/>
          <w:bdr w:val="none" w:sz="0" w:space="0" w:color="auto" w:frame="1"/>
          <w:shd w:val="clear" w:color="auto" w:fill="FFFFFF"/>
          <w:lang w:val="sr-Cyrl-CS"/>
        </w:rPr>
      </w:pPr>
      <w:r w:rsidRPr="00B93F73">
        <w:rPr>
          <w:bCs/>
          <w:color w:val="000000"/>
          <w:lang w:val="sr-Cyrl-CS" w:eastAsia="sr-Latn-RS"/>
        </w:rPr>
        <w:t xml:space="preserve">Council Regulation (EC) No 428/2009 </w:t>
      </w:r>
      <w:r w:rsidR="00EE6F21" w:rsidRPr="00B93F73">
        <w:rPr>
          <w:lang w:val="sr-Cyrl-CS"/>
        </w:rPr>
        <w:t xml:space="preserve">оf 5 May 2009 </w:t>
      </w:r>
      <w:r w:rsidRPr="00B93F73">
        <w:rPr>
          <w:bCs/>
          <w:color w:val="000000"/>
          <w:lang w:val="sr-Cyrl-CS" w:eastAsia="sr-Latn-RS"/>
        </w:rPr>
        <w:t>setting up a Community regime for the control of exports, transfer, brokering and transit of dual-use items</w:t>
      </w:r>
      <w:r w:rsidR="00853E4D" w:rsidRPr="00B93F73">
        <w:rPr>
          <w:bCs/>
          <w:color w:val="000000"/>
          <w:lang w:val="sr-Cyrl-CS" w:eastAsia="sr-Latn-RS"/>
        </w:rPr>
        <w:t xml:space="preserve">, </w:t>
      </w:r>
      <w:r w:rsidR="007F303A" w:rsidRPr="00B93F73">
        <w:rPr>
          <w:rStyle w:val="Strong"/>
          <w:b w:val="0"/>
          <w:bdr w:val="none" w:sz="0" w:space="0" w:color="auto" w:frame="1"/>
          <w:shd w:val="clear" w:color="auto" w:fill="FFFFFF"/>
          <w:lang w:val="sr-Cyrl-CS"/>
        </w:rPr>
        <w:t>Official Journal of the European Union, L 134, 29 May 2009</w:t>
      </w:r>
      <w:r w:rsidR="008032B2" w:rsidRPr="00B93F73">
        <w:rPr>
          <w:rStyle w:val="Strong"/>
          <w:b w:val="0"/>
          <w:bdr w:val="none" w:sz="0" w:space="0" w:color="auto" w:frame="1"/>
          <w:shd w:val="clear" w:color="auto" w:fill="FFFFFF"/>
          <w:lang w:val="sr-Cyrl-CS"/>
        </w:rPr>
        <w:t xml:space="preserve">, </w:t>
      </w:r>
      <w:r w:rsidR="008032B2" w:rsidRPr="00B93F73">
        <w:rPr>
          <w:iCs/>
          <w:color w:val="000000"/>
          <w:lang w:val="sr-Cyrl-CS"/>
        </w:rPr>
        <w:t>32009R0428</w:t>
      </w:r>
    </w:p>
    <w:p w:rsidR="00C0367F" w:rsidRPr="00B93F73" w:rsidRDefault="00C0367F" w:rsidP="007F303A">
      <w:pPr>
        <w:autoSpaceDE w:val="0"/>
        <w:autoSpaceDN w:val="0"/>
        <w:adjustRightInd w:val="0"/>
        <w:ind w:firstLine="708"/>
        <w:jc w:val="both"/>
        <w:rPr>
          <w:b/>
          <w:bCs/>
          <w:lang w:val="sr-Cyrl-CS" w:eastAsia="sr-Latn-RS"/>
        </w:rPr>
      </w:pPr>
    </w:p>
    <w:p w:rsidR="00EE6F21" w:rsidRPr="00B93F73" w:rsidRDefault="00EE6F21" w:rsidP="00C14707">
      <w:pPr>
        <w:autoSpaceDE w:val="0"/>
        <w:autoSpaceDN w:val="0"/>
        <w:adjustRightInd w:val="0"/>
        <w:jc w:val="both"/>
        <w:rPr>
          <w:lang w:val="sr-Cyrl-CS"/>
        </w:rPr>
      </w:pPr>
      <w:r w:rsidRPr="00B93F73">
        <w:rPr>
          <w:i/>
          <w:lang w:val="sr-Cyrl-CS"/>
        </w:rPr>
        <w:t xml:space="preserve"> </w:t>
      </w:r>
      <w:r w:rsidR="00653214" w:rsidRPr="00B93F73">
        <w:rPr>
          <w:i/>
          <w:lang w:val="sr-Cyrl-CS"/>
        </w:rPr>
        <w:tab/>
      </w:r>
      <w:r w:rsidRPr="00B93F73">
        <w:rPr>
          <w:i/>
          <w:lang w:val="sr-Cyrl-CS"/>
        </w:rPr>
        <w:t xml:space="preserve">- </w:t>
      </w:r>
      <w:r w:rsidRPr="00B93F73">
        <w:rPr>
          <w:lang w:val="sr-Cyrl-CS"/>
        </w:rPr>
        <w:t>потпуно усклађена</w:t>
      </w:r>
    </w:p>
    <w:p w:rsidR="00AE460A" w:rsidRPr="00B93F73" w:rsidRDefault="00AE460A">
      <w:pPr>
        <w:jc w:val="both"/>
        <w:rPr>
          <w:lang w:val="sr-Cyrl-CS"/>
        </w:rPr>
      </w:pPr>
    </w:p>
    <w:p w:rsidR="00743AD6" w:rsidRPr="00B93F73" w:rsidRDefault="004949B0" w:rsidP="00CC1C6C">
      <w:pPr>
        <w:ind w:firstLine="708"/>
        <w:jc w:val="both"/>
        <w:rPr>
          <w:i/>
          <w:lang w:val="sr-Cyrl-CS"/>
        </w:rPr>
      </w:pPr>
      <w:r w:rsidRPr="00B93F73">
        <w:rPr>
          <w:lang w:val="sr-Cyrl-CS"/>
        </w:rPr>
        <w:t>в</w:t>
      </w:r>
      <w:r w:rsidR="00E83A77" w:rsidRPr="00B93F73">
        <w:rPr>
          <w:lang w:val="sr-Cyrl-CS"/>
        </w:rPr>
        <w:t xml:space="preserve">) </w:t>
      </w:r>
      <w:r w:rsidR="00007AE0" w:rsidRPr="00B93F73">
        <w:rPr>
          <w:lang w:val="sr-Cyrl-CS"/>
        </w:rPr>
        <w:t>Н</w:t>
      </w:r>
      <w:r w:rsidR="00E83A77" w:rsidRPr="00B93F73">
        <w:rPr>
          <w:lang w:val="sr-Cyrl-CS"/>
        </w:rPr>
        <w:t>авођење осталих извора права Е</w:t>
      </w:r>
      <w:r w:rsidR="00E879FF" w:rsidRPr="00B93F73">
        <w:rPr>
          <w:lang w:val="sr-Cyrl-CS"/>
        </w:rPr>
        <w:t>вропске уније</w:t>
      </w:r>
      <w:r w:rsidR="00E83A77" w:rsidRPr="00B93F73">
        <w:rPr>
          <w:lang w:val="sr-Cyrl-CS"/>
        </w:rPr>
        <w:t xml:space="preserve"> и усклађенст са њима</w:t>
      </w:r>
      <w:r w:rsidR="0081718F" w:rsidRPr="00B93F73">
        <w:rPr>
          <w:lang w:val="sr-Cyrl-CS"/>
        </w:rPr>
        <w:t>,</w:t>
      </w:r>
    </w:p>
    <w:p w:rsidR="003D192B" w:rsidRPr="00B93F73" w:rsidRDefault="004949B0" w:rsidP="00CC1C6C">
      <w:pPr>
        <w:ind w:firstLine="708"/>
        <w:jc w:val="both"/>
        <w:rPr>
          <w:lang w:val="sr-Cyrl-CS"/>
        </w:rPr>
      </w:pPr>
      <w:r w:rsidRPr="00B93F73">
        <w:rPr>
          <w:lang w:val="sr-Cyrl-CS"/>
        </w:rPr>
        <w:t>г</w:t>
      </w:r>
      <w:r w:rsidR="00007AE0" w:rsidRPr="00B93F73">
        <w:rPr>
          <w:lang w:val="sr-Cyrl-CS"/>
        </w:rPr>
        <w:t>) Р</w:t>
      </w:r>
      <w:r w:rsidR="00331FAE" w:rsidRPr="00B93F73">
        <w:rPr>
          <w:lang w:val="sr-Cyrl-CS"/>
        </w:rPr>
        <w:t>азлози за д</w:t>
      </w:r>
      <w:r w:rsidR="003D192B" w:rsidRPr="00B93F73">
        <w:rPr>
          <w:lang w:val="sr-Cyrl-CS"/>
        </w:rPr>
        <w:t>ел</w:t>
      </w:r>
      <w:r w:rsidR="00331FAE" w:rsidRPr="00B93F73">
        <w:rPr>
          <w:lang w:val="sr-Cyrl-CS"/>
        </w:rPr>
        <w:t>и</w:t>
      </w:r>
      <w:r w:rsidR="003D192B" w:rsidRPr="00B93F73">
        <w:rPr>
          <w:lang w:val="sr-Cyrl-CS"/>
        </w:rPr>
        <w:t>мичну усклађеност</w:t>
      </w:r>
      <w:r w:rsidR="00BF1425" w:rsidRPr="00B93F73">
        <w:rPr>
          <w:lang w:val="sr-Cyrl-CS"/>
        </w:rPr>
        <w:t>,</w:t>
      </w:r>
      <w:r w:rsidR="003D192B" w:rsidRPr="00B93F73">
        <w:rPr>
          <w:lang w:val="sr-Cyrl-CS"/>
        </w:rPr>
        <w:t xml:space="preserve"> односно неусклађеност</w:t>
      </w:r>
      <w:r w:rsidR="0081718F" w:rsidRPr="00B93F73">
        <w:rPr>
          <w:lang w:val="sr-Cyrl-CS"/>
        </w:rPr>
        <w:t>,</w:t>
      </w:r>
    </w:p>
    <w:p w:rsidR="003D192B" w:rsidRPr="00B93F73" w:rsidRDefault="004949B0" w:rsidP="00CC1C6C">
      <w:pPr>
        <w:tabs>
          <w:tab w:val="left" w:pos="709"/>
        </w:tabs>
        <w:ind w:firstLine="708"/>
        <w:jc w:val="both"/>
        <w:rPr>
          <w:i/>
          <w:lang w:val="sr-Cyrl-CS"/>
        </w:rPr>
      </w:pPr>
      <w:r w:rsidRPr="00B93F73">
        <w:rPr>
          <w:lang w:val="sr-Cyrl-CS"/>
        </w:rPr>
        <w:t>д</w:t>
      </w:r>
      <w:r w:rsidR="00007AE0" w:rsidRPr="00B93F73">
        <w:rPr>
          <w:lang w:val="sr-Cyrl-CS"/>
        </w:rPr>
        <w:t>) Р</w:t>
      </w:r>
      <w:r w:rsidR="003D192B" w:rsidRPr="00B93F73">
        <w:rPr>
          <w:lang w:val="sr-Cyrl-CS"/>
        </w:rPr>
        <w:t xml:space="preserve">ок у којем је предвиђено </w:t>
      </w:r>
      <w:r w:rsidR="006A0FA5" w:rsidRPr="00B93F73">
        <w:rPr>
          <w:lang w:val="sr-Cyrl-CS"/>
        </w:rPr>
        <w:t xml:space="preserve">постизање потпуне усклађености </w:t>
      </w:r>
      <w:r w:rsidR="00BF1425" w:rsidRPr="00B93F73">
        <w:rPr>
          <w:lang w:val="sr-Cyrl-CS"/>
        </w:rPr>
        <w:t>прописа</w:t>
      </w:r>
      <w:r w:rsidR="00251813" w:rsidRPr="00B93F73">
        <w:rPr>
          <w:lang w:val="sr-Cyrl-CS"/>
        </w:rPr>
        <w:t xml:space="preserve"> с</w:t>
      </w:r>
      <w:r w:rsidR="008E7CFC" w:rsidRPr="00B93F73">
        <w:rPr>
          <w:lang w:val="sr-Cyrl-CS"/>
        </w:rPr>
        <w:t>а прописима Европске уније</w:t>
      </w:r>
      <w:r w:rsidR="0081718F" w:rsidRPr="00B93F73">
        <w:rPr>
          <w:lang w:val="sr-Cyrl-CS"/>
        </w:rPr>
        <w:t>.</w:t>
      </w:r>
    </w:p>
    <w:p w:rsidR="006A0FA5" w:rsidRPr="00B93F73" w:rsidRDefault="006A0FA5">
      <w:pPr>
        <w:jc w:val="both"/>
        <w:rPr>
          <w:i/>
          <w:lang w:val="sr-Cyrl-CS"/>
        </w:rPr>
      </w:pPr>
    </w:p>
    <w:p w:rsidR="006A0FA5" w:rsidRPr="00B93F73" w:rsidRDefault="00955514" w:rsidP="00600BD8">
      <w:pPr>
        <w:jc w:val="both"/>
        <w:rPr>
          <w:color w:val="000000"/>
          <w:lang w:val="sr-Cyrl-CS"/>
        </w:rPr>
      </w:pPr>
      <w:r w:rsidRPr="00B93F73">
        <w:rPr>
          <w:lang w:val="sr-Cyrl-CS"/>
        </w:rPr>
        <w:t>5</w:t>
      </w:r>
      <w:r w:rsidR="006A0FA5" w:rsidRPr="00B93F73">
        <w:rPr>
          <w:lang w:val="sr-Cyrl-CS"/>
        </w:rPr>
        <w:t>.</w:t>
      </w:r>
      <w:r w:rsidR="00600BD8" w:rsidRPr="00B93F73">
        <w:rPr>
          <w:lang w:val="sr-Cyrl-CS"/>
        </w:rPr>
        <w:t xml:space="preserve"> </w:t>
      </w:r>
      <w:r w:rsidR="00AA6CCA" w:rsidRPr="00B93F73">
        <w:rPr>
          <w:lang w:val="sr-Cyrl-CS"/>
        </w:rPr>
        <w:t xml:space="preserve">Уколико не постоје одговарајуће надлежности </w:t>
      </w:r>
      <w:r w:rsidR="0081718F" w:rsidRPr="00B93F73">
        <w:rPr>
          <w:lang w:val="sr-Cyrl-CS"/>
        </w:rPr>
        <w:t xml:space="preserve">Европске уније </w:t>
      </w:r>
      <w:r w:rsidR="00AA6CCA" w:rsidRPr="00B93F73">
        <w:rPr>
          <w:lang w:val="sr-Cyrl-CS"/>
        </w:rPr>
        <w:t>у материји коју регулише пропис, и/или не постоје одговарајући секундарни извори права</w:t>
      </w:r>
      <w:r w:rsidR="00AA6CCA" w:rsidRPr="00B93F73">
        <w:rPr>
          <w:color w:val="000000"/>
          <w:lang w:val="sr-Cyrl-CS"/>
        </w:rPr>
        <w:t xml:space="preserve"> Европске уније са којима је потребно обезбедити усклађеност, потребно је образложити ту чињеницу. У овом случају</w:t>
      </w:r>
      <w:r w:rsidR="0081718F" w:rsidRPr="00B93F73">
        <w:rPr>
          <w:color w:val="000000"/>
          <w:lang w:val="sr-Cyrl-CS"/>
        </w:rPr>
        <w:t>,</w:t>
      </w:r>
      <w:r w:rsidR="00AA6CCA" w:rsidRPr="00B93F73">
        <w:rPr>
          <w:color w:val="000000"/>
          <w:lang w:val="sr-Cyrl-CS"/>
        </w:rPr>
        <w:t xml:space="preserve">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w:t>
      </w:r>
      <w:r w:rsidR="0081718F" w:rsidRPr="00B93F73">
        <w:rPr>
          <w:color w:val="000000"/>
          <w:lang w:val="sr-Cyrl-CS"/>
        </w:rPr>
        <w:t xml:space="preserve">Европске уније </w:t>
      </w:r>
      <w:r w:rsidR="00AA6CCA" w:rsidRPr="00B93F73">
        <w:rPr>
          <w:color w:val="000000"/>
          <w:lang w:val="sr-Cyrl-CS"/>
        </w:rPr>
        <w:t>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r w:rsidR="0081718F" w:rsidRPr="00B93F73">
        <w:rPr>
          <w:color w:val="000000"/>
          <w:lang w:val="sr-Cyrl-CS"/>
        </w:rPr>
        <w:t>.</w:t>
      </w:r>
      <w:r w:rsidR="00AA6CCA" w:rsidRPr="00B93F73">
        <w:rPr>
          <w:color w:val="000000"/>
          <w:lang w:val="sr-Cyrl-CS"/>
        </w:rPr>
        <w:t xml:space="preserve">  </w:t>
      </w:r>
    </w:p>
    <w:p w:rsidR="003D192B" w:rsidRPr="00B93F73" w:rsidRDefault="003D192B">
      <w:pPr>
        <w:jc w:val="both"/>
        <w:rPr>
          <w:lang w:val="sr-Cyrl-CS"/>
        </w:rPr>
      </w:pPr>
    </w:p>
    <w:p w:rsidR="003D192B" w:rsidRPr="00B93F73" w:rsidRDefault="00955514">
      <w:pPr>
        <w:jc w:val="both"/>
        <w:rPr>
          <w:lang w:val="sr-Cyrl-CS"/>
        </w:rPr>
      </w:pPr>
      <w:r w:rsidRPr="00B93F73">
        <w:rPr>
          <w:lang w:val="sr-Cyrl-CS"/>
        </w:rPr>
        <w:t>6</w:t>
      </w:r>
      <w:r w:rsidR="003A6A07" w:rsidRPr="00B93F73">
        <w:rPr>
          <w:lang w:val="sr-Cyrl-CS"/>
        </w:rPr>
        <w:t xml:space="preserve">. Да </w:t>
      </w:r>
      <w:r w:rsidR="003D192B" w:rsidRPr="00B93F73">
        <w:rPr>
          <w:lang w:val="sr-Cyrl-CS"/>
        </w:rPr>
        <w:t>ли</w:t>
      </w:r>
      <w:r w:rsidR="00725947" w:rsidRPr="00B93F73">
        <w:rPr>
          <w:lang w:val="sr-Cyrl-CS"/>
        </w:rPr>
        <w:t xml:space="preserve"> су</w:t>
      </w:r>
      <w:r w:rsidR="00210F9E" w:rsidRPr="00B93F73">
        <w:rPr>
          <w:lang w:val="sr-Cyrl-CS"/>
        </w:rPr>
        <w:t xml:space="preserve"> претходно</w:t>
      </w:r>
      <w:r w:rsidR="003D192B" w:rsidRPr="00B93F73">
        <w:rPr>
          <w:lang w:val="sr-Cyrl-CS"/>
        </w:rPr>
        <w:t xml:space="preserve"> наведени извори права </w:t>
      </w:r>
      <w:r w:rsidR="0081718F" w:rsidRPr="00B93F73">
        <w:rPr>
          <w:lang w:val="sr-Cyrl-CS"/>
        </w:rPr>
        <w:t xml:space="preserve">Европске уније </w:t>
      </w:r>
      <w:r w:rsidR="003D192B" w:rsidRPr="00B93F73">
        <w:rPr>
          <w:lang w:val="sr-Cyrl-CS"/>
        </w:rPr>
        <w:t xml:space="preserve">преведени на </w:t>
      </w:r>
      <w:r w:rsidR="00331FAE" w:rsidRPr="00B93F73">
        <w:rPr>
          <w:lang w:val="sr-Cyrl-CS"/>
        </w:rPr>
        <w:t>срп</w:t>
      </w:r>
      <w:r w:rsidR="003D192B" w:rsidRPr="00B93F73">
        <w:rPr>
          <w:lang w:val="sr-Cyrl-CS"/>
        </w:rPr>
        <w:t>ски језик?</w:t>
      </w:r>
    </w:p>
    <w:p w:rsidR="00EE6F21" w:rsidRPr="00B93F73" w:rsidRDefault="00EE6F21">
      <w:pPr>
        <w:jc w:val="both"/>
        <w:rPr>
          <w:lang w:val="sr-Cyrl-CS"/>
        </w:rPr>
      </w:pPr>
    </w:p>
    <w:p w:rsidR="00EE6F21" w:rsidRPr="00B93F73" w:rsidRDefault="00EE6F21" w:rsidP="00600BD8">
      <w:pPr>
        <w:ind w:firstLine="708"/>
        <w:jc w:val="both"/>
        <w:rPr>
          <w:lang w:val="sr-Cyrl-CS"/>
        </w:rPr>
      </w:pPr>
      <w:r w:rsidRPr="00B93F73">
        <w:rPr>
          <w:lang w:val="sr-Cyrl-CS"/>
        </w:rPr>
        <w:t xml:space="preserve">Уредбa Савета (ЕК) Бр. 428/2009 о успостављању режима Заједнице </w:t>
      </w:r>
      <w:r w:rsidR="006653FC" w:rsidRPr="00B93F73">
        <w:rPr>
          <w:lang w:val="sr-Cyrl-CS"/>
        </w:rPr>
        <w:t>о контроли извоза, трансфера, брокеринга и транзита робе двоструке намене</w:t>
      </w:r>
      <w:r w:rsidRPr="00B93F73">
        <w:rPr>
          <w:lang w:val="sr-Cyrl-CS"/>
        </w:rPr>
        <w:t xml:space="preserve"> је</w:t>
      </w:r>
      <w:r w:rsidRPr="00B93F73">
        <w:rPr>
          <w:b/>
          <w:lang w:val="sr-Cyrl-CS"/>
        </w:rPr>
        <w:t xml:space="preserve"> </w:t>
      </w:r>
      <w:r w:rsidRPr="00B93F73">
        <w:rPr>
          <w:lang w:val="sr-Cyrl-CS"/>
        </w:rPr>
        <w:t>преведена на</w:t>
      </w:r>
      <w:r w:rsidRPr="00B93F73">
        <w:rPr>
          <w:b/>
          <w:lang w:val="sr-Cyrl-CS"/>
        </w:rPr>
        <w:t xml:space="preserve"> </w:t>
      </w:r>
      <w:r w:rsidRPr="00B93F73">
        <w:rPr>
          <w:lang w:val="sr-Cyrl-CS"/>
        </w:rPr>
        <w:t>српски језик</w:t>
      </w:r>
    </w:p>
    <w:p w:rsidR="003D192B" w:rsidRPr="00B93F73" w:rsidRDefault="003D192B">
      <w:pPr>
        <w:jc w:val="both"/>
        <w:rPr>
          <w:lang w:val="sr-Cyrl-CS"/>
        </w:rPr>
      </w:pPr>
    </w:p>
    <w:p w:rsidR="003D192B" w:rsidRPr="00B93F73" w:rsidRDefault="00955514">
      <w:pPr>
        <w:jc w:val="both"/>
        <w:rPr>
          <w:lang w:val="sr-Cyrl-CS"/>
        </w:rPr>
      </w:pPr>
      <w:r w:rsidRPr="00B93F73">
        <w:rPr>
          <w:lang w:val="sr-Cyrl-CS"/>
        </w:rPr>
        <w:t>7</w:t>
      </w:r>
      <w:r w:rsidR="003A6A07" w:rsidRPr="00B93F73">
        <w:rPr>
          <w:lang w:val="sr-Cyrl-CS"/>
        </w:rPr>
        <w:t xml:space="preserve">. </w:t>
      </w:r>
      <w:r w:rsidR="0066659B" w:rsidRPr="00B93F73">
        <w:rPr>
          <w:lang w:val="sr-Cyrl-CS"/>
        </w:rPr>
        <w:t>Да ли је</w:t>
      </w:r>
      <w:r w:rsidR="00BF1425" w:rsidRPr="00B93F73">
        <w:rPr>
          <w:lang w:val="sr-Cyrl-CS"/>
        </w:rPr>
        <w:t xml:space="preserve"> пропис</w:t>
      </w:r>
      <w:r w:rsidR="003D192B" w:rsidRPr="00B93F73">
        <w:rPr>
          <w:lang w:val="sr-Cyrl-CS"/>
        </w:rPr>
        <w:t xml:space="preserve"> преведен на неки службени језик </w:t>
      </w:r>
      <w:r w:rsidR="0081718F" w:rsidRPr="00B93F73">
        <w:rPr>
          <w:lang w:val="sr-Cyrl-CS"/>
        </w:rPr>
        <w:t>Европске уније</w:t>
      </w:r>
      <w:r w:rsidR="003D192B" w:rsidRPr="00B93F73">
        <w:rPr>
          <w:lang w:val="sr-Cyrl-CS"/>
        </w:rPr>
        <w:t>?</w:t>
      </w:r>
    </w:p>
    <w:p w:rsidR="00EE6F21" w:rsidRPr="00B93F73" w:rsidRDefault="00EE6F21">
      <w:pPr>
        <w:jc w:val="both"/>
        <w:rPr>
          <w:lang w:val="sr-Cyrl-CS"/>
        </w:rPr>
      </w:pPr>
    </w:p>
    <w:p w:rsidR="003D192B" w:rsidRPr="00B93F73" w:rsidRDefault="00955514">
      <w:pPr>
        <w:jc w:val="both"/>
        <w:rPr>
          <w:lang w:val="sr-Cyrl-CS"/>
        </w:rPr>
      </w:pPr>
      <w:r w:rsidRPr="00B93F73">
        <w:rPr>
          <w:lang w:val="sr-Cyrl-CS"/>
        </w:rPr>
        <w:t>8</w:t>
      </w:r>
      <w:r w:rsidR="003D192B" w:rsidRPr="00B93F73">
        <w:rPr>
          <w:lang w:val="sr-Cyrl-CS"/>
        </w:rPr>
        <w:t xml:space="preserve">. </w:t>
      </w:r>
      <w:r w:rsidR="00331FAE" w:rsidRPr="00B93F73">
        <w:rPr>
          <w:lang w:val="sr-Cyrl-CS"/>
        </w:rPr>
        <w:t>Учешће</w:t>
      </w:r>
      <w:r w:rsidR="003D192B" w:rsidRPr="00B93F73">
        <w:rPr>
          <w:lang w:val="sr-Cyrl-CS"/>
        </w:rPr>
        <w:t xml:space="preserve"> кон</w:t>
      </w:r>
      <w:r w:rsidR="00331FAE" w:rsidRPr="00B93F73">
        <w:rPr>
          <w:lang w:val="sr-Cyrl-CS"/>
        </w:rPr>
        <w:t>с</w:t>
      </w:r>
      <w:r w:rsidR="0025276D" w:rsidRPr="00B93F73">
        <w:rPr>
          <w:lang w:val="sr-Cyrl-CS"/>
        </w:rPr>
        <w:t xml:space="preserve">ултаната у изради </w:t>
      </w:r>
      <w:r w:rsidR="004B63F5" w:rsidRPr="00B93F73">
        <w:rPr>
          <w:lang w:val="sr-Cyrl-CS"/>
        </w:rPr>
        <w:t xml:space="preserve">прописа </w:t>
      </w:r>
      <w:r w:rsidR="003D192B" w:rsidRPr="00B93F73">
        <w:rPr>
          <w:lang w:val="sr-Cyrl-CS"/>
        </w:rPr>
        <w:t>и њихово мишљење о усклађености</w:t>
      </w:r>
    </w:p>
    <w:p w:rsidR="003D192B" w:rsidRPr="00B93F73" w:rsidRDefault="003D192B">
      <w:pPr>
        <w:jc w:val="both"/>
        <w:rPr>
          <w:lang w:val="sr-Cyrl-CS"/>
        </w:rPr>
      </w:pPr>
    </w:p>
    <w:p w:rsidR="00C21505" w:rsidRPr="00B93F73" w:rsidRDefault="00C21505" w:rsidP="00345888">
      <w:pPr>
        <w:ind w:firstLine="708"/>
        <w:jc w:val="both"/>
        <w:rPr>
          <w:lang w:val="sr-Cyrl-CS"/>
        </w:rPr>
      </w:pPr>
      <w:r w:rsidRPr="00B93F73">
        <w:rPr>
          <w:lang w:val="sr-Cyrl-CS"/>
        </w:rPr>
        <w:t>Посредством немачке Агенције за економију и извозну контролу BAFA, која је у то време била овлашћена да располаже фондовима ЕУ у овој области, у</w:t>
      </w:r>
      <w:r w:rsidR="00D252BA" w:rsidRPr="00B93F73">
        <w:rPr>
          <w:lang w:val="sr-Cyrl-CS"/>
        </w:rPr>
        <w:t xml:space="preserve"> изради </w:t>
      </w:r>
      <w:r w:rsidR="00AA7430" w:rsidRPr="00B93F73">
        <w:rPr>
          <w:lang w:val="sr-Cyrl-CS"/>
        </w:rPr>
        <w:t xml:space="preserve">Предлога </w:t>
      </w:r>
      <w:r w:rsidR="00D252BA" w:rsidRPr="00B93F73">
        <w:rPr>
          <w:lang w:val="sr-Cyrl-CS"/>
        </w:rPr>
        <w:t>закона учествовали су</w:t>
      </w:r>
      <w:r w:rsidRPr="00B93F73">
        <w:rPr>
          <w:lang w:val="sr-Cyrl-CS"/>
        </w:rPr>
        <w:t xml:space="preserve"> </w:t>
      </w:r>
      <w:r w:rsidR="00D252BA" w:rsidRPr="00B93F73">
        <w:rPr>
          <w:lang w:val="sr-Cyrl-CS"/>
        </w:rPr>
        <w:t>експерти ЕУ</w:t>
      </w:r>
      <w:r w:rsidRPr="00B93F73">
        <w:rPr>
          <w:lang w:val="sr-Cyrl-CS"/>
        </w:rPr>
        <w:t xml:space="preserve">.  </w:t>
      </w:r>
    </w:p>
    <w:p w:rsidR="00C21505" w:rsidRPr="00B93F73" w:rsidRDefault="00C21505" w:rsidP="00345888">
      <w:pPr>
        <w:ind w:firstLine="708"/>
        <w:jc w:val="both"/>
        <w:rPr>
          <w:i/>
          <w:lang w:val="sr-Cyrl-CS"/>
        </w:rPr>
      </w:pPr>
    </w:p>
    <w:p w:rsidR="00345888" w:rsidRPr="00B93F73" w:rsidRDefault="00345888" w:rsidP="00345888">
      <w:pPr>
        <w:ind w:firstLine="708"/>
        <w:jc w:val="both"/>
        <w:rPr>
          <w:lang w:val="sr-Cyrl-CS"/>
        </w:rPr>
      </w:pPr>
      <w:r w:rsidRPr="00B93F73">
        <w:rPr>
          <w:lang w:val="sr-Cyrl-CS"/>
        </w:rPr>
        <w:t xml:space="preserve">Током састанка </w:t>
      </w:r>
      <w:r w:rsidR="00C21505" w:rsidRPr="00B93F73">
        <w:rPr>
          <w:lang w:val="sr-Cyrl-CS"/>
        </w:rPr>
        <w:t xml:space="preserve">билатералног скрининга </w:t>
      </w:r>
      <w:r w:rsidRPr="00B93F73">
        <w:rPr>
          <w:lang w:val="sr-Cyrl-CS"/>
        </w:rPr>
        <w:t xml:space="preserve">за Групу 30 (Економски односи </w:t>
      </w:r>
      <w:r w:rsidR="00AA7430" w:rsidRPr="00B93F73">
        <w:rPr>
          <w:lang w:val="sr-Cyrl-CS"/>
        </w:rPr>
        <w:t>са иностранством), одржаног од 8-</w:t>
      </w:r>
      <w:r w:rsidRPr="00B93F73">
        <w:rPr>
          <w:lang w:val="sr-Cyrl-CS"/>
        </w:rPr>
        <w:t xml:space="preserve">9. октобра 2014. године, представљен је </w:t>
      </w:r>
      <w:r w:rsidR="00EE6F21" w:rsidRPr="00B93F73">
        <w:rPr>
          <w:lang w:val="sr-Cyrl-CS"/>
        </w:rPr>
        <w:t>Закон о извозу и увозу робе двоструке намене</w:t>
      </w:r>
      <w:r w:rsidRPr="00B93F73">
        <w:rPr>
          <w:lang w:val="sr-Cyrl-CS"/>
        </w:rPr>
        <w:t>. Том</w:t>
      </w:r>
      <w:r w:rsidR="00C21505" w:rsidRPr="00B93F73">
        <w:rPr>
          <w:lang w:val="sr-Cyrl-CS"/>
        </w:rPr>
        <w:t xml:space="preserve"> приликом су експерти Европске комисије констатовали</w:t>
      </w:r>
      <w:r w:rsidRPr="00B93F73">
        <w:rPr>
          <w:lang w:val="sr-Cyrl-CS"/>
        </w:rPr>
        <w:t xml:space="preserve"> да је поменути закон усклађен са одредбама Уредбе 428/2009 </w:t>
      </w:r>
      <w:r w:rsidR="00126577" w:rsidRPr="00B93F73">
        <w:rPr>
          <w:lang w:val="sr-Cyrl-CS"/>
        </w:rPr>
        <w:t>о</w:t>
      </w:r>
      <w:r w:rsidRPr="00B93F73">
        <w:rPr>
          <w:lang w:val="sr-Cyrl-CS"/>
        </w:rPr>
        <w:t xml:space="preserve"> </w:t>
      </w:r>
      <w:r w:rsidR="002B7285" w:rsidRPr="00B93F73">
        <w:rPr>
          <w:lang w:val="sr-Cyrl-CS"/>
        </w:rPr>
        <w:t>успоставља</w:t>
      </w:r>
      <w:r w:rsidR="00126577" w:rsidRPr="00B93F73">
        <w:rPr>
          <w:lang w:val="sr-Cyrl-CS"/>
        </w:rPr>
        <w:t>њу</w:t>
      </w:r>
      <w:r w:rsidRPr="00B93F73">
        <w:rPr>
          <w:lang w:val="sr-Cyrl-CS"/>
        </w:rPr>
        <w:t xml:space="preserve"> режим</w:t>
      </w:r>
      <w:r w:rsidR="00126577" w:rsidRPr="00B93F73">
        <w:rPr>
          <w:lang w:val="sr-Cyrl-CS"/>
        </w:rPr>
        <w:t>а</w:t>
      </w:r>
      <w:r w:rsidRPr="00B93F73">
        <w:rPr>
          <w:lang w:val="sr-Cyrl-CS"/>
        </w:rPr>
        <w:t xml:space="preserve"> Заједнице о контроли</w:t>
      </w:r>
      <w:r w:rsidR="002B7285" w:rsidRPr="00B93F73">
        <w:rPr>
          <w:lang w:val="sr-Cyrl-CS"/>
        </w:rPr>
        <w:t xml:space="preserve"> извоза, трансфера</w:t>
      </w:r>
      <w:r w:rsidRPr="00B93F73">
        <w:rPr>
          <w:lang w:val="sr-Cyrl-CS"/>
        </w:rPr>
        <w:t>, брокеринг</w:t>
      </w:r>
      <w:r w:rsidR="002B7285" w:rsidRPr="00B93F73">
        <w:rPr>
          <w:lang w:val="sr-Cyrl-CS"/>
        </w:rPr>
        <w:t>а и транзита</w:t>
      </w:r>
      <w:r w:rsidRPr="00B93F73">
        <w:rPr>
          <w:lang w:val="sr-Cyrl-CS"/>
        </w:rPr>
        <w:t xml:space="preserve"> робе двоструке намене, осим у делу који се односи на контролу увоза робе двоструке намене. Предложеним изменама Закона о извозу и увозу робе двоструке намене и у Републици Србији би престала контрола увоза робе двоструке намене. </w:t>
      </w:r>
    </w:p>
    <w:p w:rsidR="00345888" w:rsidRPr="00B93F73" w:rsidRDefault="00345888" w:rsidP="009745E4">
      <w:pPr>
        <w:ind w:firstLine="708"/>
        <w:jc w:val="both"/>
        <w:rPr>
          <w:lang w:val="sr-Cyrl-CS"/>
        </w:rPr>
      </w:pPr>
    </w:p>
    <w:p w:rsidR="00345888" w:rsidRPr="00B93F73" w:rsidRDefault="00345888" w:rsidP="009745E4">
      <w:pPr>
        <w:ind w:firstLine="708"/>
        <w:jc w:val="both"/>
        <w:rPr>
          <w:i/>
          <w:lang w:val="sr-Cyrl-CS"/>
        </w:rPr>
      </w:pPr>
    </w:p>
    <w:p w:rsidR="00345888" w:rsidRPr="00B93F73" w:rsidRDefault="00345888" w:rsidP="009745E4">
      <w:pPr>
        <w:ind w:firstLine="708"/>
        <w:jc w:val="both"/>
        <w:rPr>
          <w:i/>
          <w:lang w:val="sr-Cyrl-CS"/>
        </w:rPr>
      </w:pPr>
    </w:p>
    <w:p w:rsidR="009E0EA6" w:rsidRPr="00B93F73" w:rsidRDefault="009E0EA6" w:rsidP="00743AD6">
      <w:pPr>
        <w:jc w:val="both"/>
        <w:rPr>
          <w:i/>
          <w:lang w:val="sr-Cyrl-CS"/>
        </w:rPr>
      </w:pPr>
    </w:p>
    <w:p w:rsidR="00743AD6" w:rsidRPr="00B93F73" w:rsidRDefault="00743AD6" w:rsidP="00743AD6">
      <w:pPr>
        <w:jc w:val="both"/>
        <w:rPr>
          <w:sz w:val="22"/>
          <w:szCs w:val="22"/>
          <w:lang w:val="sr-Cyrl-CS"/>
        </w:rPr>
      </w:pPr>
      <w:r w:rsidRPr="00B93F73">
        <w:rPr>
          <w:color w:val="FFFFFF"/>
          <w:sz w:val="20"/>
          <w:szCs w:val="20"/>
          <w:lang w:val="sr-Cyrl-CS"/>
        </w:rPr>
        <w:t>агласна: Бојана Тодоровић, помоћник министра</w:t>
      </w:r>
      <w:r w:rsidRPr="00B93F73">
        <w:rPr>
          <w:sz w:val="22"/>
          <w:szCs w:val="22"/>
          <w:lang w:val="sr-Cyrl-CS"/>
        </w:rPr>
        <w:t xml:space="preserve">    </w:t>
      </w:r>
    </w:p>
    <w:p w:rsidR="00743AD6" w:rsidRPr="00B93F73" w:rsidRDefault="00743AD6" w:rsidP="00743AD6">
      <w:pPr>
        <w:jc w:val="both"/>
        <w:rPr>
          <w:sz w:val="22"/>
          <w:szCs w:val="22"/>
          <w:lang w:val="sr-Cyrl-CS"/>
        </w:rPr>
      </w:pPr>
      <w:r w:rsidRPr="00B93F73">
        <w:rPr>
          <w:sz w:val="22"/>
          <w:szCs w:val="22"/>
          <w:lang w:val="sr-Cyrl-CS"/>
        </w:rPr>
        <w:t xml:space="preserve">                                                  </w:t>
      </w:r>
    </w:p>
    <w:p w:rsidR="00743AD6" w:rsidRPr="00B93F73" w:rsidRDefault="00743AD6" w:rsidP="00743AD6">
      <w:pPr>
        <w:rPr>
          <w:b/>
          <w:sz w:val="20"/>
          <w:szCs w:val="20"/>
          <w:lang w:val="sr-Cyrl-CS"/>
        </w:rPr>
      </w:pPr>
      <w:r w:rsidRPr="00B93F73">
        <w:rPr>
          <w:sz w:val="22"/>
          <w:szCs w:val="22"/>
          <w:lang w:val="sr-Cyrl-CS"/>
        </w:rPr>
        <w:t xml:space="preserve">     </w:t>
      </w:r>
      <w:r w:rsidRPr="00B93F73">
        <w:rPr>
          <w:i/>
          <w:sz w:val="22"/>
          <w:szCs w:val="22"/>
          <w:lang w:val="sr-Cyrl-CS"/>
        </w:rPr>
        <w:t xml:space="preserve">                                                                                                                    </w:t>
      </w:r>
    </w:p>
    <w:p w:rsidR="00743AD6" w:rsidRPr="00B93F73" w:rsidRDefault="00743AD6" w:rsidP="00743AD6">
      <w:pPr>
        <w:ind w:firstLine="720"/>
        <w:jc w:val="both"/>
        <w:rPr>
          <w:color w:val="FFFFFF"/>
          <w:lang w:val="sr-Cyrl-CS"/>
        </w:rPr>
      </w:pPr>
      <w:r w:rsidRPr="00B93F73">
        <w:rPr>
          <w:color w:val="FFFFFF"/>
          <w:lang w:val="sr-Cyrl-CS"/>
        </w:rPr>
        <w:t>Обрадила: Асија ВељовићОдобрила: Јасмина РРЖАВНИ СЕКРЕТАРДдддд</w:t>
      </w:r>
    </w:p>
    <w:p w:rsidR="00743AD6" w:rsidRPr="00B93F73" w:rsidRDefault="00743AD6" w:rsidP="00DA3BAC">
      <w:pPr>
        <w:jc w:val="both"/>
        <w:rPr>
          <w:lang w:val="sr-Cyrl-CS"/>
        </w:rPr>
      </w:pPr>
      <w:r w:rsidRPr="00B93F73">
        <w:rPr>
          <w:lang w:val="sr-Cyrl-CS"/>
        </w:rPr>
        <w:t xml:space="preserve">                                                                                                  </w:t>
      </w:r>
    </w:p>
    <w:p w:rsidR="00743AD6" w:rsidRPr="00B93F73" w:rsidRDefault="00743AD6" w:rsidP="00743AD6">
      <w:pPr>
        <w:jc w:val="center"/>
        <w:rPr>
          <w:b/>
          <w:bCs/>
          <w:lang w:val="sr-Cyrl-CS"/>
        </w:rPr>
      </w:pPr>
    </w:p>
    <w:p w:rsidR="008710FB" w:rsidRPr="00B93F73" w:rsidRDefault="00F2636A" w:rsidP="00162E1E">
      <w:pPr>
        <w:shd w:val="clear" w:color="auto" w:fill="FFFFFF" w:themeFill="background1"/>
        <w:rPr>
          <w:b/>
          <w:lang w:val="sr-Cyrl-CS"/>
        </w:rPr>
      </w:pPr>
      <w:r w:rsidRPr="00B93F73">
        <w:rPr>
          <w:color w:val="FFFFFF"/>
          <w:sz w:val="20"/>
          <w:szCs w:val="20"/>
          <w:lang w:val="sr-Cyrl-CS"/>
        </w:rPr>
        <w:t>брадила</w:t>
      </w:r>
      <w:r w:rsidR="003D192B" w:rsidRPr="00B93F73">
        <w:rPr>
          <w:b/>
          <w:lang w:val="sr-Cyrl-CS"/>
        </w:rPr>
        <w:t xml:space="preserve"> </w:t>
      </w:r>
    </w:p>
    <w:p w:rsidR="003D192B" w:rsidRPr="00B93F73" w:rsidRDefault="003D192B" w:rsidP="00C14707">
      <w:pPr>
        <w:shd w:val="clear" w:color="auto" w:fill="FFFFFF"/>
        <w:jc w:val="center"/>
        <w:rPr>
          <w:lang w:val="sr-Cyrl-CS"/>
        </w:rPr>
      </w:pPr>
    </w:p>
    <w:p w:rsidR="003D192B" w:rsidRPr="00B93F73" w:rsidRDefault="003D192B">
      <w:pPr>
        <w:pStyle w:val="FootnoteText"/>
        <w:spacing w:line="240" w:lineRule="auto"/>
        <w:rPr>
          <w:bCs/>
          <w:szCs w:val="24"/>
          <w:lang w:val="sr-Cyrl-CS"/>
        </w:rPr>
      </w:pPr>
    </w:p>
    <w:p w:rsidR="00166343" w:rsidRPr="00B93F73" w:rsidRDefault="00166343">
      <w:pPr>
        <w:jc w:val="center"/>
        <w:rPr>
          <w:b/>
          <w:bCs/>
          <w:lang w:val="sr-Cyrl-CS"/>
        </w:rPr>
      </w:pPr>
    </w:p>
    <w:p w:rsidR="00166343" w:rsidRPr="00B93F73" w:rsidRDefault="00166343">
      <w:pPr>
        <w:jc w:val="center"/>
        <w:rPr>
          <w:b/>
          <w:bCs/>
          <w:lang w:val="sr-Cyrl-CS"/>
        </w:rPr>
      </w:pPr>
    </w:p>
    <w:p w:rsidR="00257BB4" w:rsidRPr="00B93F73" w:rsidRDefault="00257BB4">
      <w:pPr>
        <w:jc w:val="center"/>
        <w:rPr>
          <w:b/>
          <w:bCs/>
          <w:lang w:val="sr-Cyrl-CS"/>
        </w:rPr>
      </w:pPr>
    </w:p>
    <w:sectPr w:rsidR="00257BB4" w:rsidRPr="00B93F73" w:rsidSect="00AA7430">
      <w:footerReference w:type="even" r:id="rId8"/>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BA" w:rsidRDefault="007C03BA">
      <w:r>
        <w:separator/>
      </w:r>
    </w:p>
  </w:endnote>
  <w:endnote w:type="continuationSeparator" w:id="0">
    <w:p w:rsidR="007C03BA" w:rsidRDefault="007C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6D" w:rsidRDefault="000E2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46D" w:rsidRDefault="000E24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34821783"/>
      <w:docPartObj>
        <w:docPartGallery w:val="Page Numbers (Bottom of Page)"/>
        <w:docPartUnique/>
      </w:docPartObj>
    </w:sdtPr>
    <w:sdtEndPr>
      <w:rPr>
        <w:noProof/>
      </w:rPr>
    </w:sdtEndPr>
    <w:sdtContent>
      <w:p w:rsidR="00AA7430" w:rsidRDefault="00AA7430">
        <w:pPr>
          <w:pStyle w:val="Footer"/>
          <w:jc w:val="center"/>
        </w:pPr>
        <w:r>
          <w:rPr>
            <w:noProof w:val="0"/>
          </w:rPr>
          <w:fldChar w:fldCharType="begin"/>
        </w:r>
        <w:r>
          <w:instrText xml:space="preserve"> PAGE   \* MERGEFORMAT </w:instrText>
        </w:r>
        <w:r>
          <w:rPr>
            <w:noProof w:val="0"/>
          </w:rPr>
          <w:fldChar w:fldCharType="separate"/>
        </w:r>
        <w:r w:rsidR="00B93F73">
          <w:t>3</w:t>
        </w:r>
        <w:r>
          <w:fldChar w:fldCharType="end"/>
        </w:r>
      </w:p>
    </w:sdtContent>
  </w:sdt>
  <w:p w:rsidR="000E246D" w:rsidRDefault="000E24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BA" w:rsidRDefault="007C03BA">
      <w:r>
        <w:separator/>
      </w:r>
    </w:p>
  </w:footnote>
  <w:footnote w:type="continuationSeparator" w:id="0">
    <w:p w:rsidR="007C03BA" w:rsidRDefault="007C0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48C"/>
    <w:multiLevelType w:val="hybridMultilevel"/>
    <w:tmpl w:val="DE76D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EE69C1"/>
    <w:multiLevelType w:val="hybridMultilevel"/>
    <w:tmpl w:val="C49E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D39C6"/>
    <w:multiLevelType w:val="hybridMultilevel"/>
    <w:tmpl w:val="6CC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43F1C"/>
    <w:multiLevelType w:val="singleLevel"/>
    <w:tmpl w:val="0C09000F"/>
    <w:lvl w:ilvl="0">
      <w:start w:val="1"/>
      <w:numFmt w:val="decimal"/>
      <w:lvlText w:val="%1."/>
      <w:lvlJc w:val="left"/>
      <w:pPr>
        <w:tabs>
          <w:tab w:val="num" w:pos="360"/>
        </w:tabs>
        <w:ind w:left="360" w:hanging="360"/>
      </w:pPr>
      <w:rPr>
        <w:rFonts w:hint="default"/>
        <w:i w:val="0"/>
      </w:rPr>
    </w:lvl>
  </w:abstractNum>
  <w:abstractNum w:abstractNumId="4">
    <w:nsid w:val="35623AEE"/>
    <w:multiLevelType w:val="hybridMultilevel"/>
    <w:tmpl w:val="62CECD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879535A"/>
    <w:multiLevelType w:val="hybridMultilevel"/>
    <w:tmpl w:val="F956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B01AA"/>
    <w:multiLevelType w:val="hybridMultilevel"/>
    <w:tmpl w:val="03BC8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9F2796"/>
    <w:multiLevelType w:val="hybridMultilevel"/>
    <w:tmpl w:val="E2C2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2F1937"/>
    <w:multiLevelType w:val="hybridMultilevel"/>
    <w:tmpl w:val="2EA60898"/>
    <w:lvl w:ilvl="0" w:tplc="2F7E721C">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AE"/>
    <w:rsid w:val="00005093"/>
    <w:rsid w:val="00005993"/>
    <w:rsid w:val="00007AE0"/>
    <w:rsid w:val="00010D7F"/>
    <w:rsid w:val="000152C3"/>
    <w:rsid w:val="00025219"/>
    <w:rsid w:val="000256F9"/>
    <w:rsid w:val="00033594"/>
    <w:rsid w:val="000914B3"/>
    <w:rsid w:val="00094143"/>
    <w:rsid w:val="000A3B32"/>
    <w:rsid w:val="000A525C"/>
    <w:rsid w:val="000B5FD7"/>
    <w:rsid w:val="000B7405"/>
    <w:rsid w:val="000E246D"/>
    <w:rsid w:val="000E7645"/>
    <w:rsid w:val="00102EC2"/>
    <w:rsid w:val="001078BB"/>
    <w:rsid w:val="00120B4C"/>
    <w:rsid w:val="00126577"/>
    <w:rsid w:val="00126AC0"/>
    <w:rsid w:val="0012775E"/>
    <w:rsid w:val="00142BCE"/>
    <w:rsid w:val="00145EC9"/>
    <w:rsid w:val="0016223C"/>
    <w:rsid w:val="00162E1E"/>
    <w:rsid w:val="00166343"/>
    <w:rsid w:val="00173176"/>
    <w:rsid w:val="001735E7"/>
    <w:rsid w:val="00186F25"/>
    <w:rsid w:val="0019111C"/>
    <w:rsid w:val="00195A45"/>
    <w:rsid w:val="001A22CB"/>
    <w:rsid w:val="001A37B0"/>
    <w:rsid w:val="001B0DD5"/>
    <w:rsid w:val="001B208E"/>
    <w:rsid w:val="001C132C"/>
    <w:rsid w:val="001C5E2A"/>
    <w:rsid w:val="001D0895"/>
    <w:rsid w:val="001D3496"/>
    <w:rsid w:val="001D37A1"/>
    <w:rsid w:val="001E4632"/>
    <w:rsid w:val="001F22D5"/>
    <w:rsid w:val="001F65B2"/>
    <w:rsid w:val="00206880"/>
    <w:rsid w:val="00210F9E"/>
    <w:rsid w:val="00221A55"/>
    <w:rsid w:val="00224EE7"/>
    <w:rsid w:val="0025035F"/>
    <w:rsid w:val="00251813"/>
    <w:rsid w:val="0025276D"/>
    <w:rsid w:val="00255D80"/>
    <w:rsid w:val="00257BB4"/>
    <w:rsid w:val="0026447A"/>
    <w:rsid w:val="002742B6"/>
    <w:rsid w:val="002757CE"/>
    <w:rsid w:val="00282438"/>
    <w:rsid w:val="002A1298"/>
    <w:rsid w:val="002B7285"/>
    <w:rsid w:val="002C173A"/>
    <w:rsid w:val="002E0D0A"/>
    <w:rsid w:val="002E3BB0"/>
    <w:rsid w:val="00313521"/>
    <w:rsid w:val="00325906"/>
    <w:rsid w:val="00331FAE"/>
    <w:rsid w:val="00345888"/>
    <w:rsid w:val="0037750A"/>
    <w:rsid w:val="003972CC"/>
    <w:rsid w:val="00397E5A"/>
    <w:rsid w:val="003A6A07"/>
    <w:rsid w:val="003D192B"/>
    <w:rsid w:val="003E160D"/>
    <w:rsid w:val="003E46FD"/>
    <w:rsid w:val="003F1CD2"/>
    <w:rsid w:val="003F1F60"/>
    <w:rsid w:val="00412BC3"/>
    <w:rsid w:val="00437021"/>
    <w:rsid w:val="004475F1"/>
    <w:rsid w:val="00447ED2"/>
    <w:rsid w:val="0045471E"/>
    <w:rsid w:val="00457ADE"/>
    <w:rsid w:val="00457F53"/>
    <w:rsid w:val="00460886"/>
    <w:rsid w:val="00470B6D"/>
    <w:rsid w:val="00473C77"/>
    <w:rsid w:val="00492080"/>
    <w:rsid w:val="004949B0"/>
    <w:rsid w:val="004B63F5"/>
    <w:rsid w:val="004B782B"/>
    <w:rsid w:val="004C4D5B"/>
    <w:rsid w:val="004D5F3E"/>
    <w:rsid w:val="004E7BCE"/>
    <w:rsid w:val="004F36FE"/>
    <w:rsid w:val="00502305"/>
    <w:rsid w:val="00507579"/>
    <w:rsid w:val="005136F1"/>
    <w:rsid w:val="00547661"/>
    <w:rsid w:val="00554400"/>
    <w:rsid w:val="00563C57"/>
    <w:rsid w:val="00564EAF"/>
    <w:rsid w:val="00596AE7"/>
    <w:rsid w:val="005A3FC5"/>
    <w:rsid w:val="005A74FA"/>
    <w:rsid w:val="005B7A94"/>
    <w:rsid w:val="005D6EB3"/>
    <w:rsid w:val="005D794D"/>
    <w:rsid w:val="005E2212"/>
    <w:rsid w:val="005E5EB4"/>
    <w:rsid w:val="005E6D60"/>
    <w:rsid w:val="005F022D"/>
    <w:rsid w:val="00600BD8"/>
    <w:rsid w:val="00620EA2"/>
    <w:rsid w:val="006235AE"/>
    <w:rsid w:val="00626CB4"/>
    <w:rsid w:val="00633A7B"/>
    <w:rsid w:val="00634FF5"/>
    <w:rsid w:val="00653214"/>
    <w:rsid w:val="006547CE"/>
    <w:rsid w:val="00654C59"/>
    <w:rsid w:val="00656316"/>
    <w:rsid w:val="006613B9"/>
    <w:rsid w:val="006653FC"/>
    <w:rsid w:val="0066659B"/>
    <w:rsid w:val="00671F81"/>
    <w:rsid w:val="006913D3"/>
    <w:rsid w:val="006A0D75"/>
    <w:rsid w:val="006A0FA5"/>
    <w:rsid w:val="006A282C"/>
    <w:rsid w:val="006A2F47"/>
    <w:rsid w:val="006B7E98"/>
    <w:rsid w:val="006C559C"/>
    <w:rsid w:val="006D47C1"/>
    <w:rsid w:val="006D67EB"/>
    <w:rsid w:val="0071018F"/>
    <w:rsid w:val="00723168"/>
    <w:rsid w:val="0072381B"/>
    <w:rsid w:val="00725947"/>
    <w:rsid w:val="00732E32"/>
    <w:rsid w:val="00740772"/>
    <w:rsid w:val="00742318"/>
    <w:rsid w:val="00743AD6"/>
    <w:rsid w:val="00743C87"/>
    <w:rsid w:val="00760B68"/>
    <w:rsid w:val="00774905"/>
    <w:rsid w:val="007774BF"/>
    <w:rsid w:val="00796EE5"/>
    <w:rsid w:val="007A2F60"/>
    <w:rsid w:val="007A344A"/>
    <w:rsid w:val="007A7DBB"/>
    <w:rsid w:val="007B4D74"/>
    <w:rsid w:val="007B4DF8"/>
    <w:rsid w:val="007C03BA"/>
    <w:rsid w:val="007E6F05"/>
    <w:rsid w:val="007E722A"/>
    <w:rsid w:val="007F303A"/>
    <w:rsid w:val="008005AE"/>
    <w:rsid w:val="008032B2"/>
    <w:rsid w:val="00810A00"/>
    <w:rsid w:val="00811543"/>
    <w:rsid w:val="0081718F"/>
    <w:rsid w:val="00823A5E"/>
    <w:rsid w:val="00823CC9"/>
    <w:rsid w:val="00827F25"/>
    <w:rsid w:val="00843A8C"/>
    <w:rsid w:val="00853E4D"/>
    <w:rsid w:val="00856130"/>
    <w:rsid w:val="008565FD"/>
    <w:rsid w:val="00856C41"/>
    <w:rsid w:val="00860D6D"/>
    <w:rsid w:val="00862A41"/>
    <w:rsid w:val="00863F92"/>
    <w:rsid w:val="008710FB"/>
    <w:rsid w:val="00871D39"/>
    <w:rsid w:val="00875C4D"/>
    <w:rsid w:val="00885A52"/>
    <w:rsid w:val="00887C17"/>
    <w:rsid w:val="008949A4"/>
    <w:rsid w:val="008A167D"/>
    <w:rsid w:val="008B00B7"/>
    <w:rsid w:val="008C1D1B"/>
    <w:rsid w:val="008E5870"/>
    <w:rsid w:val="008E6601"/>
    <w:rsid w:val="008E7CFC"/>
    <w:rsid w:val="0090625B"/>
    <w:rsid w:val="009178FA"/>
    <w:rsid w:val="009368CF"/>
    <w:rsid w:val="009449DF"/>
    <w:rsid w:val="00955514"/>
    <w:rsid w:val="00967F20"/>
    <w:rsid w:val="00970EA1"/>
    <w:rsid w:val="009745E4"/>
    <w:rsid w:val="009857DF"/>
    <w:rsid w:val="009A1AB2"/>
    <w:rsid w:val="009A5DC6"/>
    <w:rsid w:val="009A783B"/>
    <w:rsid w:val="009A7B10"/>
    <w:rsid w:val="009B58D0"/>
    <w:rsid w:val="009B6EED"/>
    <w:rsid w:val="009C6EBA"/>
    <w:rsid w:val="009D03C4"/>
    <w:rsid w:val="009E0EA6"/>
    <w:rsid w:val="009E1887"/>
    <w:rsid w:val="00A04B64"/>
    <w:rsid w:val="00A04B92"/>
    <w:rsid w:val="00A0681E"/>
    <w:rsid w:val="00A140FE"/>
    <w:rsid w:val="00A1752B"/>
    <w:rsid w:val="00A31CDC"/>
    <w:rsid w:val="00A3495A"/>
    <w:rsid w:val="00A40007"/>
    <w:rsid w:val="00A4395C"/>
    <w:rsid w:val="00A52380"/>
    <w:rsid w:val="00A717FE"/>
    <w:rsid w:val="00A96B83"/>
    <w:rsid w:val="00AA6CCA"/>
    <w:rsid w:val="00AA7430"/>
    <w:rsid w:val="00AC05B3"/>
    <w:rsid w:val="00AD0347"/>
    <w:rsid w:val="00AD2BA2"/>
    <w:rsid w:val="00AD6E26"/>
    <w:rsid w:val="00AE460A"/>
    <w:rsid w:val="00AE49C9"/>
    <w:rsid w:val="00AF7B8E"/>
    <w:rsid w:val="00B01AD7"/>
    <w:rsid w:val="00B07FC0"/>
    <w:rsid w:val="00B12301"/>
    <w:rsid w:val="00B1458F"/>
    <w:rsid w:val="00B1548A"/>
    <w:rsid w:val="00B2218B"/>
    <w:rsid w:val="00B30D2F"/>
    <w:rsid w:val="00B503C6"/>
    <w:rsid w:val="00B56129"/>
    <w:rsid w:val="00B60E1D"/>
    <w:rsid w:val="00B643FA"/>
    <w:rsid w:val="00B65E87"/>
    <w:rsid w:val="00B702EE"/>
    <w:rsid w:val="00B748D0"/>
    <w:rsid w:val="00B74BAD"/>
    <w:rsid w:val="00B8135E"/>
    <w:rsid w:val="00B84B4B"/>
    <w:rsid w:val="00B91D7C"/>
    <w:rsid w:val="00B91F8E"/>
    <w:rsid w:val="00B93F73"/>
    <w:rsid w:val="00BA38EF"/>
    <w:rsid w:val="00BA5D58"/>
    <w:rsid w:val="00BB093D"/>
    <w:rsid w:val="00BB1B35"/>
    <w:rsid w:val="00BB3F3C"/>
    <w:rsid w:val="00BB70C2"/>
    <w:rsid w:val="00BC6818"/>
    <w:rsid w:val="00BD00B4"/>
    <w:rsid w:val="00BD71E0"/>
    <w:rsid w:val="00BF1425"/>
    <w:rsid w:val="00C03196"/>
    <w:rsid w:val="00C0367F"/>
    <w:rsid w:val="00C14707"/>
    <w:rsid w:val="00C15EE7"/>
    <w:rsid w:val="00C21505"/>
    <w:rsid w:val="00C2247E"/>
    <w:rsid w:val="00C239E8"/>
    <w:rsid w:val="00C26B48"/>
    <w:rsid w:val="00C27293"/>
    <w:rsid w:val="00C35B73"/>
    <w:rsid w:val="00C402E1"/>
    <w:rsid w:val="00C4795C"/>
    <w:rsid w:val="00C52852"/>
    <w:rsid w:val="00C560F9"/>
    <w:rsid w:val="00C64A43"/>
    <w:rsid w:val="00C7197C"/>
    <w:rsid w:val="00C76623"/>
    <w:rsid w:val="00C86D9E"/>
    <w:rsid w:val="00C90E93"/>
    <w:rsid w:val="00C93F84"/>
    <w:rsid w:val="00C9687E"/>
    <w:rsid w:val="00CB0828"/>
    <w:rsid w:val="00CB43A1"/>
    <w:rsid w:val="00CC1C6C"/>
    <w:rsid w:val="00CC30D6"/>
    <w:rsid w:val="00CD5BE4"/>
    <w:rsid w:val="00CF4613"/>
    <w:rsid w:val="00D060D1"/>
    <w:rsid w:val="00D136C1"/>
    <w:rsid w:val="00D252BA"/>
    <w:rsid w:val="00D3660F"/>
    <w:rsid w:val="00D52ADA"/>
    <w:rsid w:val="00D5520A"/>
    <w:rsid w:val="00D55BAB"/>
    <w:rsid w:val="00D81BD0"/>
    <w:rsid w:val="00DA3BAC"/>
    <w:rsid w:val="00DB09F3"/>
    <w:rsid w:val="00DB1211"/>
    <w:rsid w:val="00DB7CC9"/>
    <w:rsid w:val="00DB7E26"/>
    <w:rsid w:val="00DC10ED"/>
    <w:rsid w:val="00DC19C2"/>
    <w:rsid w:val="00DD287B"/>
    <w:rsid w:val="00DD355C"/>
    <w:rsid w:val="00DD4273"/>
    <w:rsid w:val="00DE39C1"/>
    <w:rsid w:val="00E02D74"/>
    <w:rsid w:val="00E032E7"/>
    <w:rsid w:val="00E039EE"/>
    <w:rsid w:val="00E04DB9"/>
    <w:rsid w:val="00E07812"/>
    <w:rsid w:val="00E27D27"/>
    <w:rsid w:val="00E34DC9"/>
    <w:rsid w:val="00E43BC4"/>
    <w:rsid w:val="00E54C63"/>
    <w:rsid w:val="00E716F0"/>
    <w:rsid w:val="00E72266"/>
    <w:rsid w:val="00E741CC"/>
    <w:rsid w:val="00E83A77"/>
    <w:rsid w:val="00E867D5"/>
    <w:rsid w:val="00E879FF"/>
    <w:rsid w:val="00EA2C5E"/>
    <w:rsid w:val="00EB4694"/>
    <w:rsid w:val="00EC20C8"/>
    <w:rsid w:val="00EC5189"/>
    <w:rsid w:val="00ED3D0C"/>
    <w:rsid w:val="00EE0A9B"/>
    <w:rsid w:val="00EE15BE"/>
    <w:rsid w:val="00EE5234"/>
    <w:rsid w:val="00EE6F21"/>
    <w:rsid w:val="00EF1631"/>
    <w:rsid w:val="00EF3148"/>
    <w:rsid w:val="00EF72BF"/>
    <w:rsid w:val="00F120A8"/>
    <w:rsid w:val="00F153C9"/>
    <w:rsid w:val="00F2636A"/>
    <w:rsid w:val="00F311B6"/>
    <w:rsid w:val="00F7402F"/>
    <w:rsid w:val="00F806B9"/>
    <w:rsid w:val="00FA6E2F"/>
    <w:rsid w:val="00FA7DDF"/>
    <w:rsid w:val="00FB3B20"/>
    <w:rsid w:val="00FC221F"/>
    <w:rsid w:val="00FD450D"/>
    <w:rsid w:val="00FD4A42"/>
    <w:rsid w:val="00FE1768"/>
    <w:rsid w:val="00FE283A"/>
    <w:rsid w:val="00FE41AC"/>
    <w:rsid w:val="00FF518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hr-HR"/>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pPr>
      <w:spacing w:line="240" w:lineRule="atLeast"/>
      <w:jc w:val="both"/>
    </w:pPr>
    <w:rPr>
      <w:szCs w:val="20"/>
      <w:lang w:val="hu-HU"/>
    </w:rPr>
  </w:style>
  <w:style w:type="paragraph" w:styleId="BodyText3">
    <w:name w:val="Body Text 3"/>
    <w:basedOn w:val="Normal"/>
    <w:pPr>
      <w:jc w:val="both"/>
    </w:pPr>
    <w:rPr>
      <w:b/>
      <w:bCs/>
    </w:rPr>
  </w:style>
  <w:style w:type="paragraph" w:styleId="BodyText">
    <w:name w:val="Body Text"/>
    <w:basedOn w:val="Normal"/>
    <w:pPr>
      <w:jc w:val="both"/>
    </w:pPr>
  </w:style>
  <w:style w:type="paragraph" w:styleId="BodyText2">
    <w:name w:val="Body Text 2"/>
    <w:basedOn w:val="Normal"/>
    <w:pPr>
      <w:jc w:val="right"/>
    </w:pPr>
    <w:rPr>
      <w:b/>
      <w:bCs/>
      <w:szCs w:val="20"/>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style>
  <w:style w:type="character" w:styleId="CommentReference">
    <w:name w:val="annotation reference"/>
    <w:semiHidden/>
    <w:rsid w:val="00126AC0"/>
    <w:rPr>
      <w:sz w:val="16"/>
      <w:szCs w:val="16"/>
    </w:rPr>
  </w:style>
  <w:style w:type="paragraph" w:styleId="CommentText">
    <w:name w:val="annotation text"/>
    <w:basedOn w:val="Normal"/>
    <w:semiHidden/>
    <w:rsid w:val="00126AC0"/>
    <w:rPr>
      <w:sz w:val="20"/>
      <w:szCs w:val="20"/>
    </w:rPr>
  </w:style>
  <w:style w:type="paragraph" w:styleId="CommentSubject">
    <w:name w:val="annotation subject"/>
    <w:basedOn w:val="CommentText"/>
    <w:next w:val="CommentText"/>
    <w:semiHidden/>
    <w:rsid w:val="00126AC0"/>
    <w:rPr>
      <w:b/>
      <w:bCs/>
    </w:rPr>
  </w:style>
  <w:style w:type="paragraph" w:styleId="BalloonText">
    <w:name w:val="Balloon Text"/>
    <w:basedOn w:val="Normal"/>
    <w:semiHidden/>
    <w:rsid w:val="00126AC0"/>
    <w:rPr>
      <w:rFonts w:ascii="Tahoma" w:hAnsi="Tahoma" w:cs="Tahoma"/>
      <w:sz w:val="16"/>
      <w:szCs w:val="16"/>
    </w:rPr>
  </w:style>
  <w:style w:type="character" w:styleId="FootnoteReference">
    <w:name w:val="footnote reference"/>
    <w:semiHidden/>
    <w:rsid w:val="00126AC0"/>
    <w:rPr>
      <w:vertAlign w:val="superscript"/>
    </w:rPr>
  </w:style>
  <w:style w:type="character" w:styleId="FollowedHyperlink">
    <w:name w:val="FollowedHyperlink"/>
    <w:rsid w:val="006A282C"/>
    <w:rPr>
      <w:color w:val="800080"/>
      <w:u w:val="single"/>
    </w:rPr>
  </w:style>
  <w:style w:type="paragraph" w:customStyle="1" w:styleId="Default">
    <w:name w:val="Default"/>
    <w:rsid w:val="00DD355C"/>
    <w:pPr>
      <w:autoSpaceDE w:val="0"/>
      <w:autoSpaceDN w:val="0"/>
      <w:adjustRightInd w:val="0"/>
    </w:pPr>
    <w:rPr>
      <w:rFonts w:ascii="Myriad Pro" w:eastAsia="Calibri" w:hAnsi="Myriad Pro" w:cs="Myriad Pro"/>
      <w:color w:val="000000"/>
      <w:sz w:val="24"/>
      <w:szCs w:val="24"/>
      <w:lang w:val="en-US" w:eastAsia="en-US"/>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5A3FC5"/>
    <w:rPr>
      <w:sz w:val="24"/>
      <w:lang w:val="hu-HU" w:eastAsia="hr-HR"/>
    </w:rPr>
  </w:style>
  <w:style w:type="character" w:styleId="Strong">
    <w:name w:val="Strong"/>
    <w:basedOn w:val="DefaultParagraphFont"/>
    <w:uiPriority w:val="22"/>
    <w:qFormat/>
    <w:rsid w:val="007F303A"/>
    <w:rPr>
      <w:b/>
      <w:bCs/>
    </w:rPr>
  </w:style>
  <w:style w:type="character" w:customStyle="1" w:styleId="FooterChar">
    <w:name w:val="Footer Char"/>
    <w:basedOn w:val="DefaultParagraphFont"/>
    <w:link w:val="Footer"/>
    <w:uiPriority w:val="99"/>
    <w:rsid w:val="00AA7430"/>
    <w:rPr>
      <w:noProof/>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hr-HR"/>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pPr>
      <w:spacing w:line="240" w:lineRule="atLeast"/>
      <w:jc w:val="both"/>
    </w:pPr>
    <w:rPr>
      <w:szCs w:val="20"/>
      <w:lang w:val="hu-HU"/>
    </w:rPr>
  </w:style>
  <w:style w:type="paragraph" w:styleId="BodyText3">
    <w:name w:val="Body Text 3"/>
    <w:basedOn w:val="Normal"/>
    <w:pPr>
      <w:jc w:val="both"/>
    </w:pPr>
    <w:rPr>
      <w:b/>
      <w:bCs/>
    </w:rPr>
  </w:style>
  <w:style w:type="paragraph" w:styleId="BodyText">
    <w:name w:val="Body Text"/>
    <w:basedOn w:val="Normal"/>
    <w:pPr>
      <w:jc w:val="both"/>
    </w:pPr>
  </w:style>
  <w:style w:type="paragraph" w:styleId="BodyText2">
    <w:name w:val="Body Text 2"/>
    <w:basedOn w:val="Normal"/>
    <w:pPr>
      <w:jc w:val="right"/>
    </w:pPr>
    <w:rPr>
      <w:b/>
      <w:bCs/>
      <w:szCs w:val="20"/>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style>
  <w:style w:type="character" w:styleId="CommentReference">
    <w:name w:val="annotation reference"/>
    <w:semiHidden/>
    <w:rsid w:val="00126AC0"/>
    <w:rPr>
      <w:sz w:val="16"/>
      <w:szCs w:val="16"/>
    </w:rPr>
  </w:style>
  <w:style w:type="paragraph" w:styleId="CommentText">
    <w:name w:val="annotation text"/>
    <w:basedOn w:val="Normal"/>
    <w:semiHidden/>
    <w:rsid w:val="00126AC0"/>
    <w:rPr>
      <w:sz w:val="20"/>
      <w:szCs w:val="20"/>
    </w:rPr>
  </w:style>
  <w:style w:type="paragraph" w:styleId="CommentSubject">
    <w:name w:val="annotation subject"/>
    <w:basedOn w:val="CommentText"/>
    <w:next w:val="CommentText"/>
    <w:semiHidden/>
    <w:rsid w:val="00126AC0"/>
    <w:rPr>
      <w:b/>
      <w:bCs/>
    </w:rPr>
  </w:style>
  <w:style w:type="paragraph" w:styleId="BalloonText">
    <w:name w:val="Balloon Text"/>
    <w:basedOn w:val="Normal"/>
    <w:semiHidden/>
    <w:rsid w:val="00126AC0"/>
    <w:rPr>
      <w:rFonts w:ascii="Tahoma" w:hAnsi="Tahoma" w:cs="Tahoma"/>
      <w:sz w:val="16"/>
      <w:szCs w:val="16"/>
    </w:rPr>
  </w:style>
  <w:style w:type="character" w:styleId="FootnoteReference">
    <w:name w:val="footnote reference"/>
    <w:semiHidden/>
    <w:rsid w:val="00126AC0"/>
    <w:rPr>
      <w:vertAlign w:val="superscript"/>
    </w:rPr>
  </w:style>
  <w:style w:type="character" w:styleId="FollowedHyperlink">
    <w:name w:val="FollowedHyperlink"/>
    <w:rsid w:val="006A282C"/>
    <w:rPr>
      <w:color w:val="800080"/>
      <w:u w:val="single"/>
    </w:rPr>
  </w:style>
  <w:style w:type="paragraph" w:customStyle="1" w:styleId="Default">
    <w:name w:val="Default"/>
    <w:rsid w:val="00DD355C"/>
    <w:pPr>
      <w:autoSpaceDE w:val="0"/>
      <w:autoSpaceDN w:val="0"/>
      <w:adjustRightInd w:val="0"/>
    </w:pPr>
    <w:rPr>
      <w:rFonts w:ascii="Myriad Pro" w:eastAsia="Calibri" w:hAnsi="Myriad Pro" w:cs="Myriad Pro"/>
      <w:color w:val="000000"/>
      <w:sz w:val="24"/>
      <w:szCs w:val="24"/>
      <w:lang w:val="en-US" w:eastAsia="en-US"/>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5A3FC5"/>
    <w:rPr>
      <w:sz w:val="24"/>
      <w:lang w:val="hu-HU" w:eastAsia="hr-HR"/>
    </w:rPr>
  </w:style>
  <w:style w:type="character" w:styleId="Strong">
    <w:name w:val="Strong"/>
    <w:basedOn w:val="DefaultParagraphFont"/>
    <w:uiPriority w:val="22"/>
    <w:qFormat/>
    <w:rsid w:val="007F303A"/>
    <w:rPr>
      <w:b/>
      <w:bCs/>
    </w:rPr>
  </w:style>
  <w:style w:type="character" w:customStyle="1" w:styleId="FooterChar">
    <w:name w:val="Footer Char"/>
    <w:basedOn w:val="DefaultParagraphFont"/>
    <w:link w:val="Footer"/>
    <w:uiPriority w:val="99"/>
    <w:rsid w:val="00AA7430"/>
    <w:rPr>
      <w:noProo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6765">
      <w:bodyDiv w:val="1"/>
      <w:marLeft w:val="0"/>
      <w:marRight w:val="0"/>
      <w:marTop w:val="0"/>
      <w:marBottom w:val="0"/>
      <w:divBdr>
        <w:top w:val="none" w:sz="0" w:space="0" w:color="auto"/>
        <w:left w:val="none" w:sz="0" w:space="0" w:color="auto"/>
        <w:bottom w:val="none" w:sz="0" w:space="0" w:color="auto"/>
        <w:right w:val="none" w:sz="0" w:space="0" w:color="auto"/>
      </w:divBdr>
    </w:div>
    <w:div w:id="1387139634">
      <w:bodyDiv w:val="1"/>
      <w:marLeft w:val="0"/>
      <w:marRight w:val="0"/>
      <w:marTop w:val="0"/>
      <w:marBottom w:val="0"/>
      <w:divBdr>
        <w:top w:val="none" w:sz="0" w:space="0" w:color="auto"/>
        <w:left w:val="none" w:sz="0" w:space="0" w:color="auto"/>
        <w:bottom w:val="none" w:sz="0" w:space="0" w:color="auto"/>
        <w:right w:val="none" w:sz="0" w:space="0" w:color="auto"/>
      </w:divBdr>
    </w:div>
    <w:div w:id="17166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IZJAVA O USKLAĐENOSTI (NACRTA) PRIJEDLOGA PROPISA S ACQUIS COMMUNAUTAIREOM</vt:lpstr>
    </vt:vector>
  </TitlesOfParts>
  <Company>MEI</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USKLAĐENOSTI (NACRTA) PRIJEDLOGA PROPISA S ACQUIS COMMUNAUTAIREOM</dc:title>
  <dc:creator>korisnik1</dc:creator>
  <cp:lastModifiedBy>Savo Gnjidic</cp:lastModifiedBy>
  <cp:revision>6</cp:revision>
  <cp:lastPrinted>2016-11-10T12:21:00Z</cp:lastPrinted>
  <dcterms:created xsi:type="dcterms:W3CDTF">2018-10-25T08:50:00Z</dcterms:created>
  <dcterms:modified xsi:type="dcterms:W3CDTF">2018-10-26T07:37:00Z</dcterms:modified>
</cp:coreProperties>
</file>