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6C" w:rsidRPr="00B63129" w:rsidRDefault="00262A6C" w:rsidP="00262A6C">
      <w:pP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973329" w:rsidRPr="00B63129" w:rsidRDefault="00B63129" w:rsidP="009733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Na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osnovu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člana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8.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Zakona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budžetu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Republike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Srbije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za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godinu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Službeni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glasnik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RS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broj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103/15)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člana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17.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stav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člana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42.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stav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Zakona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Vladi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(„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Službeni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glasnik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RS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br</w:t>
      </w:r>
      <w:r w:rsidR="00EF0204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. 55/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05, 71/05 -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ispravka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, 101/07, 65/08, 16/11, 68/12 -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US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, 72/12, 7/14 -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US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44/14), </w:t>
      </w:r>
    </w:p>
    <w:p w:rsidR="00973329" w:rsidRPr="00B63129" w:rsidRDefault="00973329" w:rsidP="00973329">
      <w:pPr>
        <w:jc w:val="both"/>
        <w:rPr>
          <w:rFonts w:ascii="Calibri" w:eastAsia="Times New Roman" w:hAnsi="Calibri" w:cs="Times New Roman"/>
          <w:noProof/>
          <w:lang w:val="sr-Latn-CS"/>
        </w:rPr>
      </w:pPr>
    </w:p>
    <w:p w:rsidR="00973329" w:rsidRPr="00B63129" w:rsidRDefault="00B63129" w:rsidP="009733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Vlada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donosi</w:t>
      </w:r>
    </w:p>
    <w:p w:rsidR="00973329" w:rsidRPr="00B63129" w:rsidRDefault="00973329" w:rsidP="00973329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73329" w:rsidRPr="00B63129" w:rsidRDefault="00B63129" w:rsidP="00973329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</w:p>
    <w:p w:rsidR="00973329" w:rsidRPr="00B63129" w:rsidRDefault="00B63129" w:rsidP="00973329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UTVRĐIVANJU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SETA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MIKRO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MALA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SREDNJA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REALIZUJE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AKREDITOVANIH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RAZVOJNIH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</w:p>
    <w:p w:rsidR="00973329" w:rsidRPr="00B63129" w:rsidRDefault="00973329" w:rsidP="0097332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iCs/>
          <w:noProof/>
          <w:color w:val="000000"/>
          <w:sz w:val="24"/>
          <w:szCs w:val="20"/>
          <w:lang w:val="sr-Latn-CS"/>
        </w:rPr>
      </w:pPr>
    </w:p>
    <w:p w:rsidR="00973329" w:rsidRPr="00B63129" w:rsidRDefault="00B63129" w:rsidP="00973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0"/>
          <w:lang w:val="sr-Latn-CS"/>
        </w:rPr>
        <w:t>Član</w:t>
      </w:r>
      <w:r w:rsidR="00973329" w:rsidRPr="00B63129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0"/>
          <w:lang w:val="sr-Latn-CS"/>
        </w:rPr>
        <w:t xml:space="preserve"> 1.</w:t>
      </w:r>
    </w:p>
    <w:p w:rsidR="00973329" w:rsidRPr="00B63129" w:rsidRDefault="00973329" w:rsidP="00973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8080"/>
          <w:sz w:val="24"/>
          <w:szCs w:val="30"/>
          <w:lang w:val="sr-Latn-CS"/>
        </w:rPr>
      </w:pPr>
    </w:p>
    <w:p w:rsidR="00973329" w:rsidRPr="00B63129" w:rsidRDefault="00B63129" w:rsidP="009733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color w:val="008080"/>
          <w:sz w:val="24"/>
          <w:szCs w:val="30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Ovom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uredbom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utvrđuje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se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Program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standardizovanog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seta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usluga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za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mikro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mala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srednja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preduzeća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preduzetnike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godini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koji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se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realizuje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preko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akreditovanih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regionalnih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razvojnih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agencija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koji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je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odštampan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uz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ovu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uredbu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čini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njen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sastavni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deo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. </w:t>
      </w:r>
    </w:p>
    <w:p w:rsidR="00973329" w:rsidRPr="00B63129" w:rsidRDefault="00973329" w:rsidP="00973329">
      <w:pPr>
        <w:jc w:val="both"/>
        <w:rPr>
          <w:rFonts w:ascii="Calibri" w:eastAsia="Times New Roman" w:hAnsi="Calibri" w:cs="Times New Roman"/>
          <w:noProof/>
          <w:lang w:val="sr-Latn-CS"/>
        </w:rPr>
      </w:pPr>
    </w:p>
    <w:p w:rsidR="00973329" w:rsidRPr="00B63129" w:rsidRDefault="00B63129" w:rsidP="00973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Član</w:t>
      </w:r>
      <w:r w:rsidR="00973329" w:rsidRPr="00B63129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 xml:space="preserve"> 2.</w:t>
      </w:r>
    </w:p>
    <w:p w:rsidR="00973329" w:rsidRPr="00B63129" w:rsidRDefault="00973329" w:rsidP="00973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8080"/>
          <w:sz w:val="24"/>
          <w:szCs w:val="24"/>
          <w:lang w:val="sr-Latn-CS"/>
        </w:rPr>
      </w:pPr>
    </w:p>
    <w:p w:rsidR="00973329" w:rsidRPr="00B63129" w:rsidRDefault="00B63129" w:rsidP="009733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color w:val="00808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uredba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narednog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973329" w:rsidRPr="00B631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973329" w:rsidRPr="00B63129" w:rsidRDefault="00973329" w:rsidP="00973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8080"/>
          <w:sz w:val="24"/>
          <w:szCs w:val="24"/>
          <w:lang w:val="sr-Latn-CS"/>
        </w:rPr>
      </w:pPr>
    </w:p>
    <w:p w:rsidR="00973329" w:rsidRPr="00B63129" w:rsidRDefault="00973329" w:rsidP="00973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noProof/>
          <w:color w:val="008080"/>
          <w:sz w:val="30"/>
          <w:szCs w:val="30"/>
          <w:lang w:val="sr-Latn-CS"/>
        </w:rPr>
      </w:pPr>
    </w:p>
    <w:p w:rsidR="00973329" w:rsidRPr="00B63129" w:rsidRDefault="00973329" w:rsidP="009733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noProof/>
          <w:color w:val="008080"/>
          <w:sz w:val="30"/>
          <w:szCs w:val="30"/>
          <w:lang w:val="sr-Latn-CS"/>
        </w:rPr>
      </w:pPr>
    </w:p>
    <w:p w:rsidR="00973329" w:rsidRPr="00B63129" w:rsidRDefault="00973329" w:rsidP="009733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973329" w:rsidRPr="00B63129" w:rsidRDefault="00B63129" w:rsidP="009733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     </w:t>
      </w:r>
    </w:p>
    <w:p w:rsidR="00973329" w:rsidRPr="00B63129" w:rsidRDefault="00973329" w:rsidP="0097332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73329" w:rsidRPr="00B63129" w:rsidRDefault="00B63129" w:rsidP="0097332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973329"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</w:p>
    <w:p w:rsidR="00973329" w:rsidRPr="00B63129" w:rsidRDefault="00973329" w:rsidP="0097332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973329" w:rsidRPr="00B63129" w:rsidRDefault="00973329" w:rsidP="0097332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973329" w:rsidRPr="00B63129" w:rsidRDefault="00973329" w:rsidP="00973329">
      <w:pPr>
        <w:autoSpaceDE w:val="0"/>
        <w:autoSpaceDN w:val="0"/>
        <w:adjustRightInd w:val="0"/>
        <w:ind w:left="50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Aleksandar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Vučić</w:t>
      </w:r>
    </w:p>
    <w:p w:rsidR="00973329" w:rsidRPr="00B63129" w:rsidRDefault="00973329" w:rsidP="00973329">
      <w:pPr>
        <w:rPr>
          <w:noProof/>
          <w:lang w:val="sr-Latn-CS"/>
        </w:rPr>
      </w:pPr>
    </w:p>
    <w:p w:rsidR="00262A6C" w:rsidRPr="00B63129" w:rsidRDefault="00262A6C" w:rsidP="00262A6C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262A6C" w:rsidP="00262A6C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262A6C" w:rsidP="00262A6C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262A6C" w:rsidP="00262A6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B63129" w:rsidP="00262A6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</w:p>
    <w:p w:rsidR="00262A6C" w:rsidRPr="00B63129" w:rsidRDefault="00B63129" w:rsidP="00262A6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Style w:val="rvts3"/>
          <w:noProof/>
          <w:color w:val="000000"/>
          <w:sz w:val="24"/>
          <w:szCs w:val="24"/>
          <w:lang w:val="sr-Latn-CS"/>
        </w:rPr>
        <w:t>ZA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MIKRO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000000"/>
          <w:sz w:val="24"/>
          <w:szCs w:val="24"/>
          <w:lang w:val="sr-Latn-CS"/>
        </w:rPr>
        <w:t>MALA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I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SREDNJA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PREDUZEĆA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I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PREDUZETNIKE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U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2016. </w:t>
      </w:r>
      <w:r>
        <w:rPr>
          <w:rStyle w:val="rvts3"/>
          <w:noProof/>
          <w:color w:val="000000"/>
          <w:sz w:val="24"/>
          <w:szCs w:val="24"/>
          <w:lang w:val="sr-Latn-CS"/>
        </w:rPr>
        <w:t>GODINI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KOJI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SE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REALIZUJE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PREKO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AKREDITOVANIH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REGIONALNIH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RAZVOJNIH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AGENCIJA</w:t>
      </w:r>
    </w:p>
    <w:p w:rsidR="00262A6C" w:rsidRPr="00B63129" w:rsidRDefault="00262A6C" w:rsidP="00262A6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62A6C" w:rsidRPr="00B63129" w:rsidRDefault="00262A6C" w:rsidP="00262A6C">
      <w:pPr>
        <w:tabs>
          <w:tab w:val="left" w:pos="4070"/>
        </w:tabs>
        <w:spacing w:after="0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I.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</w:p>
    <w:p w:rsidR="00262A6C" w:rsidRPr="00B63129" w:rsidRDefault="00262A6C" w:rsidP="00262A6C">
      <w:pPr>
        <w:tabs>
          <w:tab w:val="left" w:pos="4070"/>
        </w:tabs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103/15),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Razdela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20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privrede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1509 -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konkurentnosti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410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Opšti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ekonomski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komercijalni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poslovi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poslovi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pitanju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4003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set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usluga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za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MSPP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000000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konomska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- 424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Specijalizovane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41.250.000,00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namenjen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sprovođenje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Programa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standardizovanog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seta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usluga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za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mikro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, </w:t>
      </w:r>
      <w:r>
        <w:rPr>
          <w:rStyle w:val="rvts3"/>
          <w:noProof/>
          <w:color w:val="000000"/>
          <w:sz w:val="24"/>
          <w:szCs w:val="24"/>
          <w:lang w:val="sr-Latn-CS"/>
        </w:rPr>
        <w:t>mala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i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srednja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preduzeća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i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preduzetnike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u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2016. </w:t>
      </w:r>
      <w:r>
        <w:rPr>
          <w:rStyle w:val="rvts3"/>
          <w:noProof/>
          <w:color w:val="000000"/>
          <w:sz w:val="24"/>
          <w:szCs w:val="24"/>
          <w:lang w:val="sr-Latn-CS"/>
        </w:rPr>
        <w:t>godini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koji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se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realizuje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preko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akreditovanih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regionalnih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razvojnih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noProof/>
          <w:color w:val="000000"/>
          <w:sz w:val="24"/>
          <w:szCs w:val="24"/>
          <w:lang w:val="sr-Latn-CS"/>
        </w:rPr>
        <w:t>agencija</w:t>
      </w:r>
      <w:r w:rsidR="00262A6C"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set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akreditovanih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regionalnih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razvojnih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 w:rsidR="00B63129">
        <w:rPr>
          <w:rStyle w:val="rvts3"/>
          <w:noProof/>
          <w:color w:val="000000"/>
          <w:sz w:val="24"/>
          <w:szCs w:val="24"/>
          <w:lang w:val="sr-Latn-CS"/>
        </w:rPr>
        <w:t>za</w:t>
      </w:r>
      <w:r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 w:rsidR="00B63129">
        <w:rPr>
          <w:rStyle w:val="rvts3"/>
          <w:noProof/>
          <w:color w:val="000000"/>
          <w:sz w:val="24"/>
          <w:szCs w:val="24"/>
          <w:lang w:val="sr-Latn-CS"/>
        </w:rPr>
        <w:t>mikro</w:t>
      </w:r>
      <w:r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, </w:t>
      </w:r>
      <w:r w:rsidR="00B63129">
        <w:rPr>
          <w:rStyle w:val="rvts3"/>
          <w:noProof/>
          <w:color w:val="000000"/>
          <w:sz w:val="24"/>
          <w:szCs w:val="24"/>
          <w:lang w:val="sr-Latn-CS"/>
        </w:rPr>
        <w:t>mala</w:t>
      </w:r>
      <w:r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 w:rsidR="00B63129">
        <w:rPr>
          <w:rStyle w:val="rvts3"/>
          <w:noProof/>
          <w:color w:val="000000"/>
          <w:sz w:val="24"/>
          <w:szCs w:val="24"/>
          <w:lang w:val="sr-Latn-CS"/>
        </w:rPr>
        <w:t>i</w:t>
      </w:r>
      <w:r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 w:rsidR="00B63129">
        <w:rPr>
          <w:rStyle w:val="rvts3"/>
          <w:noProof/>
          <w:color w:val="000000"/>
          <w:sz w:val="24"/>
          <w:szCs w:val="24"/>
          <w:lang w:val="sr-Latn-CS"/>
        </w:rPr>
        <w:t>srednja</w:t>
      </w:r>
      <w:r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 w:rsidR="00B63129">
        <w:rPr>
          <w:rStyle w:val="rvts3"/>
          <w:noProof/>
          <w:color w:val="000000"/>
          <w:sz w:val="24"/>
          <w:szCs w:val="24"/>
          <w:lang w:val="sr-Latn-CS"/>
        </w:rPr>
        <w:t>preduzeća</w:t>
      </w:r>
      <w:r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 w:rsidR="00B63129">
        <w:rPr>
          <w:rStyle w:val="rvts3"/>
          <w:noProof/>
          <w:color w:val="000000"/>
          <w:sz w:val="24"/>
          <w:szCs w:val="24"/>
          <w:lang w:val="sr-Latn-CS"/>
        </w:rPr>
        <w:t>i</w:t>
      </w:r>
      <w:r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 w:rsidR="00B63129">
        <w:rPr>
          <w:rStyle w:val="rvts3"/>
          <w:noProof/>
          <w:color w:val="000000"/>
          <w:sz w:val="24"/>
          <w:szCs w:val="24"/>
          <w:lang w:val="sr-Latn-CS"/>
        </w:rPr>
        <w:t>preduzetnike</w:t>
      </w:r>
      <w:r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 w:rsidR="00B63129">
        <w:rPr>
          <w:rStyle w:val="rvts3"/>
          <w:noProof/>
          <w:color w:val="000000"/>
          <w:sz w:val="24"/>
          <w:szCs w:val="24"/>
          <w:lang w:val="sr-Latn-CS"/>
        </w:rPr>
        <w:t>u</w:t>
      </w:r>
      <w:r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2016. </w:t>
      </w:r>
      <w:r w:rsidR="00B63129">
        <w:rPr>
          <w:rStyle w:val="rvts3"/>
          <w:noProof/>
          <w:color w:val="000000"/>
          <w:sz w:val="24"/>
          <w:szCs w:val="24"/>
          <w:lang w:val="sr-Latn-CS"/>
        </w:rPr>
        <w:t>godini</w:t>
      </w:r>
      <w:r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(</w:t>
      </w:r>
      <w:r w:rsidR="00B63129">
        <w:rPr>
          <w:rStyle w:val="rvts3"/>
          <w:noProof/>
          <w:color w:val="000000"/>
          <w:sz w:val="24"/>
          <w:szCs w:val="24"/>
          <w:lang w:val="sr-Latn-CS"/>
        </w:rPr>
        <w:t>u</w:t>
      </w:r>
      <w:r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 w:rsidR="00B63129">
        <w:rPr>
          <w:rStyle w:val="rvts3"/>
          <w:noProof/>
          <w:color w:val="000000"/>
          <w:sz w:val="24"/>
          <w:szCs w:val="24"/>
          <w:lang w:val="sr-Latn-CS"/>
        </w:rPr>
        <w:t>daljem</w:t>
      </w:r>
      <w:r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 w:rsidR="00B63129">
        <w:rPr>
          <w:rStyle w:val="rvts3"/>
          <w:noProof/>
          <w:color w:val="000000"/>
          <w:sz w:val="24"/>
          <w:szCs w:val="24"/>
          <w:lang w:val="sr-Latn-CS"/>
        </w:rPr>
        <w:t>tekstu</w:t>
      </w:r>
      <w:r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: </w:t>
      </w:r>
      <w:r w:rsidR="00B63129">
        <w:rPr>
          <w:rStyle w:val="rvts3"/>
          <w:noProof/>
          <w:color w:val="000000"/>
          <w:sz w:val="24"/>
          <w:szCs w:val="24"/>
          <w:lang w:val="sr-Latn-CS"/>
        </w:rPr>
        <w:t>standardizovani</w:t>
      </w:r>
      <w:r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 w:rsidR="00B63129">
        <w:rPr>
          <w:rStyle w:val="rvts3"/>
          <w:noProof/>
          <w:color w:val="000000"/>
          <w:sz w:val="24"/>
          <w:szCs w:val="24"/>
          <w:lang w:val="sr-Latn-CS"/>
        </w:rPr>
        <w:t>set</w:t>
      </w:r>
      <w:r w:rsidRPr="00B63129">
        <w:rPr>
          <w:rStyle w:val="rvts3"/>
          <w:noProof/>
          <w:color w:val="000000"/>
          <w:sz w:val="24"/>
          <w:szCs w:val="24"/>
          <w:lang w:val="sr-Latn-CS"/>
        </w:rPr>
        <w:t xml:space="preserve"> </w:t>
      </w:r>
      <w:r w:rsidR="00B63129">
        <w:rPr>
          <w:rStyle w:val="rvts3"/>
          <w:noProof/>
          <w:color w:val="000000"/>
          <w:sz w:val="24"/>
          <w:szCs w:val="24"/>
          <w:lang w:val="sr-Latn-CS"/>
        </w:rPr>
        <w:t>usluga</w:t>
      </w:r>
      <w:r w:rsidRPr="00B63129">
        <w:rPr>
          <w:rStyle w:val="rvts3"/>
          <w:noProof/>
          <w:color w:val="000000"/>
          <w:sz w:val="24"/>
          <w:szCs w:val="24"/>
          <w:lang w:val="sr-Latn-CS"/>
        </w:rPr>
        <w:t>)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standardizovanih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62A6C" w:rsidRPr="00B63129" w:rsidRDefault="00B63129" w:rsidP="00262A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62A6C" w:rsidRPr="00B63129" w:rsidRDefault="00B63129" w:rsidP="00262A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62A6C" w:rsidRPr="00B63129" w:rsidRDefault="00B63129" w:rsidP="00262A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62A6C" w:rsidRPr="00B63129" w:rsidRDefault="00B63129" w:rsidP="00262A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mentoring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62A6C" w:rsidRPr="00B63129" w:rsidRDefault="00B63129" w:rsidP="00262A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outlineLvl w:val="5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akreditovane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akreditovala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51/09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akreditovati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89/15)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utvrđivanju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uslova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kriterijuma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načina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akreditacije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obavljanje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poslova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regionalnog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razvoja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oduzimanja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akreditacije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isteka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roka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izdata</w:t>
      </w:r>
      <w:r w:rsidR="00262A6C" w:rsidRPr="00B6312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74/10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4/12). </w:t>
      </w:r>
    </w:p>
    <w:p w:rsidR="00262A6C" w:rsidRPr="00B63129" w:rsidRDefault="00B63129" w:rsidP="00262A6C">
      <w:pPr>
        <w:spacing w:after="0"/>
        <w:ind w:firstLine="720"/>
        <w:jc w:val="both"/>
        <w:outlineLvl w:val="5"/>
        <w:rPr>
          <w:rFonts w:ascii="Times New Roman" w:hAnsi="Times New Roman" w:cs="Times New Roman"/>
          <w:bCs/>
          <w:noProof/>
          <w:color w:val="FFFFFF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mikro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zadruge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klastere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besplatne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outlineLvl w:val="5"/>
        <w:rPr>
          <w:rFonts w:ascii="Times New Roman" w:hAnsi="Times New Roman" w:cs="Times New Roman"/>
          <w:bCs/>
          <w:noProof/>
          <w:color w:val="FFFFFF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62A6C" w:rsidRPr="00B63129" w:rsidRDefault="00262A6C" w:rsidP="00262A6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262A6C" w:rsidP="00262A6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II.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</w:p>
    <w:p w:rsidR="00262A6C" w:rsidRPr="00B63129" w:rsidRDefault="00262A6C" w:rsidP="00262A6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B63129" w:rsidP="00262A6C">
      <w:pPr>
        <w:pStyle w:val="PlainTex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Opšti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podrška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rastu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mikro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malih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srednjih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MSPP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zadruga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klastera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dostupnosti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obima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poslovanje</w:t>
      </w:r>
      <w:r w:rsidR="00262A6C" w:rsidRPr="00B63129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262A6C" w:rsidRPr="00B63129" w:rsidRDefault="00262A6C" w:rsidP="00262A6C">
      <w:pPr>
        <w:spacing w:after="0"/>
        <w:ind w:firstLine="77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262A6C" w:rsidP="00262A6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III.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NAMENA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262A6C" w:rsidRPr="00B63129" w:rsidRDefault="00262A6C" w:rsidP="00262A6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B63129" w:rsidP="00262A6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262A6C" w:rsidP="00262A6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pružanja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postojećim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potencijalnim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zadrugama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klasterima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62A6C" w:rsidRPr="00B63129" w:rsidRDefault="00B63129" w:rsidP="00262A6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započinjanjem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testiranjem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62A6C" w:rsidRPr="00B63129" w:rsidRDefault="00B63129" w:rsidP="00262A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62A6C" w:rsidRPr="00B63129" w:rsidRDefault="00B63129" w:rsidP="00262A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262A6C" w:rsidRPr="00B63129" w:rsidRDefault="00B63129" w:rsidP="00262A6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62A6C" w:rsidRPr="00B63129" w:rsidRDefault="00B63129" w:rsidP="00262A6C">
      <w:pPr>
        <w:numPr>
          <w:ilvl w:val="0"/>
          <w:numId w:val="3"/>
        </w:numPr>
        <w:tabs>
          <w:tab w:val="left" w:pos="63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(EEN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inostrano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tehnologija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povezivanje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62A6C" w:rsidRPr="00B63129" w:rsidRDefault="00B63129" w:rsidP="00262A6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udruživanjem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klastera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udruženja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62A6C" w:rsidRPr="00B63129" w:rsidRDefault="00B63129" w:rsidP="00262A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inovacijama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intelektualne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62A6C" w:rsidRPr="00B63129" w:rsidRDefault="00B63129" w:rsidP="00262A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62A6C" w:rsidRPr="00B63129" w:rsidRDefault="00B63129" w:rsidP="00262A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pronalaženjem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62A6C" w:rsidRPr="00B63129" w:rsidRDefault="00B63129" w:rsidP="00262A6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specijalizovanim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upućivanje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specijalizovane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pružaoce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62A6C" w:rsidRPr="00B63129" w:rsidRDefault="00B63129" w:rsidP="00262A6C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inovativnim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inkubatorima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62A6C" w:rsidRPr="00B63129" w:rsidRDefault="00B63129" w:rsidP="00262A6C">
      <w:pPr>
        <w:numPr>
          <w:ilvl w:val="0"/>
          <w:numId w:val="3"/>
        </w:numPr>
        <w:spacing w:after="0" w:line="240" w:lineRule="auto"/>
        <w:ind w:hanging="4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klastera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gostovanja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televizijskim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emisijama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lifleta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brošura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medija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promoviše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inicijativu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„2016 -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minimum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gostovanjem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televiziji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minimum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novinama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korisnicima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pružene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započinjanje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predstavljeni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 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tražene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zbirne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1.500.000,00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Ukoliko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decembar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ispunila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preuzetu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medija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gostovanje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televiziji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objavljeni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članak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novinama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stiče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modula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opcione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262A6C" w:rsidP="00262A6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B63129" w:rsidP="00262A6C">
      <w:pPr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module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62A6C" w:rsidRPr="00B63129" w:rsidRDefault="00B63129" w:rsidP="00262A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početnike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262A6C" w:rsidRPr="00B63129" w:rsidRDefault="00B63129" w:rsidP="00262A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262A6C" w:rsidRPr="00B63129" w:rsidRDefault="00B63129" w:rsidP="00262A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262A6C" w:rsidRPr="00B63129" w:rsidRDefault="00B63129" w:rsidP="00262A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izvoze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262A6C" w:rsidRPr="00B63129" w:rsidRDefault="00B63129" w:rsidP="00262A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marketing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262A6C" w:rsidRPr="00B63129" w:rsidRDefault="00262A6C" w:rsidP="00262A6C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B63129" w:rsidP="00262A6C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opcione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62A6C" w:rsidRPr="00B63129" w:rsidRDefault="00B63129" w:rsidP="00262A6C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262A6C" w:rsidRPr="00B63129" w:rsidRDefault="00B63129" w:rsidP="00262A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</w:p>
    <w:p w:rsidR="00262A6C" w:rsidRPr="00B63129" w:rsidRDefault="00B63129" w:rsidP="00262A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inovacije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262A6C" w:rsidRPr="00B63129" w:rsidRDefault="00B63129" w:rsidP="00262A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262A6C" w:rsidRPr="00B63129" w:rsidRDefault="00B63129" w:rsidP="00262A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tehnologije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262A6C" w:rsidRPr="00B63129" w:rsidRDefault="00B63129" w:rsidP="00262A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spremnost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262A6C" w:rsidRPr="00B63129" w:rsidRDefault="00262A6C" w:rsidP="00262A6C">
      <w:p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metodologiji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2) - 5)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- 6)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metodologiji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konkurentnosti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inovativnosti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integrisane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inovacijama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262A6C" w:rsidRPr="00B63129" w:rsidRDefault="00B63129" w:rsidP="00262A6C">
      <w:pPr>
        <w:spacing w:after="0"/>
        <w:ind w:firstLine="70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pohađala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organizovala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konkurentnosti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inovativnosti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integrisane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inovacijama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pohađalo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akreditovane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62A6C" w:rsidRPr="00B63129" w:rsidRDefault="00B63129" w:rsidP="00262A6C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predavača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teme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metodologijama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početnike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moduli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opcionog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modula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62A6C" w:rsidRPr="00B63129" w:rsidRDefault="00B63129" w:rsidP="00262A6C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jednodnevna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62A6C" w:rsidRPr="00B63129" w:rsidRDefault="00B63129" w:rsidP="00262A6C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dvodnevna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1.000.000,00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15.000.000,00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1.000.000,00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262A6C" w:rsidRPr="00B63129" w:rsidRDefault="00B63129" w:rsidP="00262A6C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terminu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najavila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najavljenog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termina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odloži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prvobitno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prijavljena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modul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najavljen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prvobitno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najavljenog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termina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najavljeni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termin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termina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decembar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ispunila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preuzetu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minimuma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početnike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2) - 5)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isplaćenih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kumulativno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30.000,00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kad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održane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30.000,00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obuku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održana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obuk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obavezni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modul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održan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opredeljen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tu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vrstu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obuka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obzira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ukupan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održanih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obuka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metodologiji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inicijativa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podržali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donatori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realizatori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saradnici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priznate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priznata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2) - 11)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polaznici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različita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62A6C" w:rsidRPr="00B63129" w:rsidRDefault="00262A6C" w:rsidP="00262A6C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B63129" w:rsidP="00262A6C">
      <w:pPr>
        <w:pStyle w:val="ListParagraph"/>
        <w:numPr>
          <w:ilvl w:val="0"/>
          <w:numId w:val="7"/>
        </w:numPr>
        <w:spacing w:after="0" w:line="240" w:lineRule="auto"/>
        <w:ind w:left="90" w:firstLine="27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start up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početnike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subvencije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samozapošljavanje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62A6C" w:rsidRPr="00B63129" w:rsidRDefault="00B63129" w:rsidP="00262A6C">
      <w:pPr>
        <w:numPr>
          <w:ilvl w:val="0"/>
          <w:numId w:val="7"/>
        </w:numPr>
        <w:spacing w:after="0" w:line="240" w:lineRule="auto"/>
        <w:ind w:left="90" w:firstLine="27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raspoložive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linije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Garancijskog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Vojvodine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62A6C" w:rsidRPr="00B63129" w:rsidRDefault="00B63129" w:rsidP="00262A6C">
      <w:pPr>
        <w:numPr>
          <w:ilvl w:val="0"/>
          <w:numId w:val="7"/>
        </w:numPr>
        <w:spacing w:after="0" w:line="240" w:lineRule="auto"/>
        <w:ind w:left="90" w:firstLine="27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podrška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pripremi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dokumentacije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prijave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programe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podrške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preduzetništvu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sprovode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262A6C" w:rsidRPr="00B63129" w:rsidRDefault="00B63129" w:rsidP="00262A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registraciji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zadruge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262A6C" w:rsidP="00262A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262A6C" w:rsidP="00262A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pružanje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savetodavnih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opredeljen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1.700,00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satu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konsalting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tabs>
          <w:tab w:val="left" w:pos="1275"/>
        </w:tabs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nadoknade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zadruzi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klasteru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62A6C" w:rsidRPr="00B63129" w:rsidRDefault="00B63129" w:rsidP="00262A6C">
      <w:pPr>
        <w:pStyle w:val="ListParagraph"/>
        <w:numPr>
          <w:ilvl w:val="0"/>
          <w:numId w:val="8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62A6C" w:rsidRPr="00B63129" w:rsidRDefault="00B63129" w:rsidP="00262A6C">
      <w:pPr>
        <w:pStyle w:val="ListParagraph"/>
        <w:numPr>
          <w:ilvl w:val="0"/>
          <w:numId w:val="8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62A6C" w:rsidRPr="00B63129" w:rsidRDefault="00B63129" w:rsidP="00262A6C">
      <w:pPr>
        <w:pStyle w:val="ListParagraph"/>
        <w:numPr>
          <w:ilvl w:val="0"/>
          <w:numId w:val="8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62A6C" w:rsidRPr="00B63129" w:rsidRDefault="00B63129" w:rsidP="00262A6C">
      <w:pPr>
        <w:pStyle w:val="ListParagraph"/>
        <w:numPr>
          <w:ilvl w:val="0"/>
          <w:numId w:val="8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tabs>
          <w:tab w:val="left" w:pos="1275"/>
        </w:tabs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pružene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Garancijskom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Vojvodine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potvrđuje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zaveo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pružene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formalne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formalno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pruženu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sajtu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opredeljena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500.000,00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7.500.000,00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Mentoring</w:t>
      </w:r>
    </w:p>
    <w:p w:rsidR="00262A6C" w:rsidRPr="00B63129" w:rsidRDefault="00262A6C" w:rsidP="00262A6C">
      <w:pPr>
        <w:pStyle w:val="ListParagraph"/>
        <w:tabs>
          <w:tab w:val="left" w:pos="0"/>
          <w:tab w:val="left" w:pos="990"/>
          <w:tab w:val="left" w:pos="1260"/>
        </w:tabs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262A6C" w:rsidP="00262A6C">
      <w:pPr>
        <w:pStyle w:val="ListParagraph"/>
        <w:tabs>
          <w:tab w:val="left" w:pos="0"/>
          <w:tab w:val="left" w:pos="990"/>
          <w:tab w:val="left" w:pos="1260"/>
        </w:tabs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mentoringa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dužem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vremenskom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mentor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pruža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262A6C" w:rsidP="00262A6C">
      <w:pPr>
        <w:pStyle w:val="ListParagraph"/>
        <w:tabs>
          <w:tab w:val="left" w:pos="0"/>
          <w:tab w:val="left" w:pos="990"/>
          <w:tab w:val="left" w:pos="1260"/>
        </w:tabs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zavisnosti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mentor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alocira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sati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262A6C" w:rsidP="00262A6C">
      <w:pPr>
        <w:pStyle w:val="ListParagraph"/>
        <w:tabs>
          <w:tab w:val="left" w:pos="0"/>
          <w:tab w:val="left" w:pos="990"/>
          <w:tab w:val="left" w:pos="1260"/>
        </w:tabs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sr-Latn-CS"/>
        </w:rPr>
        <w:tab/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mentoringa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mikro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mala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srednja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preduzetnici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zadruge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posluju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kritičnom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trenutku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njihov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dalji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opstanak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262A6C" w:rsidP="00262A6C">
      <w:pPr>
        <w:tabs>
          <w:tab w:val="left" w:pos="0"/>
          <w:tab w:val="left" w:pos="990"/>
          <w:tab w:val="left" w:pos="126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poziv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odabir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mentoringa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62A6C" w:rsidRPr="00B63129" w:rsidRDefault="00262A6C" w:rsidP="00262A6C">
      <w:pPr>
        <w:tabs>
          <w:tab w:val="left" w:pos="0"/>
          <w:tab w:val="left" w:pos="990"/>
          <w:tab w:val="left" w:pos="126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Uslugu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mentoringa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pružati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zaposlena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lic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toj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poseduju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sertifikat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uspešno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završila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obuku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mentore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organizovala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organizovati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Institucionalizacija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mentoringa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finansiranog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Japana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Japansku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međunarodnu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JICA.</w:t>
      </w:r>
    </w:p>
    <w:p w:rsidR="00262A6C" w:rsidRPr="00B63129" w:rsidRDefault="00262A6C" w:rsidP="00262A6C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krajem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dostave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pruženom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mentoringu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mesecu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Isplata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prvom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obračunskom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mesecu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kompletno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pružene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mentoringa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262A6C" w:rsidP="00262A6C">
      <w:pPr>
        <w:tabs>
          <w:tab w:val="left" w:pos="0"/>
          <w:tab w:val="left" w:pos="990"/>
          <w:tab w:val="left" w:pos="126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Svakoj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raspolaganju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ukupno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690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mentoring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sati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mentor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provodi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preduzetničkoj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radnji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pružanje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mentoring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opredeljen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1.300,00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satu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262A6C" w:rsidP="00262A6C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uslugu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mentoringa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opredeljena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897.000,00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mentoring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13.455.000,00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262A6C" w:rsidP="00262A6C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Detaljne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metodologiji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procesu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mentoringa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odabira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izveštavanja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predstavljene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posebnom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uputstvu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Promocija</w:t>
      </w: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262A6C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RRA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organizuju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učestvuju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promotivnim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promociju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različitih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podrazumeva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promovišu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teme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62A6C" w:rsidRPr="00B63129" w:rsidRDefault="00262A6C" w:rsidP="00262A6C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RRA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62A6C" w:rsidRPr="00B63129" w:rsidRDefault="00B63129" w:rsidP="00262A6C">
      <w:pPr>
        <w:numPr>
          <w:ilvl w:val="0"/>
          <w:numId w:val="9"/>
        </w:numPr>
        <w:spacing w:after="0" w:line="240" w:lineRule="auto"/>
        <w:ind w:left="990" w:hanging="282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minimum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62A6C" w:rsidRPr="00B63129" w:rsidRDefault="00B63129" w:rsidP="00262A6C">
      <w:pPr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minimum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aktuelan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62A6C" w:rsidRPr="00B63129" w:rsidRDefault="00B63129" w:rsidP="00262A6C">
      <w:pPr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minimum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manifestacija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„2016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(SME Week),</w:t>
      </w:r>
    </w:p>
    <w:p w:rsidR="00262A6C" w:rsidRPr="00B63129" w:rsidRDefault="00B63129" w:rsidP="00262A6C">
      <w:pPr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COSME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Horizont 2020;</w:t>
      </w:r>
    </w:p>
    <w:p w:rsidR="00262A6C" w:rsidRPr="00B63129" w:rsidRDefault="00B63129" w:rsidP="00262A6C">
      <w:pPr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organizuju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studente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učenike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škola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učenike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razreda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škola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preduzetničkog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duha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fakultetima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školama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62A6C" w:rsidRPr="00B63129" w:rsidRDefault="00B63129" w:rsidP="00262A6C">
      <w:pPr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instrukcijama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najaviti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promoviše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inicijativa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podržali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donatori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realizatori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saradnici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priznate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terminu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najavila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najavljenog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termina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prvobitno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najavljene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najavljenog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termina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najavljeni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termin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termina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organizovala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aktuelnih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isplaćena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62A6C" w:rsidRPr="00B63129" w:rsidRDefault="00262A6C" w:rsidP="00262A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standardizovanog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decembar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organizovala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promotivne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događaje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promocija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minimum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trajanja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minimum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manifestacija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„2016 –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Evropska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nedelja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(SME Week), 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info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studente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učenike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info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programima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COSME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Horizont 2020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najavi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neće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isplaćena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suma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predviđena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usluge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promocije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decembar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</w:t>
      </w:r>
      <w:r w:rsidRPr="00B631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2.250.000,00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262A6C" w:rsidP="00262A6C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262A6C" w:rsidP="00262A6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IV.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262A6C" w:rsidRPr="00B63129" w:rsidRDefault="00262A6C" w:rsidP="00262A6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B63129" w:rsidP="00262A6C">
      <w:pPr>
        <w:tabs>
          <w:tab w:val="num" w:pos="270"/>
        </w:tabs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dodeljuju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bespovratno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41.250.000,00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2.647.000,00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iznosu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Preostali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1.545.000,00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predavača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podizanje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kapaciteta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odobrilo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tabs>
          <w:tab w:val="left" w:pos="1100"/>
        </w:tabs>
        <w:spacing w:after="0"/>
        <w:ind w:firstLine="77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započete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potpisivanja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62A6C" w:rsidRPr="00B63129" w:rsidRDefault="00B63129" w:rsidP="00262A6C">
      <w:pPr>
        <w:numPr>
          <w:ilvl w:val="0"/>
          <w:numId w:val="10"/>
        </w:numPr>
        <w:spacing w:after="0" w:line="240" w:lineRule="auto"/>
        <w:ind w:left="810" w:hanging="31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62A6C" w:rsidRPr="00B63129" w:rsidRDefault="00262A6C" w:rsidP="00262A6C">
      <w:pPr>
        <w:numPr>
          <w:ilvl w:val="0"/>
          <w:numId w:val="10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zaključivati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ugovore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bespovratnih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262A6C" w:rsidRPr="00B63129" w:rsidRDefault="00B63129" w:rsidP="00262A6C">
      <w:pPr>
        <w:numPr>
          <w:ilvl w:val="0"/>
          <w:numId w:val="10"/>
        </w:numPr>
        <w:spacing w:after="0" w:line="240" w:lineRule="auto"/>
        <w:ind w:left="810" w:hanging="31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62A6C" w:rsidRPr="00B63129" w:rsidRDefault="00B63129" w:rsidP="00262A6C">
      <w:pPr>
        <w:numPr>
          <w:ilvl w:val="0"/>
          <w:numId w:val="10"/>
        </w:numPr>
        <w:spacing w:after="0" w:line="240" w:lineRule="auto"/>
        <w:ind w:left="810" w:hanging="31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262A6C" w:rsidRPr="00B63129" w:rsidRDefault="00B63129" w:rsidP="00262A6C">
      <w:pPr>
        <w:numPr>
          <w:ilvl w:val="0"/>
          <w:numId w:val="10"/>
        </w:numPr>
        <w:spacing w:after="0" w:line="240" w:lineRule="auto"/>
        <w:ind w:left="810" w:hanging="31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namenskog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262A6C" w:rsidRPr="00B63129" w:rsidRDefault="00262A6C" w:rsidP="00262A6C">
      <w:pPr>
        <w:numPr>
          <w:ilvl w:val="0"/>
          <w:numId w:val="10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utroši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preneta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uplatiti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bespovratnih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zaključuje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dodeljuju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bespovratnih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završetak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potpisivanju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pozvati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potpisivanju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62A6C" w:rsidRPr="00B63129" w:rsidRDefault="00B63129" w:rsidP="00262A6C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akreditovane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započete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potpisivanja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kvartala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kvartalu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podračun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62A6C" w:rsidRPr="00B63129" w:rsidRDefault="00262A6C" w:rsidP="00262A6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262A6C" w:rsidP="00262A6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V.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63129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</w:p>
    <w:p w:rsidR="00262A6C" w:rsidRPr="00B63129" w:rsidRDefault="00262A6C" w:rsidP="00262A6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detaljno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omogućena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uputstvo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predstavljene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62A6C" w:rsidRPr="00B63129" w:rsidRDefault="00B63129" w:rsidP="00262A6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ažuriran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spisak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pohađali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III.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95AFF" w:rsidRPr="00B63129" w:rsidRDefault="00B63129" w:rsidP="00B63129">
      <w:pPr>
        <w:spacing w:after="0"/>
        <w:ind w:firstLine="720"/>
        <w:jc w:val="both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sprovedenim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informisanja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dostaviti</w:t>
      </w:r>
      <w:r w:rsidR="00262A6C" w:rsidRPr="00B6312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Vladi.</w:t>
      </w:r>
      <w:bookmarkStart w:id="0" w:name="_GoBack"/>
      <w:bookmarkEnd w:id="0"/>
    </w:p>
    <w:sectPr w:rsidR="00295AFF" w:rsidRPr="00B63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97" w:rsidRDefault="00DB4697" w:rsidP="00B63129">
      <w:pPr>
        <w:spacing w:after="0" w:line="240" w:lineRule="auto"/>
      </w:pPr>
      <w:r>
        <w:separator/>
      </w:r>
    </w:p>
  </w:endnote>
  <w:endnote w:type="continuationSeparator" w:id="0">
    <w:p w:rsidR="00DB4697" w:rsidRDefault="00DB4697" w:rsidP="00B6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29" w:rsidRDefault="00B63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29" w:rsidRDefault="00B631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29" w:rsidRDefault="00B63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97" w:rsidRDefault="00DB4697" w:rsidP="00B63129">
      <w:pPr>
        <w:spacing w:after="0" w:line="240" w:lineRule="auto"/>
      </w:pPr>
      <w:r>
        <w:separator/>
      </w:r>
    </w:p>
  </w:footnote>
  <w:footnote w:type="continuationSeparator" w:id="0">
    <w:p w:rsidR="00DB4697" w:rsidRDefault="00DB4697" w:rsidP="00B6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29" w:rsidRDefault="00B63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29" w:rsidRDefault="00B631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29" w:rsidRDefault="00B63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1CEF"/>
    <w:multiLevelType w:val="hybridMultilevel"/>
    <w:tmpl w:val="94D059E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1B134C"/>
    <w:multiLevelType w:val="hybridMultilevel"/>
    <w:tmpl w:val="1D0A7B6E"/>
    <w:lvl w:ilvl="0" w:tplc="221E57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3D67A5"/>
    <w:multiLevelType w:val="hybridMultilevel"/>
    <w:tmpl w:val="5EDC9D8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826F97"/>
    <w:multiLevelType w:val="hybridMultilevel"/>
    <w:tmpl w:val="94D059E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8D0128"/>
    <w:multiLevelType w:val="hybridMultilevel"/>
    <w:tmpl w:val="12128CE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537722"/>
    <w:multiLevelType w:val="hybridMultilevel"/>
    <w:tmpl w:val="EFF29C4C"/>
    <w:lvl w:ilvl="0" w:tplc="CCE88A7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36164F"/>
    <w:multiLevelType w:val="hybridMultilevel"/>
    <w:tmpl w:val="A43AB36C"/>
    <w:lvl w:ilvl="0" w:tplc="08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012790F"/>
    <w:multiLevelType w:val="hybridMultilevel"/>
    <w:tmpl w:val="80DE6C66"/>
    <w:lvl w:ilvl="0" w:tplc="0C9ACA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8556553"/>
    <w:multiLevelType w:val="hybridMultilevel"/>
    <w:tmpl w:val="65D403EE"/>
    <w:lvl w:ilvl="0" w:tplc="EB34CC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995206"/>
    <w:multiLevelType w:val="hybridMultilevel"/>
    <w:tmpl w:val="0DA2574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29"/>
    <w:rsid w:val="00225D89"/>
    <w:rsid w:val="00262A6C"/>
    <w:rsid w:val="00295AFF"/>
    <w:rsid w:val="00352EC4"/>
    <w:rsid w:val="003658B7"/>
    <w:rsid w:val="008D152E"/>
    <w:rsid w:val="00973329"/>
    <w:rsid w:val="00B63129"/>
    <w:rsid w:val="00C24200"/>
    <w:rsid w:val="00C63D7C"/>
    <w:rsid w:val="00DB4697"/>
    <w:rsid w:val="00E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2D2FD-93B2-4B90-AC3F-C38AEED5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62A6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2A6C"/>
    <w:rPr>
      <w:rFonts w:ascii="Consolas" w:eastAsia="Times New Roman" w:hAnsi="Consolas" w:cs="Times New Roman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262A6C"/>
  </w:style>
  <w:style w:type="paragraph" w:styleId="ListParagraph">
    <w:name w:val="List Paragraph"/>
    <w:basedOn w:val="Normal"/>
    <w:link w:val="ListParagraphChar"/>
    <w:uiPriority w:val="34"/>
    <w:qFormat/>
    <w:rsid w:val="00262A6C"/>
    <w:pPr>
      <w:ind w:left="720"/>
      <w:contextualSpacing/>
    </w:pPr>
    <w:rPr>
      <w:rFonts w:eastAsiaTheme="minorHAnsi"/>
    </w:rPr>
  </w:style>
  <w:style w:type="character" w:customStyle="1" w:styleId="rvts3">
    <w:name w:val="rvts3"/>
    <w:basedOn w:val="DefaultParagraphFont"/>
    <w:rsid w:val="00262A6C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B6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6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2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Bojan Grgic</cp:lastModifiedBy>
  <cp:revision>2</cp:revision>
  <cp:lastPrinted>2016-03-11T13:14:00Z</cp:lastPrinted>
  <dcterms:created xsi:type="dcterms:W3CDTF">2016-03-14T11:53:00Z</dcterms:created>
  <dcterms:modified xsi:type="dcterms:W3CDTF">2016-03-14T11:53:00Z</dcterms:modified>
</cp:coreProperties>
</file>